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2E4C" w:rsidRPr="00F933AF" w:rsidRDefault="00E5343F" w:rsidP="00E5343F">
      <w:pPr>
        <w:pStyle w:val="Heading1"/>
        <w:rPr>
          <w:rFonts w:cs="Calibri"/>
        </w:rPr>
      </w:pPr>
      <w:r w:rsidRPr="00F933AF">
        <w:rPr>
          <w:rFonts w:cs="Calibri"/>
        </w:rPr>
        <w:t xml:space="preserve">AFF – Public Charge – Compiled </w:t>
      </w:r>
      <w:r w:rsidR="004D04CA">
        <w:rPr>
          <w:rFonts w:cs="Calibri"/>
        </w:rPr>
        <w:t>7/22</w:t>
      </w:r>
    </w:p>
    <w:p w:rsidR="00C500B6" w:rsidRDefault="00E5343F" w:rsidP="00904C4C">
      <w:pPr>
        <w:pStyle w:val="Heading1"/>
        <w:rPr>
          <w:rFonts w:cs="Calibri"/>
        </w:rPr>
      </w:pPr>
      <w:r w:rsidRPr="00F933AF">
        <w:rPr>
          <w:rFonts w:cs="Calibri"/>
        </w:rPr>
        <w:t>1AC</w:t>
      </w:r>
    </w:p>
    <w:p w:rsidR="000D6B43" w:rsidRDefault="000D6B43" w:rsidP="008C5D52">
      <w:pPr>
        <w:pStyle w:val="Heading2"/>
        <w:rPr>
          <w:rFonts w:cs="Calibri"/>
        </w:rPr>
      </w:pPr>
      <w:r>
        <w:rPr>
          <w:rFonts w:cs="Calibri"/>
        </w:rPr>
        <w:t>Adv – Status Quo</w:t>
      </w:r>
    </w:p>
    <w:p w:rsidR="000D6B43" w:rsidRPr="00F933AF" w:rsidRDefault="000D6B43" w:rsidP="000D6B43">
      <w:pPr>
        <w:pStyle w:val="Heading4"/>
        <w:rPr>
          <w:rFonts w:cs="Calibri"/>
        </w:rPr>
      </w:pPr>
      <w:r w:rsidRPr="00F933AF">
        <w:rPr>
          <w:rFonts w:cs="Calibri"/>
        </w:rPr>
        <w:t>Public charge inadmissibility and deportability expanding now</w:t>
      </w:r>
    </w:p>
    <w:p w:rsidR="000D6B43" w:rsidRPr="00F933AF" w:rsidRDefault="000D6B43" w:rsidP="000D6B43">
      <w:pPr>
        <w:rPr>
          <w:rFonts w:cs="Calibri"/>
        </w:rPr>
      </w:pPr>
      <w:r w:rsidRPr="00F933AF">
        <w:rPr>
          <w:rStyle w:val="Style13ptBold"/>
          <w:rFonts w:cs="Calibri"/>
        </w:rPr>
        <w:t>NILC 18</w:t>
      </w:r>
      <w:r w:rsidRPr="00F933AF">
        <w:rPr>
          <w:rFonts w:cs="Calibri"/>
        </w:rPr>
        <w:t xml:space="preserve"> (National Immigration Law Center issue brief, 3/22/18, updated 4/2/18, “Access to Health Care, Food, and Other Public Programs for Immigrant Families under the Trump Administration”, </w:t>
      </w:r>
      <w:hyperlink r:id="rId6" w:history="1">
        <w:r w:rsidRPr="00F933AF">
          <w:rPr>
            <w:rStyle w:val="Hyperlink"/>
            <w:rFonts w:cs="Calibri"/>
          </w:rPr>
          <w:t>https://www.nilc.org/wp-content/uploads/2018/02/talking-to-immigrants-about-public-programs-2018.pdf</w:t>
        </w:r>
      </w:hyperlink>
      <w:r w:rsidRPr="00F933AF">
        <w:rPr>
          <w:rFonts w:cs="Calibri"/>
        </w:rPr>
        <w:t>, p.1-3)/CWB</w:t>
      </w:r>
    </w:p>
    <w:p w:rsidR="000D6B43" w:rsidRPr="00F933AF" w:rsidRDefault="000D6B43" w:rsidP="000D6B43">
      <w:pPr>
        <w:rPr>
          <w:rFonts w:cs="Calibri"/>
          <w:sz w:val="16"/>
        </w:rPr>
      </w:pPr>
      <w:r w:rsidRPr="00F933AF">
        <w:rPr>
          <w:rStyle w:val="StyleUnderline"/>
          <w:rFonts w:cs="Calibri"/>
        </w:rPr>
        <w:t>Since President Trump’s inauguration in January 2017, his administration’s actions with respect to immigration have caused tremendous fear in immigrant communities, undermining trust in government programs and chilling access to health care, food, and other critical benefits and services. Trump’s reign of terror on immigrants and their families already has caused lasting damage to our country. Immigration-related executive orders (including a draft order on immigrants’ access to public benefits that was leaked to the media in January 2017 but that hasn’t actually been issued),</w:t>
      </w:r>
      <w:r w:rsidRPr="00F933AF">
        <w:rPr>
          <w:rFonts w:cs="Calibri"/>
          <w:sz w:val="16"/>
        </w:rPr>
        <w:t xml:space="preserve"> aggressive immigration enforcement actions, harmful and derogatory statements about immigrants and refugees, and proposals to restrict family-based immigration </w:t>
      </w:r>
      <w:r w:rsidRPr="00F933AF">
        <w:rPr>
          <w:rStyle w:val="StyleUnderline"/>
          <w:rFonts w:cs="Calibri"/>
        </w:rPr>
        <w:t>have terrified communities across the United States. We have heard numerous reports of immigrant families being afraid to seek services that they or their U.S. citizen children need, disenrolling from critical programs, and being reluctant to continue treatment for serious illnesses</w:t>
      </w:r>
      <w:r w:rsidRPr="00F933AF">
        <w:rPr>
          <w:rFonts w:cs="Calibri"/>
          <w:sz w:val="16"/>
        </w:rPr>
        <w:t xml:space="preserve">. NILC is </w:t>
      </w:r>
      <w:r w:rsidRPr="00F933AF">
        <w:rPr>
          <w:rStyle w:val="StyleUnderline"/>
          <w:rFonts w:cs="Calibri"/>
        </w:rPr>
        <w:t>vigilantly monitoring</w:t>
      </w:r>
      <w:r w:rsidRPr="00F933AF">
        <w:rPr>
          <w:rFonts w:cs="Calibri"/>
          <w:sz w:val="16"/>
        </w:rPr>
        <w:t xml:space="preserve"> the Trump administration’s changes to existing policy. </w:t>
      </w:r>
      <w:r w:rsidRPr="00F933AF">
        <w:rPr>
          <w:rStyle w:val="StyleUnderline"/>
          <w:rFonts w:cs="Calibri"/>
        </w:rPr>
        <w:t>In early January 2018, the U.S. State Department revised its Foreign Affairs Manual (FAM, or “State Department instructions”) on “public charge.” These revised State Department instructions underscore the administration’s interest in restricting family immigration and deterring families from securing critical services. We also learned that U.S. Citizenship and Immigration Services (USCIS) is drafting a Notice of Proposed Rulemaking (NPRM), proposing changes to the federal government’s longstanding public charge policy</w:t>
      </w:r>
      <w:r w:rsidRPr="00F933AF">
        <w:rPr>
          <w:rFonts w:cs="Calibri"/>
          <w:sz w:val="16"/>
        </w:rPr>
        <w:t>.</w:t>
      </w:r>
      <w:bookmarkStart w:id="0" w:name="_ftnref1"/>
      <w:r w:rsidRPr="00F933AF">
        <w:rPr>
          <w:rFonts w:cs="Calibri"/>
          <w:sz w:val="16"/>
        </w:rPr>
        <w:fldChar w:fldCharType="begin"/>
      </w:r>
      <w:r w:rsidRPr="00F933AF">
        <w:rPr>
          <w:rFonts w:cs="Calibri"/>
          <w:sz w:val="16"/>
        </w:rPr>
        <w:instrText xml:space="preserve"> HYPERLINK "https://www.nilc.org/issues/health-care/exec-orders-and-access-to-public-programs/" \l "_ftn1" </w:instrText>
      </w:r>
      <w:r w:rsidRPr="00F933AF">
        <w:rPr>
          <w:rFonts w:cs="Calibri"/>
          <w:sz w:val="16"/>
        </w:rPr>
        <w:fldChar w:fldCharType="separate"/>
      </w:r>
      <w:r w:rsidRPr="00F933AF">
        <w:rPr>
          <w:rStyle w:val="Hyperlink"/>
          <w:rFonts w:cs="Calibri"/>
          <w:sz w:val="16"/>
        </w:rPr>
        <w:t>[1]</w:t>
      </w:r>
      <w:r w:rsidRPr="00F933AF">
        <w:rPr>
          <w:rFonts w:cs="Calibri"/>
          <w:sz w:val="16"/>
        </w:rPr>
        <w:fldChar w:fldCharType="end"/>
      </w:r>
      <w:bookmarkEnd w:id="0"/>
      <w:r w:rsidRPr="00F933AF">
        <w:rPr>
          <w:rFonts w:cs="Calibri"/>
          <w:sz w:val="16"/>
        </w:rPr>
        <w:t xml:space="preserve"> The proposed rule has not yet been published and may not be implemented until it becomes final, which will take additional time. This issue brief is intended to clarify what has and has not changed with respect to the policies affecting immigrants’ access to health care, nutrition, and other critical programs. We invite you to use it as a resource when you speak with immigrants and immigrant families. It is important to monitor how changes to public charge policy (or rumors about such changes) are affecting individuals, families, communities, and community-based organizations. Please share with us what you are hearing, via email at </w:t>
      </w:r>
      <w:hyperlink r:id="rId7" w:tgtFrame="_blank" w:history="1">
        <w:r w:rsidRPr="00F933AF">
          <w:rPr>
            <w:rStyle w:val="Hyperlink"/>
            <w:rFonts w:cs="Calibri"/>
            <w:sz w:val="16"/>
          </w:rPr>
          <w:t>publiccharge@nilc.org</w:t>
        </w:r>
      </w:hyperlink>
      <w:r w:rsidRPr="00F933AF">
        <w:rPr>
          <w:rFonts w:cs="Calibri"/>
          <w:sz w:val="16"/>
        </w:rPr>
        <w:t xml:space="preserve">. What is public charge? Public charge is a ground of inadmissibility (to the U.S.) that has existed for more than 100 years. Under current policy, certain non–U.S. citizens who are seeking to enter the U.S. or to obtain lawful permanent resident (LPR) status must show that, based on all their circumstances, they are not likely in the future to rely on the government for subsistence. Overall circumstances considered. The public charge statute — which cannot be changed by an executive order or the issuing of regulations — requires immigration officials to look at all factors that relate to noncitizens’ ability to support themselves, including their age, health, income, assets, resources, education/skills, family to support, and family who will support them. They may also consider whether a sponsor has signed an affidavit of support (or contract) promising to support the noncitizen. Since the test looks at the person’s overall circumstances, no one factor is definitive. Any negative factor, such as not having a job, can be overcome by positive factors, such as having completed training for a new profession. </w:t>
      </w:r>
      <w:r w:rsidRPr="00F933AF">
        <w:rPr>
          <w:rStyle w:val="StyleUnderline"/>
          <w:rFonts w:cs="Calibri"/>
        </w:rPr>
        <w:t>FAM now</w:t>
      </w:r>
      <w:r w:rsidRPr="00F933AF">
        <w:rPr>
          <w:rFonts w:cs="Calibri"/>
          <w:sz w:val="16"/>
        </w:rPr>
        <w:t xml:space="preserve"> allows </w:t>
      </w:r>
      <w:r w:rsidRPr="00F933AF">
        <w:rPr>
          <w:rStyle w:val="StyleUnderline"/>
          <w:rFonts w:cs="Calibri"/>
        </w:rPr>
        <w:t>consider</w:t>
      </w:r>
      <w:r w:rsidRPr="00F933AF">
        <w:rPr>
          <w:rFonts w:cs="Calibri"/>
          <w:sz w:val="16"/>
        </w:rPr>
        <w:t xml:space="preserve">ation of </w:t>
      </w:r>
      <w:r w:rsidRPr="00F933AF">
        <w:rPr>
          <w:rStyle w:val="StyleUnderline"/>
          <w:rFonts w:cs="Calibri"/>
        </w:rPr>
        <w:t>noncash benefits</w:t>
      </w:r>
      <w:r w:rsidRPr="00F933AF">
        <w:rPr>
          <w:rFonts w:cs="Calibri"/>
          <w:sz w:val="16"/>
        </w:rPr>
        <w:t xml:space="preserve">. Almost 20 years ago, the government clarified that only monthly cash assistance for income support or institutionalization at government expense (e.g., long-term care paid for by Medicaid) are relevant to consider in this test. However, the revised instructions for State Department officials abroad now indicate that noncash benefits may also be considered as part of the “totality of the circumstances” test. </w:t>
      </w:r>
      <w:r w:rsidRPr="00F933AF">
        <w:rPr>
          <w:rStyle w:val="StyleUnderline"/>
          <w:rFonts w:cs="Calibri"/>
        </w:rPr>
        <w:t xml:space="preserve">Under these instructions, a dependent family member’s or sponsor’s use of benefits may also be considered. These instructions apply only to individuals who are seeking to enter the U.S. from abroad or who must go abroad to process their application for LPR status </w:t>
      </w:r>
      <w:r w:rsidRPr="00F933AF">
        <w:rPr>
          <w:rFonts w:cs="Calibri"/>
          <w:sz w:val="16"/>
        </w:rPr>
        <w:t xml:space="preserve">(see below for more information). Deportation based on public charge? </w:t>
      </w:r>
      <w:r w:rsidRPr="00F933AF">
        <w:rPr>
          <w:rStyle w:val="StyleUnderline"/>
          <w:rFonts w:cs="Calibri"/>
        </w:rPr>
        <w:t>The grounds for deporting an immigrant based on public charge</w:t>
      </w:r>
      <w:r w:rsidRPr="00F933AF">
        <w:rPr>
          <w:rFonts w:cs="Calibri"/>
          <w:sz w:val="16"/>
        </w:rPr>
        <w:t xml:space="preserve"> are extremely narrow. They </w:t>
      </w:r>
      <w:r w:rsidRPr="00F933AF">
        <w:rPr>
          <w:rStyle w:val="StyleUnderline"/>
          <w:rFonts w:cs="Calibri"/>
        </w:rPr>
        <w:t xml:space="preserve">apply </w:t>
      </w:r>
      <w:r w:rsidRPr="00F933AF">
        <w:rPr>
          <w:rFonts w:cs="Calibri"/>
          <w:sz w:val="16"/>
        </w:rPr>
        <w:t xml:space="preserve">only </w:t>
      </w:r>
      <w:r w:rsidRPr="00F933AF">
        <w:rPr>
          <w:rStyle w:val="StyleUnderline"/>
          <w:rFonts w:cs="Calibri"/>
        </w:rPr>
        <w:t>to immigrants who become a public charge during their first five years after admission</w:t>
      </w:r>
      <w:r w:rsidRPr="00F933AF">
        <w:rPr>
          <w:rFonts w:cs="Calibri"/>
          <w:sz w:val="16"/>
        </w:rPr>
        <w:t xml:space="preserve"> to the U.S., for reasons that existed beforehand.</w:t>
      </w:r>
      <w:bookmarkStart w:id="1" w:name="_ftnref2"/>
      <w:r w:rsidRPr="00F933AF">
        <w:rPr>
          <w:rFonts w:cs="Calibri"/>
          <w:sz w:val="16"/>
        </w:rPr>
        <w:fldChar w:fldCharType="begin"/>
      </w:r>
      <w:r w:rsidRPr="00F933AF">
        <w:rPr>
          <w:rFonts w:cs="Calibri"/>
          <w:sz w:val="16"/>
        </w:rPr>
        <w:instrText xml:space="preserve"> HYPERLINK "https://www.nilc.org/issues/health-care/exec-orders-and-access-to-public-programs/" \l "_ftn2" </w:instrText>
      </w:r>
      <w:r w:rsidRPr="00F933AF">
        <w:rPr>
          <w:rFonts w:cs="Calibri"/>
          <w:sz w:val="16"/>
        </w:rPr>
        <w:fldChar w:fldCharType="separate"/>
      </w:r>
      <w:r w:rsidRPr="00F933AF">
        <w:rPr>
          <w:rStyle w:val="Hyperlink"/>
          <w:rFonts w:cs="Calibri"/>
          <w:sz w:val="16"/>
        </w:rPr>
        <w:t>[2]</w:t>
      </w:r>
      <w:r w:rsidRPr="00F933AF">
        <w:rPr>
          <w:rFonts w:cs="Calibri"/>
          <w:sz w:val="16"/>
        </w:rPr>
        <w:fldChar w:fldCharType="end"/>
      </w:r>
      <w:r w:rsidRPr="00F933AF">
        <w:rPr>
          <w:rFonts w:cs="Calibri"/>
          <w:sz w:val="16"/>
        </w:rPr>
        <w:t xml:space="preserve"> Under current policy, all three of the following conditions must also be met: (1) the use of cash assistance or long-term care needs to have created a legal debt; (2) the immigrant or sponsor must have received a notice to repay the debt within the five-year period; and (3) the immigrant or sponsor needs to have refused to repay the debt after the government took legal action and won. Even if some of these rules change, LPRs could still show that their need for benefits was based on something that came up after they were admitted — for example, pregnancy, an accident, or a job loss. Key points to keep in mind • </w:t>
      </w:r>
      <w:proofErr w:type="gramStart"/>
      <w:r w:rsidRPr="00F933AF">
        <w:rPr>
          <w:rFonts w:cs="Calibri"/>
          <w:sz w:val="16"/>
        </w:rPr>
        <w:t>Some</w:t>
      </w:r>
      <w:proofErr w:type="gramEnd"/>
      <w:r w:rsidRPr="00F933AF">
        <w:rPr>
          <w:rFonts w:cs="Calibri"/>
          <w:sz w:val="16"/>
        </w:rPr>
        <w:t xml:space="preserve"> immigrants are not subject to the public charge determination. Under federal law, which cannot be changed by issuing a regulation or administrative guidance, the following categories of noncitizens are not subject to a public charge test: refugees; asylees; survivors of trafficking, domestic violence, or other serious crimes (T or U visa applicants/holders); VAWA self-petitioners; special immigrant juveniles; certain people paroled into the U.S.; and several other categories of immigrants.</w:t>
      </w:r>
      <w:bookmarkStart w:id="2" w:name="_ftnref7"/>
      <w:bookmarkStart w:id="3" w:name="_ftnref3"/>
      <w:bookmarkEnd w:id="2"/>
      <w:r w:rsidRPr="00F933AF">
        <w:rPr>
          <w:rFonts w:cs="Calibri"/>
          <w:sz w:val="16"/>
        </w:rPr>
        <w:fldChar w:fldCharType="begin"/>
      </w:r>
      <w:r w:rsidRPr="00F933AF">
        <w:rPr>
          <w:rFonts w:cs="Calibri"/>
          <w:sz w:val="16"/>
        </w:rPr>
        <w:instrText xml:space="preserve"> HYPERLINK "https://www.nilc.org/issues/health-care/exec-orders-and-access-to-public-programs/" \l "_ftn3" </w:instrText>
      </w:r>
      <w:r w:rsidRPr="00F933AF">
        <w:rPr>
          <w:rFonts w:cs="Calibri"/>
          <w:sz w:val="16"/>
        </w:rPr>
        <w:fldChar w:fldCharType="separate"/>
      </w:r>
      <w:r w:rsidRPr="00F933AF">
        <w:rPr>
          <w:rStyle w:val="Hyperlink"/>
          <w:rFonts w:cs="Calibri"/>
          <w:sz w:val="16"/>
        </w:rPr>
        <w:t>[3]</w:t>
      </w:r>
      <w:r w:rsidRPr="00F933AF">
        <w:rPr>
          <w:rFonts w:cs="Calibri"/>
          <w:sz w:val="16"/>
        </w:rPr>
        <w:fldChar w:fldCharType="end"/>
      </w:r>
      <w:bookmarkEnd w:id="3"/>
      <w:r w:rsidRPr="00F933AF">
        <w:rPr>
          <w:rFonts w:cs="Calibri"/>
          <w:sz w:val="16"/>
        </w:rPr>
        <w:t xml:space="preserve"> And LPRs are not subject to a public charge test when they apply for U.S. citizenship. • For people who are subject to public charge, positive factors can be weighed against negative factors in this future-looking test. </w:t>
      </w:r>
      <w:r w:rsidRPr="00F933AF">
        <w:rPr>
          <w:rStyle w:val="StyleUnderline"/>
          <w:rFonts w:cs="Calibri"/>
        </w:rPr>
        <w:t>Noncitizens seeking to enter the U.S. or obtain lawful permanent residence must show that, based on the “totality of the circumstances,” they are not likely to rely on the government for subsistence in the future.</w:t>
      </w:r>
      <w:r w:rsidRPr="00F933AF">
        <w:rPr>
          <w:rFonts w:cs="Calibri"/>
          <w:sz w:val="16"/>
        </w:rPr>
        <w:t xml:space="preserve"> This test considers many factors, including income, resources, age, family situation, and health. Individuals with health conditions, low incomes, or who are very young or old, for example, can present other positive factors to demonstrate that they are not likely to rely on the government in the future. This could include other sources of support, education, skills, a job offer, or family members with a steady income. In fact, in some cases </w:t>
      </w:r>
      <w:r w:rsidRPr="00F933AF">
        <w:rPr>
          <w:rStyle w:val="StyleUnderline"/>
          <w:rFonts w:cs="Calibri"/>
        </w:rPr>
        <w:t>the receipt of public benefits can help stabilize a family</w:t>
      </w:r>
      <w:r w:rsidRPr="00F933AF">
        <w:rPr>
          <w:rFonts w:cs="Calibri"/>
          <w:sz w:val="16"/>
        </w:rPr>
        <w:t xml:space="preserve">. A parent’s enrollment in Medicaid while she starts her own business may allow her to maintain her ability to work, which could make her less likely to rely on the government in the future. Applicants can present evidence of all factors demonstrating that they are not likely to become a public charge in the future. • People can assess their individual situation in determining whether to enroll in public benefit programs. People who are concerned about any risks of enrolling in public benefit programs can consider their own situation — including their immediate needs, whether they or their family members will be subject to the public charge determination, and whether they or a family member has any pathway to lawful permanent residence in the near or foreseeable future. For those who are not sure about their prospects for obtaining or adjusting to lawful immigration status in the future, it is a good idea to have available information about how to access free or low-cost immigration help, such as the online National Immigration Legal Services Directory, </w:t>
      </w:r>
      <w:hyperlink r:id="rId8" w:tgtFrame="_blank" w:history="1">
        <w:r w:rsidRPr="00F933AF">
          <w:rPr>
            <w:rStyle w:val="Hyperlink"/>
            <w:rFonts w:cs="Calibri"/>
            <w:sz w:val="16"/>
          </w:rPr>
          <w:t>www.immigrationadvocates.org/nonprofit/legaldirectory/</w:t>
        </w:r>
      </w:hyperlink>
      <w:r w:rsidRPr="00F933AF">
        <w:rPr>
          <w:rFonts w:cs="Calibri"/>
          <w:sz w:val="16"/>
        </w:rPr>
        <w:t xml:space="preserve">. • There may be no advantage to disenrolling from a program at this time. It is too early to tell how the State Department’s instructions will affect non–U.S. citizens seeking to enter the U.S. The rules governing public charge determinations in the U.S. have not yet changed. The notice of proposed rulemaking has not been published in the Federal Register. Once it is published, there will be an opportunity for public comments, which the agency must respond to before finalizing any new regulations. The application for adjustment to lawful permanent residence in the U.S. already asks about any public benefits applicants have received. Thus, there may be little or no advantage to disenrolling from program that the person really needs. The draft proposed rule makes it clear that any changes to the consideration of benefits use will apply only to benefits received after the rule is final. Even if the rules change, applicants will still be able to show why they are not likely to become a public charge in the future. • Immigrants should not misrepresent information when completing public benefit applications or dealing with any government agency. </w:t>
      </w:r>
      <w:hyperlink r:id="rId9" w:tgtFrame="_blank" w:history="1">
        <w:r w:rsidRPr="00F933AF">
          <w:rPr>
            <w:rStyle w:val="Hyperlink"/>
            <w:rFonts w:cs="Calibri"/>
            <w:sz w:val="16"/>
          </w:rPr>
          <w:t>Trump’s executive order on immigration enforcement</w:t>
        </w:r>
      </w:hyperlink>
      <w:proofErr w:type="gramStart"/>
      <w:r w:rsidRPr="00F933AF">
        <w:rPr>
          <w:rFonts w:cs="Calibri"/>
          <w:sz w:val="16"/>
        </w:rPr>
        <w:t>,</w:t>
      </w:r>
      <w:bookmarkStart w:id="4" w:name="_ftnref4"/>
      <w:bookmarkEnd w:id="1"/>
      <w:proofErr w:type="gramEnd"/>
      <w:r w:rsidRPr="00F933AF">
        <w:rPr>
          <w:rFonts w:cs="Calibri"/>
          <w:sz w:val="16"/>
        </w:rPr>
        <w:fldChar w:fldCharType="begin"/>
      </w:r>
      <w:r w:rsidRPr="00F933AF">
        <w:rPr>
          <w:rFonts w:cs="Calibri"/>
          <w:sz w:val="16"/>
        </w:rPr>
        <w:instrText xml:space="preserve"> HYPERLINK "https://www.nilc.org/issues/health-care/exec-orders-and-access-to-public-programs/" \l "_ftn4" </w:instrText>
      </w:r>
      <w:r w:rsidRPr="00F933AF">
        <w:rPr>
          <w:rFonts w:cs="Calibri"/>
          <w:sz w:val="16"/>
        </w:rPr>
        <w:fldChar w:fldCharType="separate"/>
      </w:r>
      <w:r w:rsidRPr="00F933AF">
        <w:rPr>
          <w:rStyle w:val="Hyperlink"/>
          <w:rFonts w:cs="Calibri"/>
          <w:sz w:val="16"/>
        </w:rPr>
        <w:t>[4]</w:t>
      </w:r>
      <w:r w:rsidRPr="00F933AF">
        <w:rPr>
          <w:rFonts w:cs="Calibri"/>
          <w:sz w:val="16"/>
        </w:rPr>
        <w:fldChar w:fldCharType="end"/>
      </w:r>
      <w:r w:rsidRPr="00F933AF">
        <w:rPr>
          <w:rFonts w:cs="Calibri"/>
          <w:sz w:val="16"/>
        </w:rPr>
        <w:t xml:space="preserve"> which targets virtually all undocumented immigrants for removal from the U.S., warns that “abuse” related to receipt of public benefits may make a person a priority for enforcement. The U.S. Department of Homeland Security (DHS) has </w:t>
      </w:r>
      <w:hyperlink r:id="rId10" w:tgtFrame="_blank" w:history="1">
        <w:r w:rsidRPr="00F933AF">
          <w:rPr>
            <w:rStyle w:val="Hyperlink"/>
            <w:rFonts w:cs="Calibri"/>
            <w:sz w:val="16"/>
          </w:rPr>
          <w:t>defined this</w:t>
        </w:r>
      </w:hyperlink>
      <w:r w:rsidRPr="00F933AF">
        <w:rPr>
          <w:rFonts w:cs="Calibri"/>
          <w:sz w:val="16"/>
        </w:rPr>
        <w:t xml:space="preserve"> as “hav[ing] knowingly defrauded the government or a public benefit system.”</w:t>
      </w:r>
      <w:bookmarkStart w:id="5" w:name="_ftnref5"/>
      <w:r w:rsidRPr="00F933AF">
        <w:rPr>
          <w:rFonts w:cs="Calibri"/>
          <w:sz w:val="16"/>
        </w:rPr>
        <w:fldChar w:fldCharType="begin"/>
      </w:r>
      <w:r w:rsidRPr="00F933AF">
        <w:rPr>
          <w:rFonts w:cs="Calibri"/>
          <w:sz w:val="16"/>
        </w:rPr>
        <w:instrText xml:space="preserve"> HYPERLINK "https://www.nilc.org/issues/health-care/exec-orders-and-access-to-public-programs/" \l "_ftn5" </w:instrText>
      </w:r>
      <w:r w:rsidRPr="00F933AF">
        <w:rPr>
          <w:rFonts w:cs="Calibri"/>
          <w:sz w:val="16"/>
        </w:rPr>
        <w:fldChar w:fldCharType="separate"/>
      </w:r>
      <w:r w:rsidRPr="00F933AF">
        <w:rPr>
          <w:rStyle w:val="Hyperlink"/>
          <w:rFonts w:cs="Calibri"/>
          <w:sz w:val="16"/>
        </w:rPr>
        <w:t>[5]</w:t>
      </w:r>
      <w:r w:rsidRPr="00F933AF">
        <w:rPr>
          <w:rFonts w:cs="Calibri"/>
          <w:sz w:val="16"/>
        </w:rPr>
        <w:fldChar w:fldCharType="end"/>
      </w:r>
      <w:bookmarkEnd w:id="5"/>
      <w:r w:rsidRPr="00F933AF">
        <w:rPr>
          <w:rFonts w:cs="Calibri"/>
          <w:sz w:val="16"/>
        </w:rPr>
        <w:t xml:space="preserve"> We always have advised immigrants to avoid any misrepresentations when applying for or using public benefit programs, since this causes problems with benefit agencies and Immigration.</w:t>
      </w:r>
      <w:bookmarkStart w:id="6" w:name="_ftnref6"/>
      <w:bookmarkEnd w:id="4"/>
      <w:r w:rsidRPr="00F933AF">
        <w:rPr>
          <w:rFonts w:cs="Calibri"/>
          <w:sz w:val="16"/>
        </w:rPr>
        <w:fldChar w:fldCharType="begin"/>
      </w:r>
      <w:r w:rsidRPr="00F933AF">
        <w:rPr>
          <w:rFonts w:cs="Calibri"/>
          <w:sz w:val="16"/>
        </w:rPr>
        <w:instrText xml:space="preserve"> HYPERLINK "https://www.nilc.org/issues/health-care/exec-orders-and-access-to-public-programs/" \l "_ftn6" </w:instrText>
      </w:r>
      <w:r w:rsidRPr="00F933AF">
        <w:rPr>
          <w:rFonts w:cs="Calibri"/>
          <w:sz w:val="16"/>
        </w:rPr>
        <w:fldChar w:fldCharType="separate"/>
      </w:r>
      <w:r w:rsidRPr="00F933AF">
        <w:rPr>
          <w:rStyle w:val="Hyperlink"/>
          <w:rFonts w:cs="Calibri"/>
          <w:sz w:val="16"/>
        </w:rPr>
        <w:t>[6]</w:t>
      </w:r>
      <w:r w:rsidRPr="00F933AF">
        <w:rPr>
          <w:rFonts w:cs="Calibri"/>
          <w:sz w:val="16"/>
        </w:rPr>
        <w:fldChar w:fldCharType="end"/>
      </w:r>
      <w:bookmarkEnd w:id="6"/>
      <w:r w:rsidRPr="00F933AF">
        <w:rPr>
          <w:rFonts w:cs="Calibri"/>
          <w:sz w:val="16"/>
        </w:rPr>
        <w:t xml:space="preserve"> • Federal and state laws that protect the privacy of people who apply for or receive health coverage, nutrition, economic support, or other public benefits remain in place. In general, Medicaid, health insurance obtained under the Affordable Care Act (ACA, or Obamacare), the Supplemental Nutrition Assistance Program (SNAP, formerly food stamps), and other public programs may collect only the information necessary to determine eligibility for those programs. Applications for public benefits should not request information about the immigration status of nonapplicants in the household. And, with limited exceptions, benefit agencies may share information with other government agencies only for purposes of administering their programs. WHAT DO WE KNOW ABOUT CHANGES TO PUBLIC CHARGE POLICY SO FAR? Changes to the public charge instructions in the U.S. State Department’s Foreign Affairs Manual (FAM). In early January 2018, the State Department revised the instructions in the manual that officials in U.S. embassies and consulates use to decide whether to grant non–U.S. citizens permission to enter the U.S. These changes apply only to individuals who seek to enter the U.S. as a nonimmigrant or as a lawful permanent resident, or who must go abroad in order to have their application for LPR status processed. The revised State Department instructions address changes to how the public charge determination is to be made, including treatment of a sponsor’s affidavit of support. In the past, a valid affidavit of support generally has been sufficient to overcome any negative factors. Under the new instructions, the affidavit of support is a positive factor — but is not enough on its own. State Department officials must also weigh the other factors in determining whether a person is likely to rely on the government in the future for cash assistance or long-term care. The revised instructions allow noncash public benefits to be considered as one of many factors in the “totality of the circumstances” test. State Department officials may also consider a family member’s or a sponsor’s use of benefits as part of the public charge determination. It is too early to know how the new rules will be implemented by each U.S. embassy or consular office abroad. Please contact us at </w:t>
      </w:r>
      <w:hyperlink r:id="rId11" w:tgtFrame="_blank" w:history="1">
        <w:r w:rsidRPr="00F933AF">
          <w:rPr>
            <w:rStyle w:val="Hyperlink"/>
            <w:rFonts w:cs="Calibri"/>
            <w:sz w:val="16"/>
          </w:rPr>
          <w:t>publiccharge@nilc.org</w:t>
        </w:r>
      </w:hyperlink>
      <w:r w:rsidRPr="00F933AF">
        <w:rPr>
          <w:rFonts w:cs="Calibri"/>
          <w:sz w:val="16"/>
        </w:rPr>
        <w:t xml:space="preserve"> if you hear of any changes in practice. A more detailed summary of the changes to the FAM is available </w:t>
      </w:r>
      <w:hyperlink r:id="rId12" w:history="1">
        <w:r w:rsidRPr="00F933AF">
          <w:rPr>
            <w:rStyle w:val="Hyperlink"/>
            <w:rFonts w:cs="Calibri"/>
            <w:sz w:val="16"/>
          </w:rPr>
          <w:t>here</w:t>
        </w:r>
      </w:hyperlink>
      <w:r w:rsidRPr="00F933AF">
        <w:rPr>
          <w:rFonts w:cs="Calibri"/>
          <w:sz w:val="16"/>
        </w:rPr>
        <w:t xml:space="preserve">.* The Trump administration’s plan to file a Notice of Proposed Rulemaking (NPRM). The December 2017 Unified Agenda indicates that the administration plans to release an NPRM implementing changes to the public charge guidance. We recently learned that </w:t>
      </w:r>
      <w:r w:rsidRPr="00F933AF">
        <w:rPr>
          <w:rStyle w:val="StyleUnderline"/>
          <w:rFonts w:cs="Calibri"/>
        </w:rPr>
        <w:t>U.S. C</w:t>
      </w:r>
      <w:r w:rsidRPr="00F933AF">
        <w:rPr>
          <w:rFonts w:cs="Calibri"/>
          <w:sz w:val="16"/>
        </w:rPr>
        <w:t xml:space="preserve">itizenship and </w:t>
      </w:r>
      <w:r w:rsidRPr="00F933AF">
        <w:rPr>
          <w:rStyle w:val="StyleUnderline"/>
          <w:rFonts w:cs="Calibri"/>
        </w:rPr>
        <w:t>I</w:t>
      </w:r>
      <w:r w:rsidRPr="00F933AF">
        <w:rPr>
          <w:rFonts w:cs="Calibri"/>
          <w:sz w:val="16"/>
        </w:rPr>
        <w:t xml:space="preserve">mmigration </w:t>
      </w:r>
      <w:r w:rsidRPr="00F933AF">
        <w:rPr>
          <w:rStyle w:val="StyleUnderline"/>
          <w:rFonts w:cs="Calibri"/>
        </w:rPr>
        <w:t>S</w:t>
      </w:r>
      <w:r w:rsidRPr="00F933AF">
        <w:rPr>
          <w:rFonts w:cs="Calibri"/>
          <w:sz w:val="16"/>
        </w:rPr>
        <w:t xml:space="preserve">ervices is </w:t>
      </w:r>
      <w:r w:rsidRPr="00F933AF">
        <w:rPr>
          <w:rStyle w:val="StyleUnderline"/>
          <w:rFonts w:cs="Calibri"/>
        </w:rPr>
        <w:t>under pressure from the White House</w:t>
      </w:r>
      <w:r w:rsidRPr="00F933AF">
        <w:rPr>
          <w:rFonts w:cs="Calibri"/>
          <w:sz w:val="16"/>
        </w:rPr>
        <w:t xml:space="preserve"> to draft an NPRM by early 2018. </w:t>
      </w:r>
      <w:r w:rsidRPr="00F933AF">
        <w:rPr>
          <w:rStyle w:val="StyleUnderline"/>
          <w:rFonts w:cs="Calibri"/>
        </w:rPr>
        <w:t xml:space="preserve">The proposed rule is likely to alter the public charge policy by allowing government officials to consider a much broader array of critical services and work supports in the public charge determination. This could include health and nutrition programs such as Medicaid, the Children’s Health Insurance Program, and the Supplemental Nutrition Assistance Program (SNAP, or food stamps). </w:t>
      </w:r>
      <w:hyperlink r:id="rId13" w:tgtFrame="_blank" w:history="1">
        <w:r w:rsidRPr="00F933AF">
          <w:rPr>
            <w:rStyle w:val="Hyperlink"/>
            <w:rFonts w:cs="Calibri"/>
            <w:sz w:val="16"/>
          </w:rPr>
          <w:t>Reuters</w:t>
        </w:r>
      </w:hyperlink>
      <w:r w:rsidRPr="00F933AF">
        <w:rPr>
          <w:rFonts w:cs="Calibri"/>
          <w:sz w:val="16"/>
        </w:rPr>
        <w:t xml:space="preserve"> reported on a leaked draft of the proposed rule, and the </w:t>
      </w:r>
      <w:hyperlink r:id="rId14" w:history="1">
        <w:r w:rsidRPr="00F933AF">
          <w:rPr>
            <w:rStyle w:val="Hyperlink"/>
            <w:rFonts w:cs="Calibri"/>
            <w:sz w:val="16"/>
          </w:rPr>
          <w:t>draft</w:t>
        </w:r>
      </w:hyperlink>
      <w:r w:rsidRPr="00F933AF">
        <w:rPr>
          <w:rFonts w:cs="Calibri"/>
          <w:sz w:val="16"/>
        </w:rPr>
        <w:t xml:space="preserve"> was published by </w:t>
      </w:r>
      <w:hyperlink r:id="rId15" w:tgtFrame="_blank" w:history="1">
        <w:r w:rsidRPr="00F933AF">
          <w:rPr>
            <w:rStyle w:val="Hyperlink"/>
            <w:rFonts w:cs="Calibri"/>
            <w:sz w:val="16"/>
          </w:rPr>
          <w:t>Vox</w:t>
        </w:r>
      </w:hyperlink>
      <w:r w:rsidRPr="00F933AF">
        <w:rPr>
          <w:rFonts w:cs="Calibri"/>
          <w:sz w:val="16"/>
        </w:rPr>
        <w:t xml:space="preserve"> on February 8, 2018. More information about the upcoming proposed rule is available in this </w:t>
      </w:r>
      <w:hyperlink r:id="rId16" w:tgtFrame="_blank" w:history="1">
        <w:r w:rsidRPr="00F933AF">
          <w:rPr>
            <w:rStyle w:val="Hyperlink"/>
            <w:rFonts w:cs="Calibri"/>
            <w:sz w:val="16"/>
          </w:rPr>
          <w:t>fact sheet</w:t>
        </w:r>
      </w:hyperlink>
      <w:r w:rsidRPr="00F933AF">
        <w:rPr>
          <w:rFonts w:cs="Calibri"/>
          <w:sz w:val="16"/>
        </w:rPr>
        <w:t xml:space="preserve">. The leaked draft of an unsigned executive order. The </w:t>
      </w:r>
      <w:hyperlink r:id="rId17" w:tgtFrame="_blank" w:history="1">
        <w:r w:rsidRPr="00F933AF">
          <w:rPr>
            <w:rStyle w:val="Hyperlink"/>
            <w:rFonts w:cs="Calibri"/>
            <w:sz w:val="16"/>
          </w:rPr>
          <w:t>leaked draft executive order</w:t>
        </w:r>
      </w:hyperlink>
      <w:r w:rsidRPr="00F933AF">
        <w:rPr>
          <w:rFonts w:cs="Calibri"/>
          <w:sz w:val="16"/>
        </w:rPr>
        <w:t xml:space="preserve"> titled “Executive Order on Protecting Taxpayer Resources by Ensuring Our Immigration Laws Promote Accountability and Responsibility,” reported by Vox on January 25, 2017, has not been finalized or signed. Instead, it appears that some of the policies described in the leaked order are being implemented administratively, in the form of revised instructions or forms, or proposed regulations.</w:t>
      </w:r>
    </w:p>
    <w:p w:rsidR="000D6B43" w:rsidRPr="00F933AF" w:rsidRDefault="000D6B43" w:rsidP="000D6B43">
      <w:pPr>
        <w:pStyle w:val="Heading4"/>
        <w:rPr>
          <w:rFonts w:cs="Calibri"/>
        </w:rPr>
      </w:pPr>
      <w:r w:rsidRPr="00F933AF">
        <w:rPr>
          <w:rFonts w:cs="Calibri"/>
        </w:rPr>
        <w:t xml:space="preserve">Uncertainty over the future of public charge </w:t>
      </w:r>
      <w:r>
        <w:rPr>
          <w:rFonts w:cs="Calibri"/>
        </w:rPr>
        <w:t>is causing</w:t>
      </w:r>
      <w:r w:rsidRPr="00F933AF">
        <w:rPr>
          <w:rFonts w:cs="Calibri"/>
        </w:rPr>
        <w:t xml:space="preserve"> anxiety and drop out of necessary health and nutrition programs</w:t>
      </w:r>
    </w:p>
    <w:p w:rsidR="000D6B43" w:rsidRPr="00F933AF" w:rsidRDefault="000D6B43" w:rsidP="000D6B43">
      <w:pPr>
        <w:rPr>
          <w:rFonts w:cs="Calibri"/>
        </w:rPr>
      </w:pPr>
      <w:r w:rsidRPr="00F933AF">
        <w:rPr>
          <w:rStyle w:val="Style13ptBold"/>
          <w:rFonts w:cs="Calibri"/>
        </w:rPr>
        <w:t>Baumgaertner 18</w:t>
      </w:r>
      <w:r w:rsidRPr="00F933AF">
        <w:rPr>
          <w:rFonts w:cs="Calibri"/>
        </w:rPr>
        <w:t xml:space="preserve"> (Emily Baumgaertner, New York Times journalist, citing Lisa David, president and chief executive of Public Health Solutions, Charles Wheeler, legal expert at the Catholic Legal Immigration Network, 3/6/18, “Spooked by Trump Proposals, Immigrants Abandon Public Nutrition Services”, https://www.nytimes.com/2018/03/06/us/politics/trump-immigrants-public-nutrition-services.html)/CWB</w:t>
      </w:r>
    </w:p>
    <w:p w:rsidR="000D6B43" w:rsidRPr="00F933AF" w:rsidRDefault="000D6B43" w:rsidP="000D6B43">
      <w:pPr>
        <w:rPr>
          <w:rStyle w:val="StyleUnderline"/>
          <w:rFonts w:cs="Calibri"/>
        </w:rPr>
      </w:pPr>
      <w:r w:rsidRPr="00F933AF">
        <w:rPr>
          <w:rStyle w:val="StyleUnderline"/>
          <w:rFonts w:cs="Calibri"/>
        </w:rPr>
        <w:t>Immigrants hoping for permanent residence are dropping out of public nutrition programs even before prominent elements of the Trump administration’s proposed policy changes are enacted, fearful that participating could threaten their citizenship eligibility or put them at risk for deportation, according to program administrators. Statistics on participation in state and local efforts show fewer people are using an array of food programs, including the Supplemental Nutrition Program for Women, Infants and Children (called WIC) as well as the Supplemental Nutrition Assistance Program (or SNAP, formerly known as food stamps) and food banks. “The rumor mill is rampant, and the fear is palpable,”</w:t>
      </w:r>
      <w:r w:rsidRPr="00F933AF">
        <w:rPr>
          <w:rFonts w:cs="Calibri"/>
          <w:sz w:val="16"/>
        </w:rPr>
        <w:t xml:space="preserve"> said Lisa David, president and chief executive of Public Health Solutions, a major WIC and SNAP provider for New York City. “</w:t>
      </w:r>
      <w:r w:rsidRPr="00F933AF">
        <w:rPr>
          <w:rStyle w:val="StyleUnderline"/>
          <w:rFonts w:cs="Calibri"/>
        </w:rPr>
        <w:t>The stakes for what could happen in the future are incredibly high, and people just aren’t willing to take that risk.</w:t>
      </w:r>
      <w:r w:rsidRPr="00F933AF">
        <w:rPr>
          <w:rFonts w:cs="Calibri"/>
          <w:sz w:val="16"/>
        </w:rPr>
        <w:t xml:space="preserve">” The Department of Homeland Security </w:t>
      </w:r>
      <w:hyperlink r:id="rId18" w:tgtFrame="_blank" w:history="1">
        <w:r w:rsidRPr="00F933AF">
          <w:rPr>
            <w:rStyle w:val="Hyperlink"/>
            <w:rFonts w:cs="Calibri"/>
            <w:sz w:val="16"/>
          </w:rPr>
          <w:t>has drafted a regulation</w:t>
        </w:r>
      </w:hyperlink>
      <w:r w:rsidRPr="00F933AF">
        <w:rPr>
          <w:rFonts w:cs="Calibri"/>
          <w:sz w:val="16"/>
        </w:rPr>
        <w:t xml:space="preserve"> that would allow officials to factor in the use of benefits — like WIC, SNAP, the Children’s Health Insurance Program and even housing and transit subsidies — when deciding whether to approve some visa or green card applications. A </w:t>
      </w:r>
      <w:hyperlink r:id="rId19" w:tgtFrame="_blank" w:history="1">
        <w:r w:rsidRPr="00F933AF">
          <w:rPr>
            <w:rStyle w:val="Hyperlink"/>
            <w:rFonts w:cs="Calibri"/>
            <w:sz w:val="16"/>
          </w:rPr>
          <w:t>leaked draft</w:t>
        </w:r>
      </w:hyperlink>
      <w:r w:rsidRPr="00F933AF">
        <w:rPr>
          <w:rFonts w:cs="Calibri"/>
          <w:sz w:val="16"/>
        </w:rPr>
        <w:t xml:space="preserve"> of the proposal </w:t>
      </w:r>
      <w:hyperlink r:id="rId20" w:tgtFrame="_blank" w:history="1">
        <w:r w:rsidRPr="00F933AF">
          <w:rPr>
            <w:rStyle w:val="Hyperlink"/>
            <w:rFonts w:cs="Calibri"/>
            <w:sz w:val="16"/>
          </w:rPr>
          <w:t>first reported by Reuters</w:t>
        </w:r>
      </w:hyperlink>
      <w:r w:rsidRPr="00F933AF">
        <w:rPr>
          <w:rFonts w:cs="Calibri"/>
          <w:sz w:val="16"/>
        </w:rPr>
        <w:t xml:space="preserve"> and then published by Vox showed that </w:t>
      </w:r>
      <w:r w:rsidRPr="00F933AF">
        <w:rPr>
          <w:rStyle w:val="StyleUnderline"/>
          <w:rFonts w:cs="Calibri"/>
        </w:rPr>
        <w:t xml:space="preserve">immigrants </w:t>
      </w:r>
      <w:r w:rsidRPr="00F933AF">
        <w:rPr>
          <w:rFonts w:cs="Calibri"/>
          <w:sz w:val="16"/>
        </w:rPr>
        <w:t xml:space="preserve">seeking an adjustment of status, such as those applying for </w:t>
      </w:r>
      <w:r w:rsidRPr="00F933AF">
        <w:rPr>
          <w:rStyle w:val="StyleUnderline"/>
          <w:rFonts w:cs="Calibri"/>
        </w:rPr>
        <w:t>permanent residency, “must establish that they are not likely at any time to become a public charge” or rely heavily on long-term government assistance, lest they be deemed “inadmissible.”</w:t>
      </w:r>
      <w:r w:rsidRPr="00F933AF">
        <w:rPr>
          <w:rFonts w:cs="Calibri"/>
          <w:sz w:val="16"/>
        </w:rPr>
        <w:t xml:space="preserve"> The proposed regulation could be sent to the Office of Management and Budget for processing this month, according to Charles Wheeler, a legal expert at the Catholic Legal Immigration Network. The Department of Homeland Security did not respond to inquiries regarding the proposal’s timeline and prospects. </w:t>
      </w:r>
      <w:r w:rsidRPr="00F933AF">
        <w:rPr>
          <w:rStyle w:val="StyleUnderline"/>
          <w:rFonts w:cs="Calibri"/>
        </w:rPr>
        <w:t xml:space="preserve">A study conducted by the </w:t>
      </w:r>
      <w:hyperlink r:id="rId21" w:anchor="129" w:tgtFrame="_blank" w:history="1">
        <w:r w:rsidRPr="00F933AF">
          <w:rPr>
            <w:rStyle w:val="StyleUnderline"/>
            <w:rFonts w:cs="Calibri"/>
          </w:rPr>
          <w:t>National Academies of Sciences</w:t>
        </w:r>
      </w:hyperlink>
      <w:r w:rsidRPr="00F933AF">
        <w:rPr>
          <w:rStyle w:val="StyleUnderline"/>
          <w:rFonts w:cs="Calibri"/>
        </w:rPr>
        <w:t xml:space="preserve"> showed that 45.3 percent of all immigrant-headed households with children use a food assistance program. The vast majority of those children are American citizens. </w:t>
      </w:r>
      <w:r w:rsidRPr="00F933AF">
        <w:rPr>
          <w:rFonts w:cs="Calibri"/>
          <w:sz w:val="16"/>
        </w:rPr>
        <w:t xml:space="preserve">Administration officials say that fiscal responsibility motivated the policy move. “The administration is committed to enforcing existing immigration law, which is clearly intended to protect the American taxpayer,” said Tyler Q. Houlton, the acting press secretary for the Department of Homeland Security. “Any potential changes to the rule would be in keeping with the letter and spirit of the law — as well as the reasonable expectations of the American people for the government to be good stewards of taxpayer funds.” In an email to local WIC agency directors, the Rev. Douglas Greenaway, the president of the National WIC Association, assured providers that the proposed rules did not yet have “the weight of law.” But he acknowledged that this caveat “may not resonate with immigrant families” who are now weighing their need for WIC services against their desire for a permanent future in the United States. </w:t>
      </w:r>
      <w:r w:rsidRPr="00F933AF">
        <w:rPr>
          <w:rStyle w:val="StyleUnderline"/>
          <w:rFonts w:cs="Calibri"/>
        </w:rPr>
        <w:t xml:space="preserve">Mr. Wheeler of the Catholic Legal Immigration Network said lawyers began seeing the anxiety over a year ago, when a leaked draft of an </w:t>
      </w:r>
      <w:hyperlink r:id="rId22" w:tgtFrame="_blank" w:history="1">
        <w:r w:rsidRPr="00F933AF">
          <w:rPr>
            <w:rStyle w:val="StyleUnderline"/>
            <w:rFonts w:cs="Calibri"/>
          </w:rPr>
          <w:t>unsigned executive order</w:t>
        </w:r>
      </w:hyperlink>
      <w:r w:rsidRPr="00F933AF">
        <w:rPr>
          <w:rStyle w:val="StyleUnderline"/>
          <w:rFonts w:cs="Calibri"/>
        </w:rPr>
        <w:t xml:space="preserve"> aimed to promote “immigrant self-sufficiency.”</w:t>
      </w:r>
      <w:r w:rsidRPr="00F933AF">
        <w:rPr>
          <w:rFonts w:cs="Calibri"/>
          <w:sz w:val="16"/>
        </w:rPr>
        <w:t xml:space="preserve"> Then, in January, the State Department revised the Foreign Affairs Manual, used to determine whether to grant noncitizens entrance to the United States</w:t>
      </w:r>
      <w:r w:rsidRPr="00F933AF">
        <w:rPr>
          <w:rStyle w:val="StyleUnderline"/>
          <w:rFonts w:cs="Calibri"/>
        </w:rPr>
        <w:t>. Officials must now carefully consider the likelihood that the candidate for entry will become a burden to taxpayers, and can factor a family member’s or sponsor’s use of public benefits into their decision.</w:t>
      </w:r>
      <w:r w:rsidRPr="00F933AF">
        <w:rPr>
          <w:rFonts w:cs="Calibri"/>
          <w:sz w:val="16"/>
        </w:rPr>
        <w:t xml:space="preserve"> Immigrants’ reaction is a pattern providers have seen before. In WIC, unlike SNAP, most agencies do not solicit citizenship information. But in 2014, the State of Indiana — under Mike Pence, then governor and now vice president — began requiring applicants to affirm their citizenship or “qualified alien” status on WIC intake forms. </w:t>
      </w:r>
      <w:r w:rsidRPr="00F933AF">
        <w:rPr>
          <w:rStyle w:val="StyleUnderline"/>
          <w:rFonts w:cs="Calibri"/>
        </w:rPr>
        <w:t>Women immediately began refusing to enroll</w:t>
      </w:r>
      <w:r w:rsidRPr="00F933AF">
        <w:rPr>
          <w:rFonts w:cs="Calibri"/>
          <w:sz w:val="16"/>
        </w:rPr>
        <w:t xml:space="preserve">, said Colleen Batt, an Indiana WIC agency director at the time. </w:t>
      </w:r>
      <w:r w:rsidRPr="00F933AF">
        <w:rPr>
          <w:rStyle w:val="StyleUnderline"/>
          <w:rFonts w:cs="Calibri"/>
        </w:rPr>
        <w:t xml:space="preserve">Throughout the first year of the Trump presidency, agencies in regions with high immigrant populations have reported canceled appointments, urgent requests for disenrollment and even subsequent requests to have any record of families purged from the database. Immigrants who have withdrawn from these services are reluctant to speak out about their plight owing to fears that identifying themselves publicly could result in legal repercussions. In New Jersey, three neighboring counties — Union, Essex and Hudson — have immigrant populations above 25 percent, according to </w:t>
      </w:r>
      <w:hyperlink r:id="rId23" w:tgtFrame="_blank" w:history="1">
        <w:r w:rsidRPr="00F933AF">
          <w:rPr>
            <w:rStyle w:val="StyleUnderline"/>
            <w:rFonts w:cs="Calibri"/>
          </w:rPr>
          <w:t>census data</w:t>
        </w:r>
      </w:hyperlink>
      <w:r w:rsidRPr="00F933AF">
        <w:rPr>
          <w:rStyle w:val="StyleUnderline"/>
          <w:rFonts w:cs="Calibri"/>
        </w:rPr>
        <w:t xml:space="preserve">. In those counties, participation in some elements of the Community FoodBank of New Jersey’s outreach programming fell by almost half between 2016 and 2017, according to Julienne Cherry, the bank’s director of agency relations. </w:t>
      </w:r>
      <w:r w:rsidRPr="00F933AF">
        <w:rPr>
          <w:rFonts w:cs="Calibri"/>
          <w:sz w:val="16"/>
        </w:rPr>
        <w:t xml:space="preserve">As of November 2017, the New Jersey SNAP program also </w:t>
      </w:r>
      <w:hyperlink r:id="rId24" w:tgtFrame="_blank" w:history="1">
        <w:r w:rsidRPr="00F933AF">
          <w:rPr>
            <w:rStyle w:val="Hyperlink"/>
            <w:rFonts w:cs="Calibri"/>
            <w:sz w:val="16"/>
          </w:rPr>
          <w:t>reported a decrease</w:t>
        </w:r>
      </w:hyperlink>
      <w:r w:rsidRPr="00F933AF">
        <w:rPr>
          <w:rFonts w:cs="Calibri"/>
          <w:sz w:val="16"/>
        </w:rPr>
        <w:t xml:space="preserve"> of 8.1 percent in statewide participants over a one-year period. Enrollment rates in Essex and Union Counties had dropped by more than 10 percent. According to </w:t>
      </w:r>
      <w:hyperlink r:id="rId25" w:tgtFrame="_blank" w:history="1">
        <w:r w:rsidRPr="00F933AF">
          <w:rPr>
            <w:rStyle w:val="Hyperlink"/>
            <w:rFonts w:cs="Calibri"/>
            <w:sz w:val="16"/>
          </w:rPr>
          <w:t>preliminary data</w:t>
        </w:r>
      </w:hyperlink>
      <w:r w:rsidRPr="00F933AF">
        <w:rPr>
          <w:rFonts w:cs="Calibri"/>
          <w:sz w:val="16"/>
        </w:rPr>
        <w:t xml:space="preserve">, Florida saw a 9.6 percent decrease in WIC participation over the one-year period from November 2016 to 2017. Texas lost 7.4 percent of WIC participants — and some offices in heavily Spanish-speaking communities there say they are considering laying off employees because of the drastically decreasing caseload. Adele LaTourette, the director of the New Jersey Anti-Hunger Coalition, said a church food pantry specifically organized as a safe space for immigrants has seen “unprecedented decline,” as have reduced-cost breakfast and lunch programs in schools. </w:t>
      </w:r>
      <w:r w:rsidRPr="00F933AF">
        <w:rPr>
          <w:rStyle w:val="StyleUnderline"/>
          <w:rFonts w:cs="Calibri"/>
        </w:rPr>
        <w:t>Ms. LaTourette, who also convenes the New Jersey SNAP Working Group and serves on the state’s WIC Advisory Council, said</w:t>
      </w:r>
      <w:r w:rsidRPr="00F933AF">
        <w:rPr>
          <w:rFonts w:cs="Calibri"/>
          <w:sz w:val="16"/>
        </w:rPr>
        <w:t xml:space="preserve"> the same </w:t>
      </w:r>
      <w:r w:rsidRPr="00F933AF">
        <w:rPr>
          <w:rStyle w:val="StyleUnderline"/>
          <w:rFonts w:cs="Calibri"/>
        </w:rPr>
        <w:t>concerns have echoed through every round-table discussion she has led for nutrition services since the start of the administration. National WIC Association members in California, New York and Colorado have aired similar complaints</w:t>
      </w:r>
      <w:r w:rsidRPr="00F933AF">
        <w:rPr>
          <w:rFonts w:cs="Calibri"/>
          <w:sz w:val="16"/>
        </w:rPr>
        <w:t xml:space="preserve">. Some local agencies have begun planning training to help their staff navigate what could be ahead: </w:t>
      </w:r>
      <w:hyperlink r:id="rId26" w:tgtFrame="_blank" w:history="1">
        <w:r w:rsidRPr="00F933AF">
          <w:rPr>
            <w:rStyle w:val="Hyperlink"/>
            <w:rFonts w:cs="Calibri"/>
            <w:sz w:val="16"/>
          </w:rPr>
          <w:t>interactions with immigration enforcement agents</w:t>
        </w:r>
      </w:hyperlink>
      <w:r w:rsidRPr="00F933AF">
        <w:rPr>
          <w:rFonts w:cs="Calibri"/>
          <w:sz w:val="16"/>
        </w:rPr>
        <w:t xml:space="preserve">, increasingly anxious clients and final regulations. </w:t>
      </w:r>
      <w:r w:rsidRPr="00F933AF">
        <w:rPr>
          <w:rStyle w:val="StyleUnderline"/>
          <w:rFonts w:cs="Calibri"/>
        </w:rPr>
        <w:t>But they say they know — just as the White House does — that as the fear factor among immigrants outpaces the administration’s crackdown, the question of whether new public charge policies ever come to fruition is, in some ways, irrelevant.</w:t>
      </w:r>
    </w:p>
    <w:p w:rsidR="000D6B43" w:rsidRPr="000D6B43" w:rsidRDefault="000D6B43" w:rsidP="000D6B43"/>
    <w:p w:rsidR="008C5D52" w:rsidRPr="00F933AF" w:rsidRDefault="008C5D52" w:rsidP="008C5D52">
      <w:pPr>
        <w:pStyle w:val="Heading2"/>
        <w:rPr>
          <w:rFonts w:cs="Calibri"/>
        </w:rPr>
      </w:pPr>
      <w:r w:rsidRPr="00F933AF">
        <w:rPr>
          <w:rFonts w:cs="Calibri"/>
        </w:rPr>
        <w:t>Adv – Health</w:t>
      </w:r>
    </w:p>
    <w:p w:rsidR="00AD74EB" w:rsidRDefault="00AD74EB" w:rsidP="00AD74EB">
      <w:pPr>
        <w:pStyle w:val="Heading4"/>
      </w:pPr>
      <w:r>
        <w:t xml:space="preserve">We isolate 3 impacts – First is structural violence: </w:t>
      </w:r>
    </w:p>
    <w:p w:rsidR="00C500B6" w:rsidRPr="00F933AF" w:rsidRDefault="00C500B6" w:rsidP="00C500B6">
      <w:pPr>
        <w:pStyle w:val="Heading4"/>
        <w:rPr>
          <w:rFonts w:cs="Calibri"/>
        </w:rPr>
      </w:pPr>
      <w:r w:rsidRPr="00F933AF">
        <w:rPr>
          <w:rFonts w:cs="Calibri"/>
        </w:rPr>
        <w:t>Expansive public charge rules increase poverty</w:t>
      </w:r>
    </w:p>
    <w:p w:rsidR="00C500B6" w:rsidRPr="00F933AF" w:rsidRDefault="00C500B6" w:rsidP="00C500B6">
      <w:pPr>
        <w:rPr>
          <w:rFonts w:cs="Calibri"/>
        </w:rPr>
      </w:pPr>
      <w:r w:rsidRPr="00F933AF">
        <w:rPr>
          <w:rStyle w:val="Style13ptBold"/>
          <w:rFonts w:cs="Calibri"/>
        </w:rPr>
        <w:t>Laird 4/6</w:t>
      </w:r>
      <w:r w:rsidRPr="00F933AF">
        <w:rPr>
          <w:rFonts w:cs="Calibri"/>
        </w:rPr>
        <w:t xml:space="preserve"> (Jennifer Laird, PhD in sociology from the University of Washington, Postdoctoral Research Scientist at the Columbia University Center on Poverty &amp; Social Policy, 4/6/18, “This Immigration Proposal Could Put 670,000 Children At Risk Of Poverty”, https://www.huffingtonpost.com/entry/opinion-laird-public-charge_us_5ac5240be4b0aacd15b7ea7a)/CWB</w:t>
      </w:r>
    </w:p>
    <w:p w:rsidR="00C500B6" w:rsidRPr="00F933AF" w:rsidRDefault="00C500B6" w:rsidP="00C500B6">
      <w:pPr>
        <w:rPr>
          <w:rFonts w:cs="Calibri"/>
          <w:sz w:val="16"/>
        </w:rPr>
      </w:pPr>
      <w:r w:rsidRPr="00F933AF">
        <w:rPr>
          <w:rStyle w:val="StyleUnderline"/>
          <w:rFonts w:cs="Calibri"/>
        </w:rPr>
        <w:t>Child poverty in the U.S. has been on the decline</w:t>
      </w:r>
      <w:r w:rsidRPr="00F933AF">
        <w:rPr>
          <w:rFonts w:cs="Calibri"/>
          <w:sz w:val="16"/>
        </w:rPr>
        <w:t xml:space="preserve">. In 2016, the percentage of children living in poverty reached a record low of 15.2 percent, according to </w:t>
      </w:r>
      <w:hyperlink r:id="rId27" w:history="1">
        <w:r w:rsidRPr="00F933AF">
          <w:rPr>
            <w:rStyle w:val="Hyperlink"/>
            <w:rFonts w:cs="Calibri"/>
            <w:sz w:val="16"/>
          </w:rPr>
          <w:t>data from the Census Bureau</w:t>
        </w:r>
      </w:hyperlink>
      <w:r w:rsidRPr="00F933AF">
        <w:rPr>
          <w:rFonts w:cs="Calibri"/>
          <w:sz w:val="16"/>
        </w:rPr>
        <w:t>. And since the late 1960s, the child poverty rate has been reduced by nearly half. The</w:t>
      </w:r>
      <w:hyperlink r:id="rId28" w:tgtFrame="_blank" w:history="1">
        <w:r w:rsidRPr="00F933AF">
          <w:rPr>
            <w:rStyle w:val="Hyperlink"/>
            <w:rFonts w:cs="Calibri"/>
            <w:sz w:val="16"/>
          </w:rPr>
          <w:t xml:space="preserve"> Center on Budget and Policy Priorities</w:t>
        </w:r>
      </w:hyperlink>
      <w:r w:rsidRPr="00F933AF">
        <w:rPr>
          <w:rFonts w:cs="Calibri"/>
          <w:sz w:val="16"/>
        </w:rPr>
        <w:t xml:space="preserve"> largely attributes this progress to the creation and expansion of programs like the Supplemental Nutrition Assistance Program (SNAP, also commonly known as food stamps). However, as my colleagues and I at Columbia University documented in a new</w:t>
      </w:r>
      <w:hyperlink r:id="rId29" w:history="1">
        <w:r w:rsidRPr="00F933AF">
          <w:rPr>
            <w:rStyle w:val="Hyperlink"/>
            <w:rFonts w:cs="Calibri"/>
            <w:sz w:val="16"/>
          </w:rPr>
          <w:t xml:space="preserve"> report</w:t>
        </w:r>
      </w:hyperlink>
      <w:r w:rsidRPr="00F933AF">
        <w:rPr>
          <w:rFonts w:cs="Calibri"/>
          <w:sz w:val="16"/>
        </w:rPr>
        <w:t xml:space="preserve">, a </w:t>
      </w:r>
      <w:r w:rsidRPr="00F933AF">
        <w:rPr>
          <w:rStyle w:val="StyleUnderline"/>
          <w:rFonts w:cs="Calibri"/>
        </w:rPr>
        <w:t xml:space="preserve">troubling development might reverse this downward trend. A Department of Homeland Security </w:t>
      </w:r>
      <w:hyperlink r:id="rId30" w:history="1">
        <w:r w:rsidRPr="00F933AF">
          <w:rPr>
            <w:rStyle w:val="StyleUnderline"/>
            <w:rFonts w:cs="Calibri"/>
          </w:rPr>
          <w:t>proposal</w:t>
        </w:r>
      </w:hyperlink>
      <w:r w:rsidRPr="00F933AF">
        <w:rPr>
          <w:rStyle w:val="StyleUnderline"/>
          <w:rFonts w:cs="Calibri"/>
        </w:rPr>
        <w:t>, if implemented, could put at least 670,000 more children ― 560,000 of whom are U.S. citizens ― at risk of moving into poverty,</w:t>
      </w:r>
      <w:r w:rsidRPr="00F933AF">
        <w:rPr>
          <w:rFonts w:cs="Calibri"/>
          <w:sz w:val="16"/>
        </w:rPr>
        <w:t xml:space="preserve"> by our calculations. Currently, </w:t>
      </w:r>
      <w:hyperlink r:id="rId31" w:history="1">
        <w:r w:rsidRPr="00F933AF">
          <w:rPr>
            <w:rStyle w:val="Hyperlink"/>
            <w:rFonts w:cs="Calibri"/>
            <w:sz w:val="16"/>
          </w:rPr>
          <w:t>nearly 90 percent</w:t>
        </w:r>
      </w:hyperlink>
      <w:r w:rsidRPr="00F933AF">
        <w:rPr>
          <w:rFonts w:cs="Calibri"/>
          <w:sz w:val="16"/>
        </w:rPr>
        <w:t xml:space="preserve"> of children with immigrant parents are U.S.-born and therefore eligible for benefits like SNAP. By our estimates, SNAP participation for children of immigrants is comparable to participation for children of native-born parents; about one in three children receive SNAP benefits at some point within a given year. </w:t>
      </w:r>
      <w:r w:rsidRPr="00F933AF">
        <w:rPr>
          <w:rStyle w:val="StyleUnderline"/>
          <w:rFonts w:cs="Calibri"/>
        </w:rPr>
        <w:t xml:space="preserve">Not only would the DHS proposal increase the number of children living in poverty, but evidence suggests it’s already scaring away eligible immigrants from utilizing much-needed benefits for their families. The proposal addresses what is called </w:t>
      </w:r>
      <w:hyperlink r:id="rId32" w:history="1">
        <w:r w:rsidRPr="00F933AF">
          <w:rPr>
            <w:rStyle w:val="StyleUnderline"/>
            <w:rFonts w:cs="Calibri"/>
          </w:rPr>
          <w:t>“public charge.”</w:t>
        </w:r>
      </w:hyperlink>
      <w:r w:rsidRPr="00F933AF">
        <w:rPr>
          <w:rFonts w:cs="Calibri"/>
          <w:sz w:val="16"/>
        </w:rPr>
        <w:t xml:space="preserve"> It’s a term used by U.S. immigration officials for more than 100 years that refers to a person who relies on, or is likely to rely on, public cash assistance or government support, including programs such as </w:t>
      </w:r>
      <w:hyperlink r:id="rId33" w:history="1">
        <w:r w:rsidRPr="00F933AF">
          <w:rPr>
            <w:rStyle w:val="Hyperlink"/>
            <w:rFonts w:cs="Calibri"/>
            <w:sz w:val="16"/>
          </w:rPr>
          <w:t>Supplemental Security Income (SSI)</w:t>
        </w:r>
      </w:hyperlink>
      <w:r w:rsidRPr="00F933AF">
        <w:rPr>
          <w:rFonts w:cs="Calibri"/>
          <w:sz w:val="16"/>
        </w:rPr>
        <w:t xml:space="preserve"> and </w:t>
      </w:r>
      <w:hyperlink r:id="rId34" w:history="1">
        <w:r w:rsidRPr="00F933AF">
          <w:rPr>
            <w:rStyle w:val="Hyperlink"/>
            <w:rFonts w:cs="Calibri"/>
            <w:sz w:val="16"/>
          </w:rPr>
          <w:t>Temporary Assistance for Needy Families (TANF).</w:t>
        </w:r>
      </w:hyperlink>
      <w:r w:rsidRPr="00F933AF">
        <w:rPr>
          <w:rFonts w:cs="Calibri"/>
          <w:sz w:val="16"/>
        </w:rPr>
        <w:t xml:space="preserve"> </w:t>
      </w:r>
      <w:r w:rsidRPr="00F933AF">
        <w:rPr>
          <w:rStyle w:val="StyleUnderline"/>
          <w:rFonts w:cs="Calibri"/>
        </w:rPr>
        <w:t xml:space="preserve">Foreign-born individuals who are deemed by immigration officials to be a “public charge” can be denied entry into the U.S. Without a course correction, the U.S. will soon see a measurable increase in the number of children living in poverty. </w:t>
      </w:r>
      <w:r w:rsidRPr="00F933AF">
        <w:rPr>
          <w:rFonts w:cs="Calibri"/>
          <w:sz w:val="16"/>
        </w:rPr>
        <w:t xml:space="preserve">For now, non-cash benefits, including nutrition programs like SNAP, cannot be used when determining whether someone is a public charge. The existing definition only includes participation in cash assistance programs. Consider a U.S. household with citizen children, a mother who has legal permanent residence, and a father with a temporary work visa. </w:t>
      </w:r>
      <w:r w:rsidRPr="00F933AF">
        <w:rPr>
          <w:rStyle w:val="StyleUnderline"/>
          <w:rFonts w:cs="Calibri"/>
        </w:rPr>
        <w:t>Under current policy, immigration officers cannot use the household’s participation in non-cash benefit programs (like SNAP) as a reason for denying the father legal permanent residence</w:t>
      </w:r>
      <w:r w:rsidRPr="00F933AF">
        <w:rPr>
          <w:rFonts w:cs="Calibri"/>
          <w:sz w:val="16"/>
        </w:rPr>
        <w:t xml:space="preserve">. The father would be ineligible for SNAP based on his status; the mother and her children would be eligible. </w:t>
      </w:r>
      <w:r w:rsidRPr="00F933AF">
        <w:rPr>
          <w:rStyle w:val="StyleUnderline"/>
          <w:rFonts w:cs="Calibri"/>
        </w:rPr>
        <w:t xml:space="preserve">But the </w:t>
      </w:r>
      <w:hyperlink r:id="rId35" w:tgtFrame="_blank" w:history="1">
        <w:r w:rsidRPr="00F933AF">
          <w:rPr>
            <w:rStyle w:val="StyleUnderline"/>
            <w:rFonts w:cs="Calibri"/>
          </w:rPr>
          <w:t>Trump administration</w:t>
        </w:r>
      </w:hyperlink>
      <w:r w:rsidRPr="00F933AF">
        <w:rPr>
          <w:rStyle w:val="StyleUnderline"/>
          <w:rFonts w:cs="Calibri"/>
        </w:rPr>
        <w:t xml:space="preserve"> wants to change all that; the proposed DHS </w:t>
      </w:r>
      <w:hyperlink r:id="rId36" w:history="1">
        <w:r w:rsidRPr="00F933AF">
          <w:rPr>
            <w:rStyle w:val="StyleUnderline"/>
            <w:rFonts w:cs="Calibri"/>
          </w:rPr>
          <w:t>regulation</w:t>
        </w:r>
      </w:hyperlink>
      <w:r w:rsidRPr="00F933AF">
        <w:rPr>
          <w:rStyle w:val="StyleUnderline"/>
          <w:rFonts w:cs="Calibri"/>
        </w:rPr>
        <w:t xml:space="preserve"> would allow officials to consider a household’s participation in both cash and non-cash benefits when making decisions about public charge status. Receiving non-cash public benefits like food assistance could become a liability during the vetting process for immigrants working to obtain legal permanent residence. </w:t>
      </w:r>
      <w:r w:rsidRPr="00F933AF">
        <w:rPr>
          <w:rFonts w:cs="Calibri"/>
          <w:sz w:val="16"/>
        </w:rPr>
        <w:t xml:space="preserve">Bottom of Form Undocumented parents are already increasingly fearful that any interaction with the government will lead to arrest and deportation. According to Immigration and Customs Enforcement data, </w:t>
      </w:r>
      <w:hyperlink r:id="rId37" w:history="1">
        <w:r w:rsidRPr="00F933AF">
          <w:rPr>
            <w:rStyle w:val="Hyperlink"/>
            <w:rFonts w:cs="Calibri"/>
            <w:sz w:val="16"/>
          </w:rPr>
          <w:t xml:space="preserve">immigrant arrest rates </w:t>
        </w:r>
      </w:hyperlink>
      <w:r w:rsidRPr="00F933AF">
        <w:rPr>
          <w:rFonts w:cs="Calibri"/>
          <w:sz w:val="16"/>
        </w:rPr>
        <w:t xml:space="preserve">have risen by 41 percent since 2016, with a 171 percent increase in the number of non-criminal arrests. This, coupled with word of </w:t>
      </w:r>
      <w:r w:rsidRPr="00F933AF">
        <w:rPr>
          <w:rStyle w:val="StyleUnderline"/>
          <w:rFonts w:cs="Calibri"/>
        </w:rPr>
        <w:t>proposed changes to the public charge rule, is leading immigrant households to abandon both SNAP and the Special Supplemental Nutrition Program for Women, Infants, and Children (WIC), a program that provides food and nutrition education for low-income pregnant women and their children. Social service agencies in communities with large immigrant populations have</w:t>
      </w:r>
      <w:hyperlink r:id="rId38" w:history="1">
        <w:r w:rsidRPr="00F933AF">
          <w:rPr>
            <w:rStyle w:val="StyleUnderline"/>
            <w:rFonts w:cs="Calibri"/>
          </w:rPr>
          <w:t xml:space="preserve"> reported</w:t>
        </w:r>
      </w:hyperlink>
      <w:r w:rsidRPr="00F933AF">
        <w:rPr>
          <w:rStyle w:val="StyleUnderline"/>
          <w:rFonts w:cs="Calibri"/>
        </w:rPr>
        <w:t xml:space="preserve"> a spike in appointment cancellations and “urgent requests for dis-enrollment” from assistance programs. </w:t>
      </w:r>
      <w:r w:rsidRPr="00F933AF">
        <w:rPr>
          <w:rFonts w:cs="Calibri"/>
          <w:sz w:val="16"/>
        </w:rPr>
        <w:t xml:space="preserve">Nationwide, between 2016 and 2017, there was about a 5 percent decline in enrollment for </w:t>
      </w:r>
      <w:hyperlink r:id="rId39" w:history="1">
        <w:r w:rsidRPr="00F933AF">
          <w:rPr>
            <w:rStyle w:val="Hyperlink"/>
            <w:rFonts w:cs="Calibri"/>
            <w:sz w:val="16"/>
          </w:rPr>
          <w:t>SNAP</w:t>
        </w:r>
      </w:hyperlink>
      <w:r w:rsidRPr="00F933AF">
        <w:rPr>
          <w:rFonts w:cs="Calibri"/>
          <w:sz w:val="16"/>
        </w:rPr>
        <w:t xml:space="preserve"> and </w:t>
      </w:r>
      <w:hyperlink r:id="rId40" w:history="1">
        <w:r w:rsidRPr="00F933AF">
          <w:rPr>
            <w:rStyle w:val="Hyperlink"/>
            <w:rFonts w:cs="Calibri"/>
            <w:sz w:val="16"/>
          </w:rPr>
          <w:t>WIC</w:t>
        </w:r>
      </w:hyperlink>
      <w:r w:rsidRPr="00F933AF">
        <w:rPr>
          <w:rFonts w:cs="Calibri"/>
          <w:sz w:val="16"/>
        </w:rPr>
        <w:t xml:space="preserve">. In counties with large immigrant populations, SNAP and WIC enrollment declines </w:t>
      </w:r>
      <w:hyperlink r:id="rId41" w:history="1">
        <w:r w:rsidRPr="00F933AF">
          <w:rPr>
            <w:rStyle w:val="Hyperlink"/>
            <w:rFonts w:cs="Calibri"/>
            <w:sz w:val="16"/>
          </w:rPr>
          <w:t>were closer to 10 percent</w:t>
        </w:r>
      </w:hyperlink>
      <w:r w:rsidRPr="00F933AF">
        <w:rPr>
          <w:rFonts w:cs="Calibri"/>
          <w:sz w:val="16"/>
        </w:rPr>
        <w:t xml:space="preserve">. My colleagues and I estimate that if all households with one or more non-citizens gave up the SNAP and WIC benefits to which their U.S. citizen children are entitled, </w:t>
      </w:r>
      <w:hyperlink r:id="rId42" w:history="1">
        <w:r w:rsidRPr="00F933AF">
          <w:rPr>
            <w:rStyle w:val="StyleUnderline"/>
            <w:rFonts w:cs="Calibri"/>
          </w:rPr>
          <w:t>more than 500,000 of the children</w:t>
        </w:r>
      </w:hyperlink>
      <w:r w:rsidRPr="00F933AF">
        <w:rPr>
          <w:rStyle w:val="StyleUnderline"/>
          <w:rFonts w:cs="Calibri"/>
        </w:rPr>
        <w:t xml:space="preserve"> could fall into poverty</w:t>
      </w:r>
      <w:r w:rsidRPr="00F933AF">
        <w:rPr>
          <w:rFonts w:cs="Calibri"/>
          <w:sz w:val="16"/>
        </w:rPr>
        <w:t xml:space="preserve">, and more than </w:t>
      </w:r>
      <w:hyperlink r:id="rId43" w:history="1">
        <w:r w:rsidRPr="00F933AF">
          <w:rPr>
            <w:rStyle w:val="Hyperlink"/>
            <w:rFonts w:cs="Calibri"/>
            <w:sz w:val="16"/>
          </w:rPr>
          <w:t>200,000 of them could fall into deep poverty</w:t>
        </w:r>
      </w:hyperlink>
      <w:r w:rsidRPr="00F933AF">
        <w:rPr>
          <w:rFonts w:cs="Calibri"/>
          <w:sz w:val="16"/>
        </w:rPr>
        <w:t xml:space="preserve"> (below 50 percent of the Supplemental Poverty Measure threshold). </w:t>
      </w:r>
      <w:r w:rsidRPr="00F933AF">
        <w:rPr>
          <w:rStyle w:val="StyleUnderline"/>
          <w:rFonts w:cs="Calibri"/>
        </w:rPr>
        <w:t>The number of all children ― citizens and non-citizens ― living below the poverty line would increase by 8 percent, and the proportion living below the deep poverty line would increase by 16 percent</w:t>
      </w:r>
      <w:r w:rsidRPr="00F933AF">
        <w:rPr>
          <w:rFonts w:cs="Calibri"/>
          <w:sz w:val="16"/>
        </w:rPr>
        <w:t xml:space="preserve">. Approximately 60 percent of the reduction in child poverty since 2015 would be erased. Receiving non-cash public benefits like food assistance could become a liability during the vetting process for immigrants working to obtain legal permanent residence. It’s been </w:t>
      </w:r>
      <w:hyperlink r:id="rId44" w:history="1">
        <w:r w:rsidRPr="00F933AF">
          <w:rPr>
            <w:rStyle w:val="Hyperlink"/>
            <w:rFonts w:cs="Calibri"/>
            <w:sz w:val="16"/>
          </w:rPr>
          <w:t>well-documented</w:t>
        </w:r>
      </w:hyperlink>
      <w:r w:rsidRPr="00F933AF">
        <w:rPr>
          <w:rFonts w:cs="Calibri"/>
          <w:sz w:val="16"/>
        </w:rPr>
        <w:t xml:space="preserve"> that food insecurity in childhood can have long-term consequences. And as Hilary Hoynes and colleagues have </w:t>
      </w:r>
      <w:hyperlink r:id="rId45" w:history="1">
        <w:r w:rsidRPr="00F933AF">
          <w:rPr>
            <w:rStyle w:val="Hyperlink"/>
            <w:rFonts w:cs="Calibri"/>
            <w:sz w:val="16"/>
          </w:rPr>
          <w:t>shown</w:t>
        </w:r>
      </w:hyperlink>
      <w:r w:rsidRPr="00F933AF">
        <w:rPr>
          <w:rFonts w:cs="Calibri"/>
          <w:sz w:val="16"/>
        </w:rPr>
        <w:t xml:space="preserve">, access to food assistance programs like SNAP in early childhood leads to significant reductions in obesity, high blood pressure, heart disease and diabetes later in life. The DHS proposal will inarguably put the health and well-being of thousands of U.S. children at risk and will also set them up for health hardships as they age. In addition to SNAP and WIC, the new public charge definition includes participation in the Children’s Health Insurance Program, transportation and housing voucher programs, and refundable tax credits such as the Earned Income Tax Credit. However, immigrants may soon also abandon other much-needed non-cash assistance programs not included in the proposal ― such as emergency disaster relief and reduced-price school breakfast and lunch ― for fear that participation in any public assistance program will affect their immigration status. The Trump administration’s proposal, along with the recent increase in non-criminal immigrant arrests, may already be triggering a mass exodus of immigrant families from public assistance programs ― and </w:t>
      </w:r>
      <w:proofErr w:type="gramStart"/>
      <w:r w:rsidRPr="00F933AF">
        <w:rPr>
          <w:rFonts w:cs="Calibri"/>
          <w:sz w:val="16"/>
        </w:rPr>
        <w:t>it’s</w:t>
      </w:r>
      <w:proofErr w:type="gramEnd"/>
      <w:r w:rsidRPr="00F933AF">
        <w:rPr>
          <w:rFonts w:cs="Calibri"/>
          <w:sz w:val="16"/>
        </w:rPr>
        <w:t xml:space="preserve"> children who will face the consequences. </w:t>
      </w:r>
      <w:r w:rsidRPr="00F933AF">
        <w:rPr>
          <w:rStyle w:val="StyleUnderline"/>
          <w:rFonts w:cs="Calibri"/>
        </w:rPr>
        <w:t>Without a course correction, the U.S. will soon see a measurable increase in the number of children living in poverty</w:t>
      </w:r>
      <w:r w:rsidRPr="00F933AF">
        <w:rPr>
          <w:rFonts w:cs="Calibri"/>
          <w:sz w:val="16"/>
        </w:rPr>
        <w:t xml:space="preserve">. Simply put, the DHS proposal should not become official policy. </w:t>
      </w:r>
    </w:p>
    <w:p w:rsidR="000761DC" w:rsidRPr="00F933AF" w:rsidRDefault="000761DC" w:rsidP="000761DC">
      <w:pPr>
        <w:rPr>
          <w:rFonts w:cs="Calibri"/>
        </w:rPr>
      </w:pPr>
    </w:p>
    <w:p w:rsidR="00F703ED" w:rsidRDefault="00F703ED" w:rsidP="00F703ED">
      <w:pPr>
        <w:pStyle w:val="Heading4"/>
      </w:pPr>
      <w:r>
        <w:t>Poverty has widespread physical and mental implications—lack of access to health care disproportionately affect children, causing trauma, disability, and mortality</w:t>
      </w:r>
    </w:p>
    <w:p w:rsidR="00F703ED" w:rsidRPr="0078700E" w:rsidRDefault="00F703ED" w:rsidP="00F703ED">
      <w:pPr>
        <w:rPr>
          <w:sz w:val="18"/>
          <w:szCs w:val="18"/>
        </w:rPr>
      </w:pPr>
      <w:r w:rsidRPr="004849F7">
        <w:rPr>
          <w:b/>
        </w:rPr>
        <w:t>APA 12</w:t>
      </w:r>
      <w:r>
        <w:rPr>
          <w:b/>
        </w:rPr>
        <w:t xml:space="preserve"> </w:t>
      </w:r>
      <w:r w:rsidRPr="0078700E">
        <w:rPr>
          <w:sz w:val="18"/>
          <w:szCs w:val="18"/>
        </w:rPr>
        <w:t xml:space="preserve">(American Psychological Association, APA is the leading scientific and professional organization representing psychology in the US, “Effects of Poverty, Hunger and Homelessness on Children and Youth,” Poverty: What are the effects of child poverty? </w:t>
      </w:r>
      <w:r>
        <w:rPr>
          <w:sz w:val="18"/>
          <w:szCs w:val="18"/>
        </w:rPr>
        <w:t xml:space="preserve">2012, </w:t>
      </w:r>
      <w:r w:rsidRPr="0078700E">
        <w:rPr>
          <w:sz w:val="18"/>
          <w:szCs w:val="18"/>
        </w:rPr>
        <w:t>http://www.apa.org/pi/families/poverty.aspx)//jy</w:t>
      </w:r>
    </w:p>
    <w:p w:rsidR="00F703ED" w:rsidRDefault="00F703ED" w:rsidP="00F703ED">
      <w:pPr>
        <w:rPr>
          <w:u w:val="single"/>
        </w:rPr>
      </w:pPr>
      <w:r w:rsidRPr="00640485">
        <w:rPr>
          <w:sz w:val="14"/>
        </w:rPr>
        <w:t xml:space="preserve">What are the effects of child poverty? Psychological research has demonstrated that living in </w:t>
      </w:r>
      <w:r w:rsidRPr="008B530D">
        <w:rPr>
          <w:u w:val="single"/>
        </w:rPr>
        <w:t xml:space="preserve">poverty has a wide range of negative effects on the physical and mental health and well-being of our nation’s children. </w:t>
      </w:r>
      <w:r w:rsidRPr="00640485">
        <w:rPr>
          <w:sz w:val="14"/>
        </w:rPr>
        <w:t xml:space="preserve">Poverty impacts children within their various contexts at home, in school, and in their neighborhoods and communities. </w:t>
      </w:r>
      <w:r w:rsidRPr="008B530D">
        <w:rPr>
          <w:u w:val="single"/>
        </w:rPr>
        <w:t>Poverty is linked with</w:t>
      </w:r>
      <w:r w:rsidRPr="00640485">
        <w:rPr>
          <w:sz w:val="14"/>
        </w:rPr>
        <w:t xml:space="preserve"> negative conditions such as substandard housing, homelessness, inadequate nutrition and food insecurity, inadequate child care, </w:t>
      </w:r>
      <w:r w:rsidRPr="00A044BB">
        <w:rPr>
          <w:u w:val="single"/>
        </w:rPr>
        <w:t>lack of access to health care</w:t>
      </w:r>
      <w:r w:rsidRPr="00640485">
        <w:rPr>
          <w:sz w:val="14"/>
        </w:rPr>
        <w:t xml:space="preserve">, unsafe neighborhoods, and underresourced schools </w:t>
      </w:r>
      <w:r w:rsidRPr="00A044BB">
        <w:rPr>
          <w:u w:val="single"/>
        </w:rPr>
        <w:t>which adversely impact our nation’s children. Poorer children and teens are also at greater risk for</w:t>
      </w:r>
      <w:r w:rsidRPr="00640485">
        <w:rPr>
          <w:sz w:val="14"/>
        </w:rPr>
        <w:t xml:space="preserve"> several negative outcomes such as poor academic achievement, school dropout, </w:t>
      </w:r>
      <w:r w:rsidRPr="00A044BB">
        <w:rPr>
          <w:u w:val="single"/>
        </w:rPr>
        <w:t>abuse and neglect, behavioral and socioemotional problems, physical health problems, and developmental delays. These effects are compounded by the barriers children and their families encounter when trying to access physical and mental health care</w:t>
      </w:r>
      <w:r w:rsidRPr="00640485">
        <w:rPr>
          <w:sz w:val="14"/>
        </w:rPr>
        <w:t xml:space="preserve">. Economists estimate that </w:t>
      </w:r>
      <w:r w:rsidRPr="00A044BB">
        <w:rPr>
          <w:u w:val="single"/>
        </w:rPr>
        <w:t>child poverty costs an estimated $500 billion a year to the U.S. economy; reduces productivity and economic output by 1.3 percent of GDP; raises crime and increases health expenditure</w:t>
      </w:r>
      <w:r w:rsidRPr="00640485">
        <w:rPr>
          <w:sz w:val="14"/>
        </w:rPr>
        <w:t xml:space="preserve"> (Holzer et al., 2008). Poverty and academic achievement Poverty has a particularly adverse effect on the academic outcomes of children, especially during early childhood. Chronic stress associated with living in poverty has been shown to adversely affect children’s concentration and memory which may impact their ability to learn. The National Center for Education Statistics reports that in 2008, </w:t>
      </w:r>
      <w:r w:rsidRPr="00A044BB">
        <w:rPr>
          <w:u w:val="single"/>
        </w:rPr>
        <w:t>the dropout rate of students living in low-income families was about four and one-half times greater than the rate of children from higher-income families (</w:t>
      </w:r>
      <w:r w:rsidRPr="00640485">
        <w:rPr>
          <w:sz w:val="14"/>
        </w:rPr>
        <w:t xml:space="preserve">8.7 percent versus 2.0 percent). The academic achievement gap for poorer youth is particularly pronounced for low-income African American and Hispanic children compared with their more affluent White peers. Underresourced schools in poorer communities struggle to meet the learning needs of their students and aid them in fulfilling their potential. </w:t>
      </w:r>
      <w:r w:rsidRPr="00A044BB">
        <w:rPr>
          <w:u w:val="single"/>
        </w:rPr>
        <w:t>Inadequate education contributes to the cycle of poverty by making it more difficult for low-income children to lift themselves and future generations out of poverty.</w:t>
      </w:r>
      <w:r w:rsidRPr="00640485">
        <w:rPr>
          <w:sz w:val="14"/>
        </w:rPr>
        <w:t xml:space="preserve"> Poverty and psychosocial outcomes </w:t>
      </w:r>
      <w:r w:rsidRPr="00A044BB">
        <w:rPr>
          <w:u w:val="single"/>
        </w:rPr>
        <w:t>Children living in poverty are at greater risk of behavioral and emotional problems</w:t>
      </w:r>
      <w:r w:rsidRPr="00640485">
        <w:rPr>
          <w:sz w:val="14"/>
        </w:rPr>
        <w:t xml:space="preserve">. Some behavioral problems may include impulsiveness, difficulty getting along with peers, aggression, </w:t>
      </w:r>
      <w:hyperlink r:id="rId46" w:tooltip="ADHD topic page PS006" w:history="1">
        <w:r w:rsidRPr="00640485">
          <w:rPr>
            <w:rStyle w:val="Hyperlink"/>
            <w:sz w:val="14"/>
          </w:rPr>
          <w:t>attention-deficit/hyperactivity disorder</w:t>
        </w:r>
      </w:hyperlink>
      <w:r w:rsidRPr="00640485">
        <w:rPr>
          <w:sz w:val="14"/>
        </w:rPr>
        <w:t xml:space="preserve"> (ADHD) and conduct disorder. Some emotional problems may include feelings of </w:t>
      </w:r>
      <w:hyperlink r:id="rId47" w:tooltip="Anxiety topic page PS006" w:history="1">
        <w:r w:rsidRPr="00640485">
          <w:rPr>
            <w:rStyle w:val="Hyperlink"/>
            <w:sz w:val="14"/>
          </w:rPr>
          <w:t>anxiety</w:t>
        </w:r>
      </w:hyperlink>
      <w:r w:rsidRPr="00640485">
        <w:rPr>
          <w:sz w:val="14"/>
        </w:rPr>
        <w:t xml:space="preserve">, </w:t>
      </w:r>
      <w:hyperlink r:id="rId48" w:tooltip="Depression topic page PS006" w:history="1">
        <w:r w:rsidRPr="00640485">
          <w:rPr>
            <w:rStyle w:val="Hyperlink"/>
            <w:sz w:val="14"/>
          </w:rPr>
          <w:t>depression</w:t>
        </w:r>
      </w:hyperlink>
      <w:r w:rsidRPr="00640485">
        <w:rPr>
          <w:sz w:val="14"/>
        </w:rPr>
        <w:t xml:space="preserve"> and low self-esteem. </w:t>
      </w:r>
      <w:r w:rsidRPr="00A044BB">
        <w:rPr>
          <w:u w:val="single"/>
        </w:rPr>
        <w:t xml:space="preserve">Poverty and economic hardship is particularly difficult for parents who may experience chronic stress, depression, marital distress and exhibit harsher parenting behaviors. </w:t>
      </w:r>
      <w:r w:rsidRPr="00640485">
        <w:rPr>
          <w:sz w:val="14"/>
        </w:rPr>
        <w:t xml:space="preserve">These are all linked to poor social and emotional outcomes for children. Unsafe neighborhoods may expose low-income children to violence which can cause a number of psychosocial difficulties. Violence exposure can also predict future violent behavior in youth which places them at greater risk of injury and mortality and entry into the juvenile justice system. Poverty and physical health </w:t>
      </w:r>
      <w:r w:rsidRPr="00A044BB">
        <w:rPr>
          <w:u w:val="single"/>
        </w:rPr>
        <w:t>Children and teens living in poorer communities are at increased risk for a wide range of physical health problems</w:t>
      </w:r>
      <w:r w:rsidRPr="00640485">
        <w:rPr>
          <w:sz w:val="14"/>
        </w:rPr>
        <w:t xml:space="preserve">: Low birth weight Poor nutrition which is manifested in the following ways: Inadequate food which can lead to food insecurity/hunger Lack of access to healthy foods and areas for play or sports which can lead to childhood overweight or obesity Chronic conditions such as asthma, anemia and pneumonia Risky behaviors such as smoking or engaging in early sexual activity Exposure to environmental contaminants, e.g., lead paint and toxic waste dumps Exposure to violence in their communities </w:t>
      </w:r>
      <w:r w:rsidRPr="00640485">
        <w:rPr>
          <w:u w:val="single"/>
        </w:rPr>
        <w:t>which can lead to trauma, injury, disability and mortality</w:t>
      </w:r>
      <w:r>
        <w:rPr>
          <w:u w:val="single"/>
        </w:rPr>
        <w:t>.</w:t>
      </w:r>
    </w:p>
    <w:p w:rsidR="00F703ED" w:rsidRDefault="00F703ED" w:rsidP="00F703ED">
      <w:pPr>
        <w:rPr>
          <w:u w:val="single"/>
        </w:rPr>
      </w:pPr>
    </w:p>
    <w:p w:rsidR="00AD74EB" w:rsidRDefault="00AD74EB" w:rsidP="00791443">
      <w:pPr>
        <w:pStyle w:val="Heading4"/>
        <w:rPr>
          <w:rFonts w:cs="Calibri"/>
        </w:rPr>
      </w:pPr>
      <w:r>
        <w:rPr>
          <w:rFonts w:cs="Calibri"/>
        </w:rPr>
        <w:t xml:space="preserve">Second is disease: </w:t>
      </w:r>
    </w:p>
    <w:p w:rsidR="00EF2125" w:rsidRDefault="00EF2125" w:rsidP="00EF2125">
      <w:pPr>
        <w:pStyle w:val="Heading4"/>
      </w:pPr>
      <w:r>
        <w:t>Trump’s public charge expansion is coming- even if it isn’t the fear and current exclusion is enough to increase poverty, health care and the economy</w:t>
      </w:r>
    </w:p>
    <w:p w:rsidR="00EF2125" w:rsidRPr="00873E8A" w:rsidRDefault="00EF2125" w:rsidP="00EF2125">
      <w:r w:rsidRPr="00873E8A">
        <w:rPr>
          <w:rStyle w:val="Style13ptBold"/>
        </w:rPr>
        <w:t>Abramsky 7/12</w:t>
      </w:r>
      <w:r>
        <w:t xml:space="preserve"> (</w:t>
      </w:r>
      <w:r w:rsidRPr="00873E8A">
        <w:t xml:space="preserve">Sasha Abramsky, graduate degree in journalism for Columbia University, fellow at Demos, writer for UC Davis, 7/12/18, “Will ‘Public Charge’ Block Citizenship for Immigrants?”, </w:t>
      </w:r>
      <w:hyperlink r:id="rId49" w:history="1">
        <w:r w:rsidRPr="00873E8A">
          <w:rPr>
            <w:rStyle w:val="Hyperlink"/>
          </w:rPr>
          <w:t>EQUAL VOICE NEWS, https://www.caseygrants.org/evn/will-public-charge-block-citizenship-for-immigrants/)/CWB</w:t>
        </w:r>
      </w:hyperlink>
    </w:p>
    <w:p w:rsidR="00EF2125" w:rsidRPr="00EF2125" w:rsidRDefault="00EF2125" w:rsidP="00EF2125">
      <w:pPr>
        <w:rPr>
          <w:u w:val="single"/>
        </w:rPr>
      </w:pPr>
      <w:r w:rsidRPr="00930D48">
        <w:rPr>
          <w:sz w:val="16"/>
        </w:rPr>
        <w:t xml:space="preserve">Now, however, </w:t>
      </w:r>
      <w:r w:rsidRPr="00930D48">
        <w:rPr>
          <w:rStyle w:val="StyleUnderline"/>
        </w:rPr>
        <w:t>plans being floated by the Trump administration, using the argument that too many immigrants are a drain on the public purse, suggest they are seeking a catch-all expansion of the definition of “public charge.” If these plans come to fruition, would-be immigrants whose children are deemed likely to need free school lunches, for example, could be denied entry into the U.S. And the use of those services, even by U.S.-citizen children, who are legally entitled to them, would be used as grounds to deny their immigrant parents permanent residency or citizenship</w:t>
      </w:r>
      <w:r w:rsidRPr="00930D48">
        <w:rPr>
          <w:sz w:val="16"/>
        </w:rPr>
        <w:t xml:space="preserve">. Masked as a “reform” of the welfare system, it is, in fact, as public interest attorneys and community </w:t>
      </w:r>
      <w:proofErr w:type="gramStart"/>
      <w:r w:rsidRPr="00930D48">
        <w:rPr>
          <w:sz w:val="16"/>
        </w:rPr>
        <w:t>leaders</w:t>
      </w:r>
      <w:proofErr w:type="gramEnd"/>
      <w:r w:rsidRPr="00930D48">
        <w:rPr>
          <w:sz w:val="16"/>
        </w:rPr>
        <w:t xml:space="preserve"> fear, an </w:t>
      </w:r>
      <w:r w:rsidRPr="00930D48">
        <w:rPr>
          <w:rStyle w:val="StyleUnderline"/>
        </w:rPr>
        <w:t>extraordinarily brazen way to limit the immigration of poor people into the U.S., or their continued stay in the country</w:t>
      </w:r>
      <w:r>
        <w:rPr>
          <w:rStyle w:val="StyleUnderline"/>
        </w:rPr>
        <w:t>,</w:t>
      </w:r>
      <w:r w:rsidRPr="00930D48">
        <w:rPr>
          <w:rStyle w:val="StyleUnderline"/>
        </w:rPr>
        <w:t xml:space="preserve"> </w:t>
      </w:r>
      <w:r w:rsidRPr="00930D48">
        <w:rPr>
          <w:sz w:val="16"/>
        </w:rPr>
        <w:t xml:space="preserve">if they are already here. </w:t>
      </w:r>
      <w:r w:rsidRPr="00930D48">
        <w:rPr>
          <w:rStyle w:val="StyleUnderline"/>
        </w:rPr>
        <w:t>It would be, in practice, a massive tightening of the immigration system</w:t>
      </w:r>
      <w:r w:rsidRPr="00930D48">
        <w:rPr>
          <w:sz w:val="16"/>
        </w:rPr>
        <w:t xml:space="preserve">, and one the Trump administration hopes to implement on the down-low, as a regulatory reform, without any Congressional oversight, grassroots observers say. Getting some of your needs met is huge. Having that assistance in the beginning was a huge game-changer....Years later, I’m still giving back to communities that need me. Mychi Nguyen, a refugee from Vietnam and now a doctor at a federally qualified health clinic The devil is, of course, in the details: </w:t>
      </w:r>
      <w:r w:rsidRPr="00930D48">
        <w:rPr>
          <w:rStyle w:val="StyleUnderline"/>
        </w:rPr>
        <w:t xml:space="preserve">Technically, the government wouldn’t be denying immigrants and their U.S.-citizen children access to health care, food stamps, school lunches and other programs they now can access; such a move wouldn’t stand up to legal challenge. What they are doing, however, is saying something like, “Sure, you can use these services, but we reserve the right to hold that against you down the road.” “They wouldn’t be denying them access,” Broder says. “But they would be penalizing the parents, terrorizing families, chilling access to services or reducing family immigration in a way that Congress hasn’t authorized. The potential scope of the rule is so sweeping it would affect a large swath of the U.S. population. </w:t>
      </w:r>
      <w:r w:rsidRPr="00930D48">
        <w:rPr>
          <w:sz w:val="16"/>
        </w:rPr>
        <w:t xml:space="preserve">It’s an abrupt departure from 100 years of law and practice.” While the exact contours of these regulatory rule changes haven’t yet been published, a number of draft versions of the proposals have leaked over the past several months. “We’ve been tracking it for some time now,” says Carolina Gamero, of the </w:t>
      </w:r>
      <w:hyperlink r:id="rId50" w:history="1">
        <w:r w:rsidRPr="00930D48">
          <w:rPr>
            <w:rStyle w:val="Hyperlink"/>
            <w:sz w:val="16"/>
          </w:rPr>
          <w:t>California Immigrant Policy Center</w:t>
        </w:r>
      </w:hyperlink>
      <w:r w:rsidRPr="00930D48">
        <w:rPr>
          <w:sz w:val="16"/>
        </w:rPr>
        <w:t>. “</w:t>
      </w:r>
      <w:r w:rsidRPr="00930D48">
        <w:rPr>
          <w:rStyle w:val="StyleUnderline"/>
        </w:rPr>
        <w:t xml:space="preserve">What’s happening at an administrative level does strike real fear in </w:t>
      </w:r>
      <w:proofErr w:type="gramStart"/>
      <w:r w:rsidRPr="00930D48">
        <w:rPr>
          <w:rStyle w:val="StyleUnderline"/>
        </w:rPr>
        <w:t>communities.</w:t>
      </w:r>
      <w:proofErr w:type="gramEnd"/>
      <w:r w:rsidRPr="00930D48">
        <w:rPr>
          <w:rStyle w:val="StyleUnderline"/>
        </w:rPr>
        <w:t>” The leaked versions, which suggest an eagerness to penalize immigrants for using not only federal mean-tested programs but also state ones, have deeply worried immigrant rights and anti-poverty advocates, and also have forced them to think far outside the box about how to respond.</w:t>
      </w:r>
      <w:r w:rsidRPr="00930D48">
        <w:rPr>
          <w:sz w:val="16"/>
        </w:rPr>
        <w:t xml:space="preserve"> It is, says Jessica Bartholow, policy advocate with the </w:t>
      </w:r>
      <w:hyperlink r:id="rId51" w:history="1">
        <w:r w:rsidRPr="00930D48">
          <w:rPr>
            <w:rStyle w:val="Hyperlink"/>
            <w:sz w:val="16"/>
          </w:rPr>
          <w:t>Western Center on Law and Poverty</w:t>
        </w:r>
      </w:hyperlink>
      <w:r w:rsidRPr="00930D48">
        <w:rPr>
          <w:sz w:val="16"/>
        </w:rPr>
        <w:t>, a “</w:t>
      </w:r>
      <w:r w:rsidRPr="00930D48">
        <w:rPr>
          <w:rStyle w:val="StyleUnderline"/>
        </w:rPr>
        <w:t>potential game changer</w:t>
      </w:r>
      <w:r w:rsidRPr="00930D48">
        <w:rPr>
          <w:sz w:val="16"/>
        </w:rPr>
        <w:t xml:space="preserve">,” since accessing universal benefits would not be penalized, whereas accessing means-tested ones would be. It might, she says in a more hopeful moment, force states such as California to consider implementing universal health care, or universal child benefits or even the universal basic income, as a way around the Trump administration’s potential changes that would affect immigrant populations. But, in the meantime, she </w:t>
      </w:r>
      <w:r w:rsidRPr="00930D48">
        <w:rPr>
          <w:rStyle w:val="StyleUnderline"/>
        </w:rPr>
        <w:t xml:space="preserve">fears a vast, and negative, impact on immigrant communities: “It’s really cruel to allow people in your country to experience that kind of deprivation.” </w:t>
      </w:r>
      <w:r w:rsidRPr="00930D48">
        <w:rPr>
          <w:sz w:val="16"/>
        </w:rPr>
        <w:t xml:space="preserve">Already, she says, simply based on </w:t>
      </w:r>
      <w:r w:rsidRPr="00930D48">
        <w:rPr>
          <w:rStyle w:val="StyleUnderline"/>
        </w:rPr>
        <w:t>rumors circulating in immigrant communities</w:t>
      </w:r>
      <w:r w:rsidRPr="00930D48">
        <w:rPr>
          <w:sz w:val="16"/>
        </w:rPr>
        <w:t xml:space="preserve">, her organization has watched in shock as more and </w:t>
      </w:r>
      <w:r w:rsidRPr="00930D48">
        <w:rPr>
          <w:rStyle w:val="StyleUnderline"/>
        </w:rPr>
        <w:t>more immigrants have stopped applying for vital nutritional and health benefits.</w:t>
      </w:r>
      <w:r w:rsidRPr="00930D48">
        <w:rPr>
          <w:sz w:val="16"/>
        </w:rPr>
        <w:t xml:space="preserve"> At some point over the summer, the draft regulations will likely be released after review by the Office of Management and Budget—</w:t>
      </w:r>
      <w:r w:rsidRPr="00930D48">
        <w:rPr>
          <w:rStyle w:val="StyleUnderline"/>
        </w:rPr>
        <w:t>advocates</w:t>
      </w:r>
      <w:r w:rsidRPr="00930D48">
        <w:rPr>
          <w:sz w:val="16"/>
        </w:rPr>
        <w:t xml:space="preserve"> have, since May, </w:t>
      </w:r>
      <w:r w:rsidRPr="00930D48">
        <w:rPr>
          <w:rStyle w:val="StyleUnderline"/>
        </w:rPr>
        <w:t>believed the publication was imminent</w:t>
      </w:r>
      <w:r w:rsidRPr="00930D48">
        <w:rPr>
          <w:sz w:val="16"/>
        </w:rPr>
        <w:t xml:space="preserve">—followed by a public comment period of up to three months. Given the hardline, anti-immigrant policies favored by some lawmakers, as a central plank for their midterm strategy, it is likely this comment period will fill the months leading up to the November elections. If so, that would push a debate on immigrants’ access to public benefits center stage. The Trump administration could seek to make the image of migrants using benefits serve as the same political lightning rod as did the “welfare queen” in the 1980s. Former President Ronald Reagan used that term, to powerful effect, a generation ago. Hoping to reshape the narrative, immigrant rights organizations are gearing up for an enormous fight during this public comment period. But by the end of 2018, there is concern that some version of these new regulations will likely be on the books. Organizers with the </w:t>
      </w:r>
      <w:hyperlink r:id="rId52" w:history="1">
        <w:r w:rsidRPr="00930D48">
          <w:rPr>
            <w:rStyle w:val="Hyperlink"/>
            <w:sz w:val="16"/>
          </w:rPr>
          <w:t>National Domestic Workers Alliance</w:t>
        </w:r>
      </w:hyperlink>
      <w:r w:rsidRPr="00930D48">
        <w:rPr>
          <w:sz w:val="16"/>
        </w:rPr>
        <w:t xml:space="preserve">, which works with low-income workers, mainly women, in heavily immigrant communities, agree with Bartholow’s observation. Which is: That </w:t>
      </w:r>
      <w:r w:rsidRPr="00930D48">
        <w:rPr>
          <w:rStyle w:val="StyleUnderline"/>
        </w:rPr>
        <w:t xml:space="preserve">even if they are ultimately not adopted, simply sending out a drip of rumors about such rule changes will serve the purpose of discouraging large numbers of immigrants from accessing everything from food stamps and school lunches for their children to health care and the Earned Income Tax Credit. “It </w:t>
      </w:r>
      <w:r w:rsidRPr="00930D48">
        <w:rPr>
          <w:sz w:val="16"/>
        </w:rPr>
        <w:t>really</w:t>
      </w:r>
      <w:r w:rsidRPr="00930D48">
        <w:rPr>
          <w:rStyle w:val="StyleUnderline"/>
        </w:rPr>
        <w:t xml:space="preserve"> affects a lot of the domestic workers </w:t>
      </w:r>
      <w:r w:rsidRPr="00930D48">
        <w:rPr>
          <w:sz w:val="16"/>
        </w:rPr>
        <w:t xml:space="preserve">we work with,” says Natalia Jaramillo, of the NDWA’s immigration campaign. “Many are immigrants on temporary protected status, or they are undocumented, or they are [non-citizen] residents. They have children born here.” And, since the funding for so many federal programs is based on a formula that takes into account usage, as the number of immigrants accessing vital programs such as school lunches declines, so the total moneys available to poor school districts for these services, and for related services based on overall poverty measures in a school district, also falls off. Hit access to these programs, and states like California and New York, Florida and Texas, with high numbers of immigrants, </w:t>
      </w:r>
      <w:r w:rsidRPr="00930D48">
        <w:rPr>
          <w:rStyle w:val="StyleUnderline"/>
        </w:rPr>
        <w:t>likely will see declining services to, and opportunities for, poor people across the board. The result likely will be a further shredding of the safety net, and more low-income immigrants, and others, falling deeper into poverty. Already, as federal policies and bureaucracies “get-tough,” so immigrants are facing huge hurdles accessing benefits</w:t>
      </w:r>
      <w:r w:rsidRPr="00930D48">
        <w:rPr>
          <w:sz w:val="16"/>
        </w:rPr>
        <w:t>. Take, for example, the story of Lemka, a 46-year-old undocumented immigrant living in a small town in the western part of Virginia. Shortly after Trump was elected president, she had to renew Medicaid for her U.S.-citizen daughter. When she went in to the office to fill in the paperwork, the official there interrogated Lemka about her immigration status, which was not relevant to the visit, and told her that if she didn’t provide all the information they requested she would refer her to federal immigration authorities. Lemka was only applying for benefits for her U.S.-citizen child. In a panic, Lemka left the office, and even though her daughter, who also qualifies for food stamps and school lunches, is legally eligible for Medicaid, she is no longer covered. Lemka’s case speaks to a broader issue. Despite the view by some in the U.S. that immigrants, legal and otherwise, are “takers,”</w:t>
      </w:r>
      <w:r w:rsidRPr="00930D48">
        <w:rPr>
          <w:rStyle w:val="StyleUnderline"/>
        </w:rPr>
        <w:t xml:space="preserve"> so many are either already excluded from or scared away from the social safety net that they contribute far more in taxes than they will ever receive in benefits.</w:t>
      </w:r>
      <w:r w:rsidRPr="00930D48">
        <w:rPr>
          <w:sz w:val="16"/>
        </w:rPr>
        <w:t xml:space="preserve"> In 2017, says Robert Pollin, co-director of the </w:t>
      </w:r>
      <w:hyperlink r:id="rId53" w:history="1">
        <w:r w:rsidRPr="00930D48">
          <w:rPr>
            <w:rStyle w:val="Hyperlink"/>
            <w:sz w:val="16"/>
          </w:rPr>
          <w:t>Political Economy Research Institute</w:t>
        </w:r>
      </w:hyperlink>
      <w:r w:rsidRPr="00930D48">
        <w:rPr>
          <w:sz w:val="16"/>
        </w:rPr>
        <w:t xml:space="preserve"> at the University of Massachusetts at Amherst, “</w:t>
      </w:r>
      <w:r w:rsidRPr="00930D48">
        <w:rPr>
          <w:rStyle w:val="StyleUnderline"/>
        </w:rPr>
        <w:t xml:space="preserve">Undocumented immigrants contributed $13 billion to the Social Security Trust Fund and received only $1 billion in benefits – i.e. they were donating $12 billion to support everyone else’s Social Security.” </w:t>
      </w:r>
      <w:r w:rsidRPr="00930D48">
        <w:rPr>
          <w:sz w:val="16"/>
        </w:rPr>
        <w:t xml:space="preserve">In the current anti-immigrant political climate, however, such inconvenient facts mean little to an </w:t>
      </w:r>
      <w:r w:rsidRPr="00930D48">
        <w:rPr>
          <w:rStyle w:val="StyleUnderline"/>
        </w:rPr>
        <w:t>administration intent on finding evermore creative ways to limit the ability of foreigners to migrate into, and remain within, the United States. “It’s all part of a huge plan to make our country as uncomfortable to immigrants as possible</w:t>
      </w:r>
      <w:r w:rsidRPr="00930D48">
        <w:rPr>
          <w:sz w:val="16"/>
        </w:rPr>
        <w:t xml:space="preserve">,” argues Amanda Baran, a consultant on immigration issues to the </w:t>
      </w:r>
      <w:hyperlink r:id="rId54" w:history="1">
        <w:r w:rsidRPr="00930D48">
          <w:rPr>
            <w:rStyle w:val="Hyperlink"/>
            <w:sz w:val="16"/>
          </w:rPr>
          <w:t>National Domestic Workers Alliance</w:t>
        </w:r>
      </w:hyperlink>
      <w:r w:rsidRPr="00930D48">
        <w:rPr>
          <w:sz w:val="16"/>
        </w:rPr>
        <w:t>. As a result, some grassroots advocates fear, kids in immigrant families may well soon be excluded from even the most basic of health protections. “It’s good health policy to make sure children are protected and healthy, not just for themselves but for the community at large,” Lemka says, speaking through an interpreter provided by the NDWA. “We’re talking about the safety and health of U.S.-citizen children. U.S.-citizen children that have rights. As a mom, I’m concerned about my kid. It’s hard to keep kids safe and healthy.” Back in Oakland, California, Nguyen, the doctor, has seen firsthand what happens when her patients are scared off of using medical services. “</w:t>
      </w:r>
      <w:r w:rsidRPr="00930D48">
        <w:rPr>
          <w:rStyle w:val="StyleUnderline"/>
        </w:rPr>
        <w:t>They’re afraid, very, very scared about using services they need,” she says. “Food stamps, WIC [Women, Infants and Children program]. You’re providing food for babies, education. You’re preventing hunger, malnutrition, costs on society in the long term. I’ve had patients I’ve known for years. I tell them I’m worried they have cancer, and I’d like to do a workup. They’re afraid if they use a specialist or get a CAT scan, that’ll be seen as a public charge and hurt them. They’re risking their life. I had a patient, an old gentleman, he was having a stroke right in front of me. I told him he could die or be paralyzed if he doesn’t go to the ER right now. He told me he couldn’t take that risk. Now he’s paralyzed. The right side of his body doesn’t work.”</w:t>
      </w:r>
      <w:r w:rsidRPr="00930D48">
        <w:rPr>
          <w:sz w:val="16"/>
        </w:rPr>
        <w:t xml:space="preserve"> Nguyen worries constantly that, </w:t>
      </w:r>
      <w:r w:rsidRPr="00930D48">
        <w:rPr>
          <w:rStyle w:val="StyleUnderline"/>
        </w:rPr>
        <w:t>if the proposed “public charge” changes come into effect, such stories will become commonplace</w:t>
      </w:r>
      <w:r w:rsidRPr="00930D48">
        <w:rPr>
          <w:sz w:val="16"/>
        </w:rPr>
        <w:t xml:space="preserve">. “We will see patients not coming in,” she fears. “They won’t come in for their doctors’ visits. It will create a huge impact on the health care system. People will delay health care till they’re really in crisis. And then they’ll show up in the ERs very sick. </w:t>
      </w:r>
      <w:r w:rsidRPr="00930D48">
        <w:rPr>
          <w:rStyle w:val="StyleUnderline"/>
        </w:rPr>
        <w:t>From a public health policy standpoint, there’s no rationale to do this, to expand the ‘public charge’ definition. It’s very shortsighted. Economically, it doesn’t make sense.”</w:t>
      </w:r>
    </w:p>
    <w:p w:rsidR="00CB4A30" w:rsidRPr="00F933AF" w:rsidRDefault="00CB4A30" w:rsidP="00CB4A30">
      <w:pPr>
        <w:pStyle w:val="Heading4"/>
        <w:rPr>
          <w:rFonts w:cs="Calibri"/>
        </w:rPr>
      </w:pPr>
      <w:r w:rsidRPr="00F933AF">
        <w:rPr>
          <w:rFonts w:cs="Calibri"/>
        </w:rPr>
        <w:t>New public charge restrictions decrease participation in programs key to health and financial stability of immigrants and their 10.4 million children</w:t>
      </w:r>
    </w:p>
    <w:p w:rsidR="00CB4A30" w:rsidRPr="00F933AF" w:rsidRDefault="00CB4A30" w:rsidP="00CB4A30">
      <w:pPr>
        <w:rPr>
          <w:rFonts w:cs="Calibri"/>
        </w:rPr>
      </w:pPr>
      <w:r w:rsidRPr="00F933AF">
        <w:rPr>
          <w:rStyle w:val="Style13ptBold"/>
          <w:rFonts w:cs="Calibri"/>
        </w:rPr>
        <w:t xml:space="preserve">Garfield et al. 5/18 </w:t>
      </w:r>
      <w:r w:rsidRPr="00F933AF">
        <w:rPr>
          <w:rFonts w:cs="Calibri"/>
        </w:rPr>
        <w:t>(</w:t>
      </w:r>
      <w:hyperlink r:id="rId55" w:history="1">
        <w:r w:rsidRPr="00F933AF">
          <w:rPr>
            <w:rStyle w:val="Hyperlink"/>
            <w:rFonts w:cs="Calibri"/>
          </w:rPr>
          <w:t>Rachel Garfield</w:t>
        </w:r>
      </w:hyperlink>
      <w:r w:rsidRPr="00F933AF">
        <w:rPr>
          <w:rFonts w:cs="Calibri"/>
        </w:rPr>
        <w:t xml:space="preserve">, PhD in health policy from Harvard, Senior Researcher for the Kaiser Family Foundation, former Assistant Professor in the Department of Health Policy and Management at the University of Pittsburgh, </w:t>
      </w:r>
      <w:hyperlink r:id="rId56" w:history="1">
        <w:r w:rsidRPr="00F933AF">
          <w:rPr>
            <w:rStyle w:val="Hyperlink"/>
            <w:rFonts w:cs="Calibri"/>
          </w:rPr>
          <w:t>Samantha Artiga</w:t>
        </w:r>
      </w:hyperlink>
      <w:r w:rsidRPr="00F933AF">
        <w:rPr>
          <w:rFonts w:cs="Calibri"/>
        </w:rPr>
        <w:t>, Director of the Disparities Policy Project at the Kaiser Family Foundation, Anthony Damico, masters in Health Policy from Johns Hopkins, Statistical Analyst at the Henry J. Kaiser Family Foundation, 5/18/18, “Potential Effects of Public Charge Changes on Health Coverage for Citizen Children”, https://www.kff.org/disparities-policy/issue-brief/potential-effects-of-public-charge-changes-on-health-coverage-for-citizen-children/)/CWB</w:t>
      </w:r>
    </w:p>
    <w:p w:rsidR="007E3C82" w:rsidRPr="00EF2125" w:rsidRDefault="00CB4A30" w:rsidP="007E3C82">
      <w:pPr>
        <w:rPr>
          <w:rFonts w:cs="Calibri"/>
          <w:sz w:val="16"/>
        </w:rPr>
      </w:pPr>
      <w:r w:rsidRPr="00F933AF">
        <w:rPr>
          <w:rStyle w:val="StyleUnderline"/>
          <w:rFonts w:cs="Calibri"/>
        </w:rPr>
        <w:t xml:space="preserve">The Trump Administration is pursuing changes that, for the first time, would allow the federal government to take into account use of Medicaid, CHIP, subsidies for Marketplace coverage and other health, nutrition, and non-cash programs when making public charge determinations. These changes would likely lead to </w:t>
      </w:r>
      <w:r w:rsidRPr="00F933AF">
        <w:rPr>
          <w:rStyle w:val="Emphasis"/>
          <w:rFonts w:cs="Calibri"/>
        </w:rPr>
        <w:t>decreased participation</w:t>
      </w:r>
      <w:r w:rsidRPr="00F933AF">
        <w:rPr>
          <w:rStyle w:val="StyleUnderline"/>
          <w:rFonts w:cs="Calibri"/>
        </w:rPr>
        <w:t xml:space="preserve"> in Medicaid, CHIP, Marketplace coverage, and other programs among legal immigrants and their citizen children, even though they would remain eligible. </w:t>
      </w:r>
      <w:r w:rsidRPr="00F933AF">
        <w:rPr>
          <w:rFonts w:cs="Calibri"/>
          <w:sz w:val="16"/>
        </w:rPr>
        <w:t xml:space="preserve">This brief provides an overview of citizen children with a noncitizen parent potentially affected by the changes and analyzes three Medicaid/CHIP </w:t>
      </w:r>
      <w:r w:rsidRPr="00F933AF">
        <w:rPr>
          <w:rStyle w:val="StyleUnderline"/>
          <w:rFonts w:cs="Calibri"/>
        </w:rPr>
        <w:t>disenrollment scenarios</w:t>
      </w:r>
      <w:r w:rsidRPr="00F933AF">
        <w:rPr>
          <w:rFonts w:cs="Calibri"/>
          <w:sz w:val="16"/>
        </w:rPr>
        <w:t xml:space="preserve"> to illustrate how the changes could potentially </w:t>
      </w:r>
      <w:r w:rsidRPr="00F933AF">
        <w:rPr>
          <w:rStyle w:val="StyleUnderline"/>
          <w:rFonts w:cs="Calibri"/>
        </w:rPr>
        <w:t>affect their health coverage and uninsured rate</w:t>
      </w:r>
      <w:r w:rsidRPr="00F933AF">
        <w:rPr>
          <w:rFonts w:cs="Calibri"/>
          <w:sz w:val="16"/>
        </w:rPr>
        <w:t xml:space="preserve">. </w:t>
      </w:r>
      <w:r w:rsidRPr="00F933AF">
        <w:rPr>
          <w:rStyle w:val="StyleUnderline"/>
          <w:rFonts w:cs="Calibri"/>
        </w:rPr>
        <w:t xml:space="preserve">In 2016, there were </w:t>
      </w:r>
      <w:r w:rsidRPr="00F933AF">
        <w:rPr>
          <w:rStyle w:val="Emphasis"/>
          <w:rFonts w:cs="Calibri"/>
        </w:rPr>
        <w:t xml:space="preserve">10.4 million </w:t>
      </w:r>
      <w:r w:rsidRPr="00F933AF">
        <w:rPr>
          <w:rStyle w:val="StyleUnderline"/>
          <w:rFonts w:cs="Calibri"/>
        </w:rPr>
        <w:t xml:space="preserve">citizen children with at least one noncitizen parent. Nearly nine in ten of these children live in a family with a full-time worker, but these workers often are in low-wage jobs, leading to </w:t>
      </w:r>
      <w:r w:rsidRPr="00F933AF">
        <w:rPr>
          <w:rStyle w:val="Emphasis"/>
          <w:rFonts w:cs="Calibri"/>
        </w:rPr>
        <w:t>lower family incomes and more limited access to health coverage</w:t>
      </w:r>
      <w:r w:rsidRPr="00F933AF">
        <w:rPr>
          <w:rStyle w:val="StyleUnderline"/>
          <w:rFonts w:cs="Calibri"/>
        </w:rPr>
        <w:t>. As such, over half (56%), or 5.8 million, citizen children with a noncitizen parent had Medicaid or CHIP coverage in 2016.</w:t>
      </w:r>
      <w:r w:rsidRPr="00F933AF">
        <w:rPr>
          <w:rFonts w:cs="Calibri"/>
          <w:sz w:val="16"/>
        </w:rPr>
        <w:t xml:space="preserve"> (See Appendix tables for state data.) We illustrate the potential impact of different Medicaid/CHIP disenrollment rates and show that, </w:t>
      </w:r>
      <w:r w:rsidRPr="00F933AF">
        <w:rPr>
          <w:rStyle w:val="StyleUnderline"/>
          <w:rFonts w:cs="Calibri"/>
        </w:rPr>
        <w:t xml:space="preserve">if the policy leads to disenrollment rates from 15% to 35%, an estimated 875,000 to 2 million citizen children with a noncitizen parent could drop Medicaid/CHIP coverage despite remaining eligible. The majority disenrolling would become uninsured, increasing their uninsured rate from 8% to </w:t>
      </w:r>
      <w:r w:rsidRPr="00F933AF">
        <w:rPr>
          <w:rFonts w:cs="Calibri"/>
          <w:sz w:val="16"/>
        </w:rPr>
        <w:t xml:space="preserve">between 14% and </w:t>
      </w:r>
      <w:r w:rsidRPr="00F933AF">
        <w:rPr>
          <w:rStyle w:val="StyleUnderline"/>
          <w:rFonts w:cs="Calibri"/>
        </w:rPr>
        <w:t>22%</w:t>
      </w:r>
      <w:r w:rsidRPr="00F933AF">
        <w:rPr>
          <w:rFonts w:cs="Calibri"/>
          <w:sz w:val="16"/>
        </w:rPr>
        <w:t xml:space="preserve"> and the uninsured rate for all children from 5% to between 6% and 7%. Although it is difficult to predict the effect of the policy change, </w:t>
      </w:r>
      <w:r w:rsidRPr="00F933AF">
        <w:rPr>
          <w:rStyle w:val="StyleUnderline"/>
          <w:rFonts w:cs="Calibri"/>
        </w:rPr>
        <w:t xml:space="preserve">these disenrollment rates illustrate the potential impact and draw on previous research on the </w:t>
      </w:r>
      <w:r w:rsidRPr="00F933AF">
        <w:rPr>
          <w:rStyle w:val="Emphasis"/>
          <w:rFonts w:cs="Calibri"/>
        </w:rPr>
        <w:t>chilling effect</w:t>
      </w:r>
      <w:r w:rsidRPr="00F933AF">
        <w:rPr>
          <w:rStyle w:val="StyleUnderline"/>
          <w:rFonts w:cs="Calibri"/>
        </w:rPr>
        <w:t xml:space="preserve"> welfare reform had on enrollment of immigrant families. However, unlike the current draft policy, welfare reform did not affect immigration status. Thus, this illustrative analysis may </w:t>
      </w:r>
      <w:r w:rsidRPr="00F933AF">
        <w:rPr>
          <w:rStyle w:val="Emphasis"/>
          <w:rFonts w:cs="Calibri"/>
        </w:rPr>
        <w:t>underestimate</w:t>
      </w:r>
      <w:r w:rsidRPr="00F933AF">
        <w:rPr>
          <w:rStyle w:val="StyleUnderline"/>
          <w:rFonts w:cs="Calibri"/>
        </w:rPr>
        <w:t xml:space="preserve"> the policy’s impact on Medicaid/CHIP participation.</w:t>
      </w:r>
      <w:r w:rsidRPr="00F933AF">
        <w:rPr>
          <w:rFonts w:cs="Calibri"/>
          <w:sz w:val="16"/>
        </w:rPr>
        <w:t xml:space="preserve"> In addition, this analysis does not account for coverage losses that would result from decreased participation in Marketplace coverage. </w:t>
      </w:r>
      <w:r w:rsidRPr="00F933AF">
        <w:rPr>
          <w:rStyle w:val="StyleUnderline"/>
          <w:rFonts w:cs="Calibri"/>
        </w:rPr>
        <w:t xml:space="preserve">Coverage losses would negatively affect the health of children and their families’ </w:t>
      </w:r>
      <w:r w:rsidRPr="00F933AF">
        <w:rPr>
          <w:rStyle w:val="Emphasis"/>
          <w:rFonts w:cs="Calibri"/>
        </w:rPr>
        <w:t>financial stability</w:t>
      </w:r>
      <w:r w:rsidRPr="00F933AF">
        <w:rPr>
          <w:rStyle w:val="StyleUnderline"/>
          <w:rFonts w:cs="Calibri"/>
        </w:rPr>
        <w:t xml:space="preserve">. Coverage losses would reduce access to care, contributing to </w:t>
      </w:r>
      <w:r w:rsidRPr="00F933AF">
        <w:rPr>
          <w:rStyle w:val="Emphasis"/>
          <w:rFonts w:cs="Calibri"/>
        </w:rPr>
        <w:t>worse health outcomes.</w:t>
      </w:r>
      <w:r w:rsidRPr="00F933AF">
        <w:rPr>
          <w:rStyle w:val="StyleUnderline"/>
          <w:rFonts w:cs="Calibri"/>
        </w:rPr>
        <w:t xml:space="preserve"> Moreover, reduced participation in nutrition and other support programs that are also proposed to be considered as part of public charge determinations would likely </w:t>
      </w:r>
      <w:r w:rsidRPr="00F933AF">
        <w:rPr>
          <w:rStyle w:val="Emphasis"/>
          <w:rFonts w:cs="Calibri"/>
        </w:rPr>
        <w:t>compound</w:t>
      </w:r>
      <w:r w:rsidRPr="00F933AF">
        <w:rPr>
          <w:rStyle w:val="StyleUnderline"/>
          <w:rFonts w:cs="Calibri"/>
        </w:rPr>
        <w:t xml:space="preserve"> these</w:t>
      </w:r>
      <w:r w:rsidRPr="00F933AF">
        <w:rPr>
          <w:rStyle w:val="Emphasis"/>
          <w:rFonts w:cs="Calibri"/>
        </w:rPr>
        <w:t xml:space="preserve"> effects</w:t>
      </w:r>
      <w:r w:rsidRPr="00F933AF">
        <w:rPr>
          <w:rStyle w:val="StyleUnderline"/>
          <w:rFonts w:cs="Calibri"/>
        </w:rPr>
        <w:t>.</w:t>
      </w:r>
      <w:r w:rsidRPr="00F933AF">
        <w:rPr>
          <w:rFonts w:cs="Calibri"/>
          <w:sz w:val="16"/>
        </w:rPr>
        <w:t xml:space="preserve"> Introduction The Trump Administration is pursuing changes that, for the first time, would allow the federal government to take into account use of health, nutrition, and other non-cash programs when making public charge determinations. Under these changes, use of these programs, including Medicaid, CHIP, and subsidies for Marketplace coverage, by an individual or family member, including a citizen child, could result in the federal government denying an individual a “green card” or adjustment to lawful permanent status or entry into the U.S. These changes would likely result in reduced participation in Medicaid, CHIP, Marketplace coverage, and other programs by immigrant families, including citizen children, even though they would remain eligible. </w:t>
      </w:r>
      <w:r w:rsidRPr="00F933AF">
        <w:rPr>
          <w:rStyle w:val="StyleUnderline"/>
          <w:rFonts w:cs="Calibri"/>
        </w:rPr>
        <w:t>Decreases in Medicaid and CHIP enrollment would increase the number of uninsured and reduce access to care, increase financial strains on families, and widen disparities in coverage</w:t>
      </w:r>
      <w:r w:rsidRPr="00F933AF">
        <w:rPr>
          <w:rFonts w:cs="Calibri"/>
          <w:sz w:val="16"/>
        </w:rPr>
        <w:t xml:space="preserve">. This brief provides an overview of citizen children with a noncitizen parent who could potentially be affected by the proposed changes and presents three Medicaid/CHIP disenrollment scenarios to illustrate how the changes could potentially affect their health coverage and uninsured rate. It is based on Kaiser Family Foundation analysis of Current Population Survey Data. (See Methods for more details.) Appendix Tables 2 and 3 provide state-specific data. </w:t>
      </w:r>
      <w:hyperlink r:id="rId57" w:tgtFrame="_blank" w:history="1">
        <w:r w:rsidRPr="00F933AF">
          <w:rPr>
            <w:rStyle w:val="Hyperlink"/>
            <w:rFonts w:cs="Calibri"/>
            <w:sz w:val="16"/>
          </w:rPr>
          <w:t xml:space="preserve">In 2016, there were 10.4 million citizen children in the U.S. with at least one noncitizen parent. What are the potential effects of “public charge” changes on health coverage for this population? </w:t>
        </w:r>
      </w:hyperlink>
      <w:r w:rsidRPr="00F933AF">
        <w:rPr>
          <w:rFonts w:cs="Calibri"/>
          <w:sz w:val="16"/>
        </w:rPr>
        <w:t xml:space="preserve"> Overview of Citizen Children with a Noncitizen Parent </w:t>
      </w:r>
      <w:r w:rsidRPr="00F933AF">
        <w:rPr>
          <w:rStyle w:val="StyleUnderline"/>
          <w:rFonts w:cs="Calibri"/>
        </w:rPr>
        <w:t>In 2016, nearly 20 million, or one in four, children had at least one immigrant parent, and nearly nine in ten (88%) of these children were citizens (Figure 1).</w:t>
      </w:r>
      <w:r w:rsidRPr="00F933AF">
        <w:rPr>
          <w:rFonts w:cs="Calibri"/>
          <w:sz w:val="16"/>
        </w:rPr>
        <w:t xml:space="preserve"> Over half, or 10.4 million, of these children lived in mixed status families, where the child is a citizen and at least one parent is a noncitizen. Citizen children with a noncitizen parent are heavily concentrated in a few states. Over half of children with a noncitizen parent live in California (25%), Texas (16%), New York (7%), and Florida (6%) (Appendix Table 2). Citizen children with a noncitizen parent range in age and race/ethnicity, although the majority are between ages 6-18 and Hispanic (Figure 2). About one in three (36%) citizen children with a noncitizen parent are below age six; the remaining 64% are between ages 6-18. Over two-thirds (69%) of citizen children with a noncitizen parent are Hispanic and 11% are Asian. The remaining 19% includes 11% who are White non-Hispanic, 6% who are Black non-Hispanic, and 2% who are another or mixed race. Although </w:t>
      </w:r>
      <w:r w:rsidRPr="00F933AF">
        <w:rPr>
          <w:rStyle w:val="StyleUnderline"/>
          <w:rFonts w:cs="Calibri"/>
        </w:rPr>
        <w:t>citizen children with a noncitizen parent</w:t>
      </w:r>
      <w:r w:rsidRPr="00F933AF">
        <w:rPr>
          <w:rFonts w:cs="Calibri"/>
          <w:sz w:val="16"/>
        </w:rPr>
        <w:t xml:space="preserve"> are more likely to live in a family with a full-time worker compared to those with U.S. born parents, they </w:t>
      </w:r>
      <w:r w:rsidRPr="00F933AF">
        <w:rPr>
          <w:rStyle w:val="StyleUnderline"/>
          <w:rFonts w:cs="Calibri"/>
        </w:rPr>
        <w:t>have lower family incomes. Nearly nine in ten (86%)</w:t>
      </w:r>
      <w:r w:rsidRPr="00F933AF">
        <w:rPr>
          <w:rFonts w:cs="Calibri"/>
          <w:sz w:val="16"/>
        </w:rPr>
        <w:t xml:space="preserve"> citizen children with a noncitizen parent live in a family with at least one full-time worker (Figure 3). </w:t>
      </w:r>
      <w:r w:rsidRPr="00F933AF">
        <w:rPr>
          <w:rStyle w:val="StyleUnderline"/>
          <w:rFonts w:cs="Calibri"/>
        </w:rPr>
        <w:t>However, over two-thirds (67%) of citizen children with a noncitizen parent have family incomes below 250% of the federal poverty level (FPL), compared to 45% of children with U.S. born parents.</w:t>
      </w:r>
      <w:r w:rsidRPr="00F933AF">
        <w:rPr>
          <w:rFonts w:cs="Calibri"/>
          <w:sz w:val="16"/>
        </w:rPr>
        <w:t xml:space="preserve"> This finding reflects that noncitizens are often employed in low-wage jobs and industries. </w:t>
      </w:r>
      <w:r w:rsidRPr="00F933AF">
        <w:rPr>
          <w:rStyle w:val="StyleUnderline"/>
          <w:rFonts w:cs="Calibri"/>
        </w:rPr>
        <w:t>Reflecting their lower family incomes, Medicaid and CHIP play a key role in covering citizen children with a noncitizen parent, but they remain more likely than those with U.S. born parents to be uninsured. </w:t>
      </w:r>
      <w:r w:rsidRPr="00F933AF">
        <w:rPr>
          <w:rFonts w:cs="Calibri"/>
          <w:sz w:val="16"/>
        </w:rPr>
        <w:t>Given that over two-thirds of citizen children with a noncitizen parent have family incomes below 250% FPL, many are within the income eligibility limits for Medicaid or CHIP.</w:t>
      </w:r>
      <w:hyperlink r:id="rId58" w:anchor="footnote-257512-1" w:tooltip="The median Medicaid/CHIP eligibility level for children across states is 255% FPL as of January 2018. Tricia Brooks, Karina Wagnerman, Samantha Artiga and Elizabeth Cornachione, Medicaid and CHIP Eligibility, Enrollment, Renewal, and Cost Sharing Policies as o" w:history="1">
        <w:r w:rsidRPr="00F933AF">
          <w:rPr>
            <w:rStyle w:val="Hyperlink"/>
            <w:rFonts w:cs="Calibri"/>
            <w:sz w:val="16"/>
          </w:rPr>
          <w:t>1</w:t>
        </w:r>
      </w:hyperlink>
      <w:r w:rsidRPr="00F933AF">
        <w:rPr>
          <w:rFonts w:cs="Calibri"/>
          <w:sz w:val="16"/>
        </w:rPr>
        <w:t> </w:t>
      </w:r>
      <w:r w:rsidRPr="00F933AF">
        <w:rPr>
          <w:rStyle w:val="StyleUnderline"/>
          <w:rFonts w:cs="Calibri"/>
        </w:rPr>
        <w:t xml:space="preserve">As such, Medicaid and CHIP cover over half (56%), or 5.8 million, citizen children with a noncitizen parent. This coverage helps to fill gaps in private coverage since many noncitizen parents work in low-wage jobs that often do not offer health coverage. </w:t>
      </w:r>
      <w:r w:rsidRPr="00F933AF">
        <w:rPr>
          <w:rFonts w:cs="Calibri"/>
          <w:sz w:val="16"/>
        </w:rPr>
        <w:t xml:space="preserve">However, citizen children with a noncitizen parent remain more likely than children with U.S. born parents to be uninsured (8% vs. 5%). Moreover, their parents are more than three times as likely to be uninsured </w:t>
      </w:r>
      <w:proofErr w:type="gramStart"/>
      <w:r w:rsidRPr="00F933AF">
        <w:rPr>
          <w:rFonts w:cs="Calibri"/>
          <w:sz w:val="16"/>
        </w:rPr>
        <w:t>themselves</w:t>
      </w:r>
      <w:proofErr w:type="gramEnd"/>
      <w:r w:rsidRPr="00F933AF">
        <w:rPr>
          <w:rFonts w:cs="Calibri"/>
          <w:sz w:val="16"/>
        </w:rPr>
        <w:t xml:space="preserve"> compared to U.S. born parents (24% vs. 7%). Potential Coverage Losses Due to Public Charge Policies </w:t>
      </w:r>
      <w:r w:rsidRPr="00F933AF">
        <w:rPr>
          <w:rStyle w:val="StyleUnderline"/>
          <w:rFonts w:cs="Calibri"/>
        </w:rPr>
        <w:t>Under </w:t>
      </w:r>
      <w:hyperlink r:id="rId59" w:history="1">
        <w:r w:rsidRPr="00F933AF">
          <w:rPr>
            <w:rStyle w:val="StyleUnderline"/>
            <w:rFonts w:cs="Calibri"/>
          </w:rPr>
          <w:t>draft changes</w:t>
        </w:r>
      </w:hyperlink>
      <w:r w:rsidRPr="00F933AF">
        <w:rPr>
          <w:rStyle w:val="StyleUnderline"/>
          <w:rFonts w:cs="Calibri"/>
        </w:rPr>
        <w:t> proposed by the Trump Administration, use of health, nutrition, and other non-cash programs by an individual or a family member, including a citizen child, could result in the federal government denying an individual adjustment to lawful permanent resident status (i.e., a “green card”) or entry into the United States</w:t>
      </w:r>
      <w:r w:rsidRPr="00F933AF">
        <w:rPr>
          <w:rFonts w:cs="Calibri"/>
          <w:sz w:val="16"/>
        </w:rPr>
        <w:t>.</w:t>
      </w:r>
      <w:hyperlink r:id="rId60" w:anchor="footnote-257512-2" w:tooltip="Similar criteria would also be applied to people seeking to extend or change their temporary nonimmigrant status in the U.S." w:history="1">
        <w:r w:rsidRPr="00F933AF">
          <w:rPr>
            <w:rStyle w:val="Hyperlink"/>
            <w:rFonts w:cs="Calibri"/>
            <w:sz w:val="16"/>
          </w:rPr>
          <w:t>2</w:t>
        </w:r>
      </w:hyperlink>
      <w:r w:rsidRPr="00F933AF">
        <w:rPr>
          <w:rFonts w:cs="Calibri"/>
          <w:sz w:val="16"/>
        </w:rPr>
        <w:t xml:space="preserve"> Under longstanding policy, individuals who are determined to be a “public charge” can be denied lawful permanent residence or entry into the U.S. Today, individuals may be determined a public charge if they rely on or are likely to rely on public cash assistance or government funded long-term institutional care. Current policy does not allow the federal government to consider the use of non-cash benefits, such as health and nutrition programs, in public charge determinations. Under the draft proposed changes, the federal government could consider previously excluded health, nutrition, and other non-cash programs in public charge determinations. These programs would include Medicaid, CHIP, and subsidies for Marketplace coverage. In addition, the changes would newly allow the federal government to take into account use of programs by citizen children and other family members in making a public charge determination. </w:t>
      </w:r>
      <w:r w:rsidRPr="00F933AF">
        <w:rPr>
          <w:rStyle w:val="StyleUnderline"/>
          <w:rFonts w:cs="Calibri"/>
        </w:rPr>
        <w:t>The changes in public charge policy would likely lead to decreased participation in Medicaid, CHIP, Marketplace coverage, and other programs among legal immigrant families, including their citizen children, even though they would remain eligible.</w:t>
      </w:r>
      <w:r w:rsidRPr="00F933AF">
        <w:rPr>
          <w:rFonts w:cs="Calibri"/>
          <w:sz w:val="16"/>
        </w:rPr>
        <w:t> </w:t>
      </w:r>
      <w:r w:rsidRPr="00F933AF">
        <w:rPr>
          <w:rStyle w:val="StyleUnderline"/>
          <w:rFonts w:cs="Calibri"/>
        </w:rPr>
        <w:t>Fears of negative consequences on immigration status are a barrier to Medicaid and CHIP enrollment for eligible immigrant families today even though the federal government cannot consider use of Medicaid and CHIP in public charge determinations under current policy.</w:t>
      </w:r>
      <w:hyperlink r:id="rId61" w:anchor="footnote-257512-3" w:tooltip="Oscar C. Gomez, Liberty Day, and Samantha Artiga, Connecting Eligible Immigrant Families to Health Coverage and Care: Key Lessons from Outreach and Enrollment Workers, (Washington, DC: Kaiser Family Foundation, October 2011), https://www.kff.org/disparities-po" w:history="1">
        <w:r w:rsidRPr="00F933AF">
          <w:rPr>
            <w:rStyle w:val="StyleUnderline"/>
            <w:rFonts w:cs="Calibri"/>
          </w:rPr>
          <w:t>3</w:t>
        </w:r>
      </w:hyperlink>
      <w:r w:rsidRPr="00F933AF">
        <w:rPr>
          <w:rStyle w:val="StyleUnderline"/>
          <w:rFonts w:cs="Calibri"/>
        </w:rPr>
        <w:t xml:space="preserve"> The proposed changes would amplify these fears because use of Medicaid, CHIP, as well as subsidies for Marketplace coverage and other programs could negatively affect immigration status. </w:t>
      </w:r>
      <w:r w:rsidRPr="00F933AF">
        <w:rPr>
          <w:rFonts w:cs="Calibri"/>
          <w:sz w:val="16"/>
        </w:rPr>
        <w:t>The preamble to the draft proposed rule notes, “</w:t>
      </w:r>
      <w:proofErr w:type="gramStart"/>
      <w:r w:rsidRPr="00F933AF">
        <w:rPr>
          <w:rFonts w:cs="Calibri"/>
          <w:sz w:val="16"/>
        </w:rPr>
        <w:t>the</w:t>
      </w:r>
      <w:proofErr w:type="gramEnd"/>
      <w:r w:rsidRPr="00F933AF">
        <w:rPr>
          <w:rFonts w:cs="Calibri"/>
          <w:sz w:val="16"/>
        </w:rPr>
        <w:t xml:space="preserve"> action provides a strong disincentive for the receipt or use of public benefits by aliens, as well as their household members, including U.S. children.” It is expected that the public charge policy change would primarily affect individuals seeking a green card through a family-based petition. </w:t>
      </w:r>
      <w:r w:rsidRPr="00F933AF">
        <w:rPr>
          <w:rStyle w:val="StyleUnderline"/>
          <w:rFonts w:cs="Calibri"/>
        </w:rPr>
        <w:t>However, increased fears would likely extend beyond individuals directly affected by the policy to the broader immigrant community.</w:t>
      </w:r>
      <w:hyperlink r:id="rId62" w:anchor="footnote-257512-4" w:tooltip="Findings show that recent immigration policy changes have increased fears and confusion among broad groups of immigrants beyond those directly affected by the changes. See Samantha Artiga and Petry Ubri, Living in an Immigrant Family in America: How Fear and T" w:history="1">
        <w:r w:rsidRPr="00F933AF">
          <w:rPr>
            <w:rStyle w:val="StyleUnderline"/>
            <w:rFonts w:cs="Calibri"/>
          </w:rPr>
          <w:t>4</w:t>
        </w:r>
      </w:hyperlink>
      <w:r w:rsidRPr="00F933AF">
        <w:rPr>
          <w:rStyle w:val="StyleUnderline"/>
          <w:rFonts w:cs="Calibri"/>
        </w:rPr>
        <w:t xml:space="preserve"> Due to increased fears, it is likely that fewer eligible individuals would enroll themselves and their children in health coverage and individuals currently enrolled in programs would disenroll themselves and their children despite remaining eligible for coverage. </w:t>
      </w:r>
      <w:r w:rsidRPr="00F933AF">
        <w:rPr>
          <w:rFonts w:cs="Calibri"/>
          <w:sz w:val="16"/>
        </w:rPr>
        <w:t>To illustrate potential effects of these changes on health coverage of children, we present three scenarios of disenrollment from Medicaid and CHIP among citizen children with a noncitizen parent. </w:t>
      </w:r>
      <w:r w:rsidRPr="00F933AF">
        <w:rPr>
          <w:rStyle w:val="StyleUnderline"/>
          <w:rFonts w:cs="Calibri"/>
        </w:rPr>
        <w:t>As of 2016, 5.8 million citizen children with a noncitizen parent were enrolled in Medicaid or CHIP</w:t>
      </w:r>
      <w:r w:rsidRPr="00F933AF">
        <w:rPr>
          <w:rFonts w:cs="Calibri"/>
          <w:sz w:val="16"/>
        </w:rPr>
        <w:t xml:space="preserve"> (see Appendix 2 for state data), and 790,000 or 8% were uninsured. We applied disenrollment rates from Medicaid and CHIP of 15%, 25%, and 35%. Although it is difficult to predict the effect of the policy change, these disenrollment rates illustrate the potential impact and draw on previous research on the chilling effect welfare reform had on enrollment of immigrant families.</w:t>
      </w:r>
      <w:hyperlink r:id="rId63" w:anchor="footnote-257512-5" w:tooltip="Neeraj Kaushal and Robert Kaestner, " w:history="1">
        <w:r w:rsidRPr="00F933AF">
          <w:rPr>
            <w:rStyle w:val="Hyperlink"/>
            <w:rFonts w:cs="Calibri"/>
            <w:sz w:val="16"/>
          </w:rPr>
          <w:t>5</w:t>
        </w:r>
      </w:hyperlink>
      <w:r w:rsidRPr="00F933AF">
        <w:rPr>
          <w:rFonts w:cs="Calibri"/>
          <w:sz w:val="16"/>
        </w:rPr>
        <w:t xml:space="preserve"> However, unlike the current draft policy, welfare reform did not affect immigration status. Thus, this illustrative analysis may underestimate the impact that the policy may have on participation in Medicaid/CHIP. We assume that </w:t>
      </w:r>
      <w:r w:rsidRPr="00F933AF">
        <w:rPr>
          <w:rStyle w:val="StyleUnderline"/>
          <w:rFonts w:cs="Calibri"/>
        </w:rPr>
        <w:t>75% of children disenrolling from Medicaid and CHIP would become uninsured based on data showing some access to private coverage among this population.</w:t>
      </w:r>
      <w:hyperlink r:id="rId64" w:anchor="footnote-257512-6" w:tooltip="Kaiser Family Foundation analysis of March 2017 Current Population Survey data." w:history="1">
        <w:r w:rsidRPr="00F933AF">
          <w:rPr>
            <w:rStyle w:val="StyleUnderline"/>
            <w:rFonts w:cs="Calibri"/>
          </w:rPr>
          <w:t>6</w:t>
        </w:r>
      </w:hyperlink>
      <w:r w:rsidRPr="00F933AF">
        <w:rPr>
          <w:rStyle w:val="StyleUnderline"/>
          <w:rFonts w:cs="Calibri"/>
        </w:rPr>
        <w:t> However, some families may not be able to afford private coverage even if it is available. As such, this analysis may underestimate the share of children disenrolling from Medicaid/CHIP who would become uninsured. In addition, this analysis does not account for decreased coverage due to fewer individuals enrolling their eligible children in Medicaid or CHIP or coverage losses that would result from decreased participation in Marketplace coverage.  If the public charge policy change leads to Medicaid/CHIP disenrollment rates ranging from 15% to 35%, an estimated 875,000 to 2 million citizen children with a noncitizen parent could drop Medicaid/CHIP coverage despite remaining eligible, and their uninsured rate would rise from 8% to between 14% and 22%.</w:t>
      </w:r>
      <w:r w:rsidRPr="00F933AF">
        <w:rPr>
          <w:rFonts w:cs="Calibri"/>
          <w:sz w:val="16"/>
        </w:rPr>
        <w:t xml:space="preserve"> Specifically, as shown in Figures 5 and 6 and Appendix Table 1: A 15% decline in Medicaid/CHIP enrollment among citizen children with a noncitizen parent would result in 875,000 children losing Medicaid/CHIP coverage and 657,000 becoming uninsured. These losses would increase the uninsured rate for citizen children with a noncitizen parent from 8% to 14%, and the uninsured rate for all children would increase from 5% to 6%. A 25% decline in Medicaid/CHIP enrollment among citizen children with a noncitizen parent would result in 1.5 million children losing Medicaid/CHIP coverage and 1.1 million becoming uninsured.These losses would increase the uninsured rate for citizen children with a noncitizen parent from 8% to 18%, and the uninsured rate for all children would increase from 5% to 7%. A 35% decline in Medicaid/CHIP enrollment among citizen children with a noncitizen parent would result in 2.0 million children losing Medicaid/CHIP coverage and 1.5 million becoming uninsured. These losses would increase the uninsured rate for citizen children with a noncitizen parent from 8% to 22%, and the uninsured rate for all children would increase from 5% to 7%. </w:t>
      </w:r>
      <w:r w:rsidRPr="00F933AF">
        <w:rPr>
          <w:rStyle w:val="StyleUnderline"/>
          <w:rFonts w:cs="Calibri"/>
        </w:rPr>
        <w:t>Coverage losses would negatively affect the health of children and their families’ financial stability. Coverage losses would reduce access to care, contributing to worse health outcomes.</w:t>
      </w:r>
      <w:hyperlink r:id="rId65" w:anchor="footnote-257512-7" w:tooltip="Julia Paradise, Data Note: Three Findings about Access to Care and Health Outcomes in Medicaid, (Washington, DC: Kaiser Family Foundation, March 23, 2017), https://www.kff.org/medicaid/issue-brief/data-note-three-findings-about-access-to-care-and-health-outcom" w:history="1">
        <w:r w:rsidRPr="00F933AF">
          <w:rPr>
            <w:rStyle w:val="StyleUnderline"/>
            <w:rFonts w:cs="Calibri"/>
          </w:rPr>
          <w:t>7</w:t>
        </w:r>
      </w:hyperlink>
      <w:r w:rsidRPr="00F933AF">
        <w:rPr>
          <w:rStyle w:val="StyleUnderline"/>
          <w:rFonts w:cs="Calibri"/>
        </w:rPr>
        <w:t> Reduced participation in nutrition and other programs that are also proposed to be considered in public charge determinations would likely compound these effects. In particular, the Earned Income Tax Credit, free or reduced price lunch program, Supplemental Nutrition Assistance Program, and Women Infant and Children’s Program (WIC) provide important sources of support for these households (Appendix 3). Decreased participation in these programs would negatively affect the financial stability of families and the growth and healthy development of their children.</w:t>
      </w:r>
      <w:hyperlink r:id="rId66" w:anchor="footnote-257512-8" w:tooltip="SNAP Helps Millions of Children, (Washington, DC: Center on Budget and Policy Priorities, April 2017), https://www.cbpp.org/research/food-assistance/snap-helps-millions-of-children, " w:history="1">
        <w:r w:rsidRPr="00F933AF">
          <w:rPr>
            <w:rStyle w:val="StyleUnderline"/>
            <w:rFonts w:cs="Calibri"/>
          </w:rPr>
          <w:t>8</w:t>
        </w:r>
      </w:hyperlink>
    </w:p>
    <w:p w:rsidR="00791443" w:rsidRPr="00F933AF" w:rsidRDefault="00791443" w:rsidP="00791443">
      <w:pPr>
        <w:pStyle w:val="Heading4"/>
        <w:rPr>
          <w:rFonts w:cs="Calibri"/>
        </w:rPr>
      </w:pPr>
      <w:r w:rsidRPr="00F933AF">
        <w:rPr>
          <w:rFonts w:cs="Calibri"/>
        </w:rPr>
        <w:t>Public charge expansion removes immigrant and citizen children access to food, shelter and health care- impacts disease spread and family separation</w:t>
      </w:r>
    </w:p>
    <w:p w:rsidR="00791443" w:rsidRPr="00F933AF" w:rsidRDefault="00791443" w:rsidP="00791443">
      <w:pPr>
        <w:rPr>
          <w:rFonts w:cs="Calibri"/>
        </w:rPr>
      </w:pPr>
      <w:r w:rsidRPr="00F933AF">
        <w:rPr>
          <w:rStyle w:val="Style13ptBold"/>
          <w:rFonts w:cs="Calibri"/>
        </w:rPr>
        <w:t>Hernández-Cancio and Fish-Parcham 4/2</w:t>
      </w:r>
      <w:r w:rsidRPr="00F933AF">
        <w:rPr>
          <w:rFonts w:cs="Calibri"/>
        </w:rPr>
        <w:t xml:space="preserve"> (Sinsi Hernández-Cancio, law degree from NYU, the Director of Health Equity at Families USA, Hays Civil Rights and Civil Liberties Fellow at NYU, member of the Addressing Disparities Advisory Panel for the Patient-Centered Outcomes Research Institute, member of the Robert Wood Johnson Foundation’s State Strategy Advisory Committee, participant in the Allies Reaching for Community Health Equity effort, Public Voices Fellow with The OpEd Project, former Georgetown University Law Center’s Women’s Law and Policy Fellowship, former lawyer at the Women’s Rights Project of Human Rights Watch, former health advisor to the Governor of Puerto Rico, Cheryl Fish-Parcham, Private Insurance Program Director at Families USA, former employee for the Health Assistance Partnership, former advocate at AARP’s Legal Counsel for the Elderly, M.S.W. from Howard University, 4/2/18, “Trump Administration Threatens Health Care for Immigrant Families, Including US Citizen Children”, https://familiesusa.org/sites/default/files/product_documents/HE_Public-Charge_Call-to-Action.pdf)/CWB</w:t>
      </w:r>
    </w:p>
    <w:p w:rsidR="00791443" w:rsidRPr="00F933AF" w:rsidRDefault="00791443" w:rsidP="00791443">
      <w:pPr>
        <w:rPr>
          <w:rFonts w:cs="Calibri"/>
          <w:sz w:val="16"/>
          <w:szCs w:val="16"/>
        </w:rPr>
      </w:pPr>
      <w:r w:rsidRPr="00F933AF">
        <w:rPr>
          <w:rStyle w:val="StyleUnderline"/>
          <w:rFonts w:cs="Calibri"/>
        </w:rPr>
        <w:t xml:space="preserve">Last week, the Washington Post </w:t>
      </w:r>
      <w:hyperlink r:id="rId67" w:tgtFrame="_blank" w:history="1">
        <w:r w:rsidRPr="00F933AF">
          <w:rPr>
            <w:rStyle w:val="StyleUnderline"/>
            <w:rFonts w:cs="Calibri"/>
          </w:rPr>
          <w:t>published a leaked draft</w:t>
        </w:r>
      </w:hyperlink>
      <w:r w:rsidRPr="00F933AF">
        <w:rPr>
          <w:rStyle w:val="StyleUnderline"/>
          <w:rFonts w:cs="Calibri"/>
        </w:rPr>
        <w:t xml:space="preserve"> of a proposed regulation to drastically change requirements for certain immigrants to enter the United States and/or become permanent residents. The proposed regulation targets families who have immigrated lawfully, as well as their U.S. citizen relatives, by </w:t>
      </w:r>
      <w:r w:rsidRPr="00F933AF">
        <w:rPr>
          <w:rStyle w:val="Emphasis"/>
          <w:rFonts w:cs="Calibri"/>
        </w:rPr>
        <w:t>undermining their access to basic needs, including food, shelter, and health care. This would undercut years of hard work to build a better future for themselves, their communities, and our nation</w:t>
      </w:r>
      <w:r w:rsidRPr="00F933AF">
        <w:rPr>
          <w:rStyle w:val="StyleUnderline"/>
          <w:rFonts w:cs="Calibri"/>
        </w:rPr>
        <w:t xml:space="preserve">. </w:t>
      </w:r>
      <w:r w:rsidRPr="00F933AF">
        <w:rPr>
          <w:rFonts w:cs="Calibri"/>
          <w:sz w:val="16"/>
        </w:rPr>
        <w:t xml:space="preserve">The proposal has several more steps to go before it is finalized, but it is important for the public to understand the harm it could cause to families and to the nation’s health care system now. There is still time for health advocates and the general public to raise their voices against this heartless, un-American proposal. What the leaked draft proposes </w:t>
      </w:r>
      <w:proofErr w:type="gramStart"/>
      <w:r w:rsidRPr="00F933AF">
        <w:rPr>
          <w:rFonts w:cs="Calibri"/>
          <w:sz w:val="16"/>
        </w:rPr>
        <w:t>Most</w:t>
      </w:r>
      <w:proofErr w:type="gramEnd"/>
      <w:r w:rsidRPr="00F933AF">
        <w:rPr>
          <w:rFonts w:cs="Calibri"/>
          <w:sz w:val="16"/>
        </w:rPr>
        <w:t xml:space="preserve"> </w:t>
      </w:r>
      <w:r w:rsidRPr="00F933AF">
        <w:rPr>
          <w:rStyle w:val="StyleUnderline"/>
          <w:rFonts w:cs="Calibri"/>
        </w:rPr>
        <w:t xml:space="preserve">immigrants who are either entering this country or applying for lawful permanent residency must show that they are not likely to become a “public charge” – that is, they will not be dependent on the U.S. government for their </w:t>
      </w:r>
      <w:r w:rsidRPr="00F933AF">
        <w:rPr>
          <w:rStyle w:val="Emphasis"/>
          <w:rFonts w:cs="Calibri"/>
        </w:rPr>
        <w:t>financial support</w:t>
      </w:r>
      <w:r w:rsidRPr="00F933AF">
        <w:rPr>
          <w:rStyle w:val="StyleUnderline"/>
          <w:rFonts w:cs="Calibri"/>
        </w:rPr>
        <w:t>.</w:t>
      </w:r>
      <w:r w:rsidRPr="00F933AF">
        <w:rPr>
          <w:rFonts w:cs="Calibri"/>
          <w:sz w:val="16"/>
        </w:rPr>
        <w:t xml:space="preserve"> For many years, the test for public charge has included a look at two types of benefits: whether applicants ever received cash assistance, such as Temporary Assistance for Needy Families (TANF) or Supplemental Security Income (SSI), and whether they are likely to need that cash assistance in the future; and whether applicants are likely to need long-term nursing home care paid for by the government. Other health care benefits were off limits for this public charge determination. The </w:t>
      </w:r>
      <w:r w:rsidRPr="00F933AF">
        <w:rPr>
          <w:rStyle w:val="StyleUnderline"/>
          <w:rFonts w:cs="Calibri"/>
        </w:rPr>
        <w:t>draft regulation proposes to</w:t>
      </w:r>
      <w:r w:rsidRPr="00F933AF">
        <w:rPr>
          <w:rFonts w:cs="Calibri"/>
          <w:sz w:val="16"/>
        </w:rPr>
        <w:t xml:space="preserve"> change this rule. It expands the list of benefits that would be </w:t>
      </w:r>
      <w:r w:rsidRPr="00F933AF">
        <w:rPr>
          <w:rStyle w:val="StyleUnderline"/>
          <w:rFonts w:cs="Calibri"/>
        </w:rPr>
        <w:t>consider</w:t>
      </w:r>
      <w:r w:rsidRPr="00F933AF">
        <w:rPr>
          <w:rFonts w:cs="Calibri"/>
          <w:sz w:val="16"/>
        </w:rPr>
        <w:t xml:space="preserve">ed </w:t>
      </w:r>
      <w:r w:rsidRPr="00F933AF">
        <w:rPr>
          <w:rStyle w:val="StyleUnderline"/>
          <w:rFonts w:cs="Calibri"/>
        </w:rPr>
        <w:t>in a public charge determination</w:t>
      </w:r>
      <w:r w:rsidRPr="00F933AF">
        <w:rPr>
          <w:rFonts w:cs="Calibri"/>
          <w:sz w:val="16"/>
        </w:rPr>
        <w:t xml:space="preserve"> to include (among others) whether the applicant or his/her dependents ever purchased </w:t>
      </w:r>
      <w:r w:rsidRPr="00F933AF">
        <w:rPr>
          <w:rStyle w:val="Emphasis"/>
          <w:rFonts w:cs="Calibri"/>
        </w:rPr>
        <w:t>health</w:t>
      </w:r>
      <w:r w:rsidRPr="00F933AF">
        <w:rPr>
          <w:rStyle w:val="StyleUnderline"/>
          <w:rFonts w:cs="Calibri"/>
        </w:rPr>
        <w:t xml:space="preserve"> insurance through the marketplace with federal premium tax credits, or enrolled in Medicaid or the Children’s Health Insurance Program (CHIP), and their likelihood of receiving these health care benefits </w:t>
      </w:r>
      <w:r w:rsidRPr="00F933AF">
        <w:rPr>
          <w:rStyle w:val="Emphasis"/>
          <w:rFonts w:cs="Calibri"/>
        </w:rPr>
        <w:t>in the future</w:t>
      </w:r>
      <w:r w:rsidRPr="00F933AF">
        <w:rPr>
          <w:rFonts w:cs="Calibri"/>
          <w:sz w:val="16"/>
        </w:rPr>
        <w:t xml:space="preserve">. In recent days, another troubling issue has surfaced: Under current policy, public charge determinations generally affect the ability of families to improve their immigration status, but they generally cannot result in deportation. </w:t>
      </w:r>
      <w:r w:rsidRPr="00F933AF">
        <w:rPr>
          <w:rStyle w:val="StyleUnderline"/>
          <w:rFonts w:cs="Calibri"/>
        </w:rPr>
        <w:t>Proposed regulations</w:t>
      </w:r>
      <w:r w:rsidRPr="00F933AF">
        <w:rPr>
          <w:rFonts w:cs="Calibri"/>
          <w:sz w:val="16"/>
        </w:rPr>
        <w:t xml:space="preserve"> may change this longstanding rule, </w:t>
      </w:r>
      <w:r w:rsidRPr="00F933AF">
        <w:rPr>
          <w:rStyle w:val="Emphasis"/>
          <w:rFonts w:cs="Calibri"/>
        </w:rPr>
        <w:t>increasing the authority of federal immigration agencies to deport immigrants based on nothing more than their use of health care services or other assistance for which they fully qualify</w:t>
      </w:r>
      <w:r w:rsidRPr="00F933AF">
        <w:rPr>
          <w:rFonts w:cs="Calibri"/>
          <w:sz w:val="16"/>
        </w:rPr>
        <w:t xml:space="preserve">. How will this proposal harm families’ health? </w:t>
      </w:r>
      <w:r w:rsidRPr="00F933AF">
        <w:rPr>
          <w:rStyle w:val="StyleUnderline"/>
          <w:rFonts w:cs="Calibri"/>
        </w:rPr>
        <w:t>If adopted, this rule will force families to choose between staying together and getting the health care they need, even for the family members who are US citizens</w:t>
      </w:r>
      <w:r w:rsidRPr="00F933AF">
        <w:rPr>
          <w:rStyle w:val="Emphasis"/>
          <w:rFonts w:cs="Calibri"/>
        </w:rPr>
        <w:t>. It will discourage people from signing up for health insurance</w:t>
      </w:r>
      <w:r w:rsidRPr="00F933AF">
        <w:rPr>
          <w:rStyle w:val="StyleUnderline"/>
          <w:rFonts w:cs="Calibri"/>
        </w:rPr>
        <w:t xml:space="preserve"> and, as a result, they will lose their access to care. </w:t>
      </w:r>
      <w:r w:rsidRPr="00F933AF">
        <w:rPr>
          <w:rStyle w:val="Emphasis"/>
          <w:rFonts w:cs="Calibri"/>
        </w:rPr>
        <w:t>The proposed rule will have a huge impact on the health and well-being of children</w:t>
      </w:r>
      <w:r w:rsidRPr="00F933AF">
        <w:rPr>
          <w:rStyle w:val="StyleUnderline"/>
          <w:rFonts w:cs="Calibri"/>
        </w:rPr>
        <w:t xml:space="preserve"> in particular. Medicaid and CHIP help millions of children get the regular care they need to develop into healthy adults. For example, CHIP and Medicaid cover oral health care so that toothaches won’t distract kids from school lessons, vision exams and glasses to help kids see the blackboard, vaccines and prompt care for the flu to keep children and their schoolmates healthy, and treatment for life-threatening conditions such as asthma. </w:t>
      </w:r>
      <w:r w:rsidRPr="00F933AF">
        <w:rPr>
          <w:rStyle w:val="Emphasis"/>
          <w:rFonts w:cs="Calibri"/>
        </w:rPr>
        <w:t>This proposal would force parents to make awful decisions</w:t>
      </w:r>
      <w:r w:rsidRPr="00F933AF">
        <w:rPr>
          <w:rStyle w:val="StyleUnderline"/>
          <w:rFonts w:cs="Calibri"/>
        </w:rPr>
        <w:t xml:space="preserve">. They could insure their children, who are </w:t>
      </w:r>
      <w:r w:rsidRPr="00F933AF">
        <w:rPr>
          <w:rStyle w:val="Emphasis"/>
          <w:rFonts w:cs="Calibri"/>
        </w:rPr>
        <w:t xml:space="preserve">legally entitled to health care </w:t>
      </w:r>
      <w:r w:rsidRPr="00F933AF">
        <w:rPr>
          <w:rStyle w:val="StyleUnderline"/>
          <w:rFonts w:cs="Calibri"/>
        </w:rPr>
        <w:t xml:space="preserve">benefits, but that could prevent the parent from becoming a lawful permanent resident. </w:t>
      </w:r>
      <w:r w:rsidRPr="00F933AF">
        <w:rPr>
          <w:rStyle w:val="Emphasis"/>
          <w:rFonts w:cs="Calibri"/>
        </w:rPr>
        <w:t xml:space="preserve">Which is better: to jeopardize the child’s health, or jeopardize the family living together? </w:t>
      </w:r>
      <w:r w:rsidRPr="00F933AF">
        <w:rPr>
          <w:rFonts w:cs="Calibri"/>
          <w:sz w:val="16"/>
        </w:rPr>
        <w:t xml:space="preserve">The health insurance coverage of many working adults will also be in peril. Currently, legally present adults whose employers don’t offer affordable health insurance are able to get covered through the Health Insurance Marketplace and receive sliding scale financial assistance to help pay for the health plan they choose if they qualify. </w:t>
      </w:r>
      <w:r w:rsidRPr="00F933AF">
        <w:rPr>
          <w:rStyle w:val="StyleUnderline"/>
          <w:rFonts w:cs="Calibri"/>
        </w:rPr>
        <w:t xml:space="preserve">With health insurance, adults can keep themselves healthy and able to work and parent, </w:t>
      </w:r>
      <w:r w:rsidRPr="00F933AF">
        <w:rPr>
          <w:rStyle w:val="Emphasis"/>
          <w:rFonts w:cs="Calibri"/>
        </w:rPr>
        <w:t>keep contagious diseases from spreading</w:t>
      </w:r>
      <w:r w:rsidRPr="00F933AF">
        <w:rPr>
          <w:rStyle w:val="StyleUnderline"/>
          <w:rFonts w:cs="Calibri"/>
        </w:rPr>
        <w:t xml:space="preserve"> to their coworkers and communities, and afford to get their illnesses treated before they worsen.</w:t>
      </w:r>
      <w:r w:rsidRPr="00F933AF">
        <w:rPr>
          <w:rFonts w:cs="Calibri"/>
          <w:sz w:val="16"/>
        </w:rPr>
        <w:t xml:space="preserve"> Currently, these health benefits are not included in public charge calculations for applicants seeking legal entry or lawful permanent residency. The leaked proposed rule would change that. </w:t>
      </w:r>
      <w:r w:rsidRPr="00F933AF">
        <w:rPr>
          <w:rStyle w:val="StyleUnderline"/>
          <w:rFonts w:cs="Calibri"/>
        </w:rPr>
        <w:t>If an immigrant, or even the immigrant’s citizen child, sought, applied for, or received health coverage through Medicaid, CHIP, or through the marketplace with premium tax credits, it could be held against them</w:t>
      </w:r>
      <w:r w:rsidRPr="00F933AF">
        <w:rPr>
          <w:rFonts w:cs="Calibri"/>
          <w:sz w:val="16"/>
        </w:rPr>
        <w:t xml:space="preserve"> in public charge determinations. </w:t>
      </w:r>
      <w:r w:rsidRPr="00F933AF">
        <w:rPr>
          <w:rStyle w:val="StyleUnderline"/>
          <w:rFonts w:cs="Calibri"/>
        </w:rPr>
        <w:t>Every form of health insurance involves some form of public subsidy in addition to whatever amount people pay for care themselves</w:t>
      </w:r>
      <w:r w:rsidRPr="00F933AF">
        <w:rPr>
          <w:rFonts w:cs="Calibri"/>
          <w:sz w:val="16"/>
        </w:rPr>
        <w:t xml:space="preserve">: employers get a tax deduction for covering their workers; people who buy their own health insurance similarly get tax deductions based on their incomes. There are subsidies for Medicare as well. </w:t>
      </w:r>
      <w:r w:rsidRPr="00F933AF">
        <w:rPr>
          <w:rStyle w:val="StyleUnderline"/>
          <w:rFonts w:cs="Calibri"/>
        </w:rPr>
        <w:t>It makes no sense to consider Medicaid, CHIP, and marketplace coverage in a public charge determination when the cost of health care is always shared broadly</w:t>
      </w:r>
      <w:r w:rsidRPr="00F933AF">
        <w:rPr>
          <w:rFonts w:cs="Calibri"/>
          <w:sz w:val="16"/>
        </w:rPr>
        <w:t xml:space="preserve">. How will this proposal harm communities’ health? </w:t>
      </w:r>
      <w:r w:rsidRPr="00F933AF">
        <w:rPr>
          <w:rStyle w:val="Emphasis"/>
          <w:rFonts w:cs="Calibri"/>
        </w:rPr>
        <w:t>The impact of this proposed rule extends well beyond the directly targeted individuals and families whose health will be at risk</w:t>
      </w:r>
      <w:r w:rsidRPr="00F933AF">
        <w:rPr>
          <w:rStyle w:val="StyleUnderline"/>
          <w:rFonts w:cs="Calibri"/>
        </w:rPr>
        <w:t xml:space="preserve">. A community’s overall health depends on the health of all of its members. The impact of this proposed rule will </w:t>
      </w:r>
      <w:r w:rsidRPr="00F933AF">
        <w:rPr>
          <w:rStyle w:val="Emphasis"/>
          <w:rFonts w:cs="Calibri"/>
        </w:rPr>
        <w:t>spill over</w:t>
      </w:r>
      <w:r w:rsidRPr="00F933AF">
        <w:rPr>
          <w:rStyle w:val="StyleUnderline"/>
          <w:rFonts w:cs="Calibri"/>
        </w:rPr>
        <w:t xml:space="preserve"> to others in many ways. Without insurance, families may delay care or forego it altogether. This means there will be more children in school, and adults in the workplace, </w:t>
      </w:r>
      <w:r w:rsidRPr="00F933AF">
        <w:rPr>
          <w:rStyle w:val="Emphasis"/>
          <w:rFonts w:cs="Calibri"/>
        </w:rPr>
        <w:t>without needed preventive services and untreated illnesses</w:t>
      </w:r>
      <w:r w:rsidRPr="00F933AF">
        <w:rPr>
          <w:rFonts w:cs="Calibri"/>
          <w:sz w:val="16"/>
        </w:rPr>
        <w:t xml:space="preserve">. </w:t>
      </w:r>
      <w:r w:rsidRPr="00F933AF">
        <w:rPr>
          <w:rStyle w:val="StyleUnderline"/>
          <w:rFonts w:cs="Calibri"/>
        </w:rPr>
        <w:t xml:space="preserve">More people delaying care until the last possible moment will </w:t>
      </w:r>
      <w:r w:rsidRPr="00F933AF">
        <w:rPr>
          <w:rStyle w:val="Emphasis"/>
          <w:rFonts w:cs="Calibri"/>
        </w:rPr>
        <w:t>strain emergency resources. Hospitals’ and clinics’ uncompensated care burdens will increase</w:t>
      </w:r>
      <w:r w:rsidRPr="00F933AF">
        <w:rPr>
          <w:rFonts w:cs="Calibri"/>
          <w:sz w:val="16"/>
        </w:rPr>
        <w:t xml:space="preserve">. </w:t>
      </w:r>
      <w:r w:rsidRPr="00F933AF">
        <w:rPr>
          <w:rStyle w:val="StyleUnderline"/>
          <w:rFonts w:cs="Calibri"/>
        </w:rPr>
        <w:t>The proposal will further</w:t>
      </w:r>
      <w:r w:rsidRPr="00F933AF">
        <w:rPr>
          <w:rStyle w:val="Emphasis"/>
          <w:rFonts w:cs="Calibri"/>
        </w:rPr>
        <w:t xml:space="preserve"> undermine </w:t>
      </w:r>
      <w:r w:rsidRPr="00F933AF">
        <w:rPr>
          <w:rStyle w:val="StyleUnderline"/>
          <w:rFonts w:cs="Calibri"/>
        </w:rPr>
        <w:t xml:space="preserve">the individual health </w:t>
      </w:r>
      <w:r w:rsidRPr="00F933AF">
        <w:rPr>
          <w:rStyle w:val="Emphasis"/>
          <w:rFonts w:cs="Calibri"/>
        </w:rPr>
        <w:t>insurance market</w:t>
      </w:r>
      <w:r w:rsidRPr="00F933AF">
        <w:rPr>
          <w:rStyle w:val="StyleUnderline"/>
          <w:rFonts w:cs="Calibri"/>
        </w:rPr>
        <w:t>.</w:t>
      </w:r>
      <w:r w:rsidRPr="00F933AF">
        <w:rPr>
          <w:rFonts w:cs="Calibri"/>
          <w:sz w:val="16"/>
        </w:rPr>
        <w:t xml:space="preserve"> Health insurance marketplaces must include enough people to attract insurers; they must include a mix of consumers, including many that are in good health, in order to offset the cost of care to those who are sicker. </w:t>
      </w:r>
      <w:r w:rsidRPr="00F933AF">
        <w:rPr>
          <w:rStyle w:val="StyleUnderline"/>
          <w:rFonts w:cs="Calibri"/>
        </w:rPr>
        <w:t>By forcing immigrants</w:t>
      </w:r>
      <w:r w:rsidRPr="00F933AF">
        <w:rPr>
          <w:rFonts w:cs="Calibri"/>
          <w:sz w:val="16"/>
        </w:rPr>
        <w:t xml:space="preserve"> and temporary residents </w:t>
      </w:r>
      <w:r w:rsidRPr="00F933AF">
        <w:rPr>
          <w:rStyle w:val="StyleUnderline"/>
          <w:rFonts w:cs="Calibri"/>
        </w:rPr>
        <w:t>to choose between leaving their families uninsured or risking their residency status, the proposed rule will shrink marketplace enrollment</w:t>
      </w:r>
      <w:r w:rsidRPr="00F933AF">
        <w:rPr>
          <w:rFonts w:cs="Calibri"/>
          <w:sz w:val="16"/>
        </w:rPr>
        <w:t xml:space="preserve">. </w:t>
      </w:r>
      <w:r w:rsidRPr="00F933AF">
        <w:rPr>
          <w:rStyle w:val="StyleUnderline"/>
          <w:rFonts w:cs="Calibri"/>
        </w:rPr>
        <w:t xml:space="preserve">Moreover, given that immigrants are, on average, much </w:t>
      </w:r>
      <w:hyperlink r:id="rId68" w:tgtFrame="_blank" w:history="1">
        <w:r w:rsidRPr="00F933AF">
          <w:rPr>
            <w:rStyle w:val="StyleUnderline"/>
            <w:rFonts w:cs="Calibri"/>
          </w:rPr>
          <w:t>healthier than citizens</w:t>
        </w:r>
      </w:hyperlink>
      <w:r w:rsidRPr="00F933AF">
        <w:rPr>
          <w:rStyle w:val="StyleUnderline"/>
          <w:rFonts w:cs="Calibri"/>
        </w:rPr>
        <w:t xml:space="preserve">, the pool will be sicker in addition to smaller. This is another potential blow to the stability of the marketplace. The proposal will also </w:t>
      </w:r>
      <w:r w:rsidRPr="00F933AF">
        <w:rPr>
          <w:rStyle w:val="Emphasis"/>
          <w:rFonts w:cs="Calibri"/>
        </w:rPr>
        <w:t>hurt the health care workforce</w:t>
      </w:r>
      <w:r w:rsidRPr="00F933AF">
        <w:rPr>
          <w:rStyle w:val="StyleUnderline"/>
          <w:rFonts w:cs="Calibri"/>
        </w:rPr>
        <w:t xml:space="preserve">. About 17 percent of all health care workers and nearly </w:t>
      </w:r>
      <w:hyperlink r:id="rId69" w:tgtFrame="_blank" w:history="1">
        <w:r w:rsidRPr="00F933AF">
          <w:rPr>
            <w:rStyle w:val="StyleUnderline"/>
            <w:rFonts w:cs="Calibri"/>
          </w:rPr>
          <w:t>one-fourth</w:t>
        </w:r>
      </w:hyperlink>
      <w:r w:rsidRPr="00F933AF">
        <w:rPr>
          <w:rStyle w:val="StyleUnderline"/>
          <w:rFonts w:cs="Calibri"/>
        </w:rPr>
        <w:t xml:space="preserve"> of health care support workers, such as nursing aides and home health aides, are immigrants. All too frequently, </w:t>
      </w:r>
      <w:hyperlink r:id="rId70" w:tgtFrame="_blank" w:history="1">
        <w:r w:rsidRPr="00F933AF">
          <w:rPr>
            <w:rStyle w:val="StyleUnderline"/>
            <w:rFonts w:cs="Calibri"/>
          </w:rPr>
          <w:t>agencies</w:t>
        </w:r>
      </w:hyperlink>
      <w:r w:rsidRPr="00F933AF">
        <w:rPr>
          <w:rStyle w:val="StyleUnderline"/>
          <w:rFonts w:cs="Calibri"/>
        </w:rPr>
        <w:t xml:space="preserve"> that employ these health care workers do not provide them with insurance, and so these workers must rely on the marketplace or on Medicaid for their coverage</w:t>
      </w:r>
      <w:r w:rsidRPr="00F933AF">
        <w:rPr>
          <w:rFonts w:cs="Calibri"/>
          <w:sz w:val="16"/>
        </w:rPr>
        <w:t xml:space="preserve">. As baby boomers age and more and more people need health care services, including home care, </w:t>
      </w:r>
      <w:r w:rsidRPr="00F933AF">
        <w:rPr>
          <w:rStyle w:val="StyleUnderline"/>
          <w:rFonts w:cs="Calibri"/>
        </w:rPr>
        <w:t>discouraging these immigrants from coming</w:t>
      </w:r>
      <w:r w:rsidRPr="00F933AF">
        <w:rPr>
          <w:rFonts w:cs="Calibri"/>
          <w:sz w:val="16"/>
        </w:rPr>
        <w:t xml:space="preserve"> to help, and making it harder for health care workers to get the coverage they need to stay healthy, are exactly the wrong things to do. What immigrants would be affected? Most commonly, </w:t>
      </w:r>
      <w:r w:rsidRPr="00F933AF">
        <w:rPr>
          <w:rStyle w:val="StyleUnderline"/>
          <w:rFonts w:cs="Calibri"/>
        </w:rPr>
        <w:t>the immigrant groups who are subject to public charge determinations are relatives coming to the US to reunite with family members who live here. This includes spouses, children, and parents</w:t>
      </w:r>
      <w:r w:rsidRPr="00F933AF">
        <w:rPr>
          <w:rFonts w:cs="Calibri"/>
          <w:sz w:val="16"/>
        </w:rPr>
        <w:t xml:space="preserve"> of US citizens, and family members of lawful permanent residents (“green card” holders) who may have stayed behind in another country until one parent established a home and work in the United States. </w:t>
      </w:r>
      <w:hyperlink r:id="rId71" w:tgtFrame="_blank" w:history="1">
        <w:r w:rsidRPr="00F933AF">
          <w:rPr>
            <w:rStyle w:val="Hyperlink"/>
            <w:rFonts w:cs="Calibri"/>
            <w:sz w:val="16"/>
          </w:rPr>
          <w:t>Sixteen million U.S. children</w:t>
        </w:r>
      </w:hyperlink>
      <w:r w:rsidRPr="00F933AF">
        <w:rPr>
          <w:rFonts w:cs="Calibri"/>
          <w:sz w:val="16"/>
        </w:rPr>
        <w:t xml:space="preserve"> have foreign-born parents. Each year, about </w:t>
      </w:r>
      <w:hyperlink r:id="rId72" w:anchor="File_end" w:tgtFrame="_blank" w:history="1">
        <w:r w:rsidRPr="00F933AF">
          <w:rPr>
            <w:rStyle w:val="Hyperlink"/>
            <w:rFonts w:cs="Calibri"/>
            <w:sz w:val="16"/>
          </w:rPr>
          <w:t>700,000</w:t>
        </w:r>
      </w:hyperlink>
      <w:r w:rsidRPr="00F933AF">
        <w:rPr>
          <w:rFonts w:cs="Calibri"/>
          <w:sz w:val="16"/>
        </w:rPr>
        <w:t xml:space="preserve"> immigrants seek permanent residency in the U.S. to be united with family. People coming to the US for temporary work and their family members will also be affected, both when they initially apply to come to the United States and if they decide to seek permanent residency. Some groups of immigrants – such as refugees, asylees, people fleeing domestic violence, and some other protected groups – are not subject to public charge determinations and would not be affected by this proposed rule. What you can do </w:t>
      </w:r>
      <w:r w:rsidRPr="00F933AF">
        <w:rPr>
          <w:rStyle w:val="Emphasis"/>
          <w:rFonts w:cs="Calibri"/>
        </w:rPr>
        <w:t xml:space="preserve">Making families choose between being together or being healthy is cruel, short-sighted, and bad for the whole country. It is also an affront to our core values as a nation. </w:t>
      </w:r>
      <w:r w:rsidRPr="00F933AF">
        <w:rPr>
          <w:rFonts w:cs="Calibri"/>
          <w:sz w:val="16"/>
          <w:szCs w:val="16"/>
        </w:rPr>
        <w:t>But we have a chance to take a stand.  We expect the proposed rule to be posted in the Federal Register for public comment very soon. As a member of the </w:t>
      </w:r>
      <w:hyperlink r:id="rId73" w:tgtFrame="_blank" w:history="1">
        <w:r w:rsidRPr="00F933AF">
          <w:rPr>
            <w:rStyle w:val="Hyperlink"/>
            <w:rFonts w:cs="Calibri"/>
            <w:sz w:val="16"/>
            <w:szCs w:val="16"/>
          </w:rPr>
          <w:t>Protecting Immigrant Families</w:t>
        </w:r>
      </w:hyperlink>
      <w:r w:rsidRPr="00F933AF">
        <w:rPr>
          <w:rFonts w:cs="Calibri"/>
          <w:sz w:val="16"/>
          <w:szCs w:val="16"/>
        </w:rPr>
        <w:t xml:space="preserve"> campaign, Families USA has partnered with immigrant advocacy, anti-hunger, and anti-poverty, and other social justice organizations to present a united opposition to this dangerous proposal.</w:t>
      </w:r>
    </w:p>
    <w:p w:rsidR="00DF1FAC" w:rsidRPr="00F933AF" w:rsidRDefault="00DF1FAC" w:rsidP="00DF1FAC">
      <w:pPr>
        <w:pStyle w:val="Heading4"/>
        <w:rPr>
          <w:rFonts w:cs="Calibri"/>
        </w:rPr>
      </w:pPr>
      <w:r w:rsidRPr="00F933AF">
        <w:rPr>
          <w:rFonts w:cs="Calibri"/>
        </w:rPr>
        <w:t xml:space="preserve">Leaving immigrants without access to care is the </w:t>
      </w:r>
      <w:r w:rsidRPr="00F933AF">
        <w:rPr>
          <w:rFonts w:cs="Calibri"/>
          <w:u w:val="single"/>
        </w:rPr>
        <w:t>primary</w:t>
      </w:r>
      <w:r w:rsidRPr="00F933AF">
        <w:rPr>
          <w:rFonts w:cs="Calibri"/>
        </w:rPr>
        <w:t xml:space="preserve"> cause of emerging disease spread- migration is inevitable</w:t>
      </w:r>
    </w:p>
    <w:p w:rsidR="00DF1FAC" w:rsidRPr="00F933AF" w:rsidRDefault="00DF1FAC" w:rsidP="00DF1FAC">
      <w:pPr>
        <w:rPr>
          <w:rFonts w:cs="Calibri"/>
        </w:rPr>
      </w:pPr>
      <w:r w:rsidRPr="00F933AF">
        <w:rPr>
          <w:rStyle w:val="Style13ptBold"/>
          <w:rFonts w:cs="Calibri"/>
        </w:rPr>
        <w:t>Barnett 8</w:t>
      </w:r>
      <w:proofErr w:type="gramStart"/>
      <w:r w:rsidRPr="00F933AF">
        <w:rPr>
          <w:rFonts w:cs="Calibri"/>
        </w:rPr>
        <w:t>,  (</w:t>
      </w:r>
      <w:proofErr w:type="gramEnd"/>
      <w:r w:rsidRPr="00F933AF">
        <w:rPr>
          <w:rFonts w:cs="Calibri"/>
        </w:rPr>
        <w:t xml:space="preserve">Elizabeth D.Barnett, Role of Immigrants and Migrants in Emerging Infectious Diseases, 11-1-2008, No Publication, </w:t>
      </w:r>
      <w:hyperlink r:id="rId74" w:history="1">
        <w:r w:rsidRPr="00F933AF">
          <w:rPr>
            <w:rStyle w:val="Hyperlink"/>
            <w:rFonts w:cs="Calibri"/>
          </w:rPr>
          <w:t>https://www-sciencedirect-com.proxy.lib.umich.edu/science/article/pii/S0025712508000941</w:t>
        </w:r>
      </w:hyperlink>
      <w:r w:rsidRPr="00F933AF">
        <w:rPr>
          <w:rFonts w:cs="Calibri"/>
        </w:rPr>
        <w:t>)</w:t>
      </w:r>
    </w:p>
    <w:p w:rsidR="00DF1FAC" w:rsidRDefault="00DF1FAC" w:rsidP="00DF1FAC">
      <w:pPr>
        <w:rPr>
          <w:rFonts w:cs="Calibri"/>
          <w:sz w:val="8"/>
        </w:rPr>
      </w:pPr>
      <w:r w:rsidRPr="00F933AF">
        <w:rPr>
          <w:rFonts w:cs="Calibri"/>
          <w:u w:val="single"/>
        </w:rPr>
        <w:t>Migrant populations have had a critical role in the spread of infectious diseases since ancient times. Examples range from biblical plagues, the importation of smallpox into Mexico, the 1918 influenza pandemic, and the AIDS pandemic, to severe acute respiratory syndrome (SARS), outbreaks of meningococcal meningitis associated with the Hajj, and diseases spread by population movement due to political conflict.</w:t>
      </w:r>
      <w:r w:rsidRPr="00F933AF">
        <w:rPr>
          <w:rFonts w:cs="Calibri"/>
          <w:sz w:val="8"/>
        </w:rPr>
        <w:t xml:space="preserve">1, 2 In the debut issue of the journal Emerging Infectious Diseases, </w:t>
      </w:r>
      <w:r w:rsidRPr="00F933AF">
        <w:rPr>
          <w:rFonts w:cs="Calibri"/>
          <w:u w:val="single"/>
        </w:rPr>
        <w:t xml:space="preserve">Stephen S. Morse3 defined emerging infectious diseases as “infections that have newly appeared in a population or have existed but are rapidly increasing in incidence or geographic range.” Migrant populations have played roles in introducing infections into naïve populations (smallpox and measles into Pacific island nations, the global spread of HIV), in changing the incidence of infections in a population, and in increasing the potential for local transmission (hepatitis A, tuberculosis [TB]). </w:t>
      </w:r>
      <w:r w:rsidRPr="00F933AF">
        <w:rPr>
          <w:rFonts w:cs="Calibri"/>
          <w:sz w:val="8"/>
        </w:rPr>
        <w:t xml:space="preserve">Migrants may also carry infections that pose little risk to the local population but </w:t>
      </w:r>
      <w:r w:rsidRPr="00F933AF">
        <w:rPr>
          <w:rFonts w:cs="Calibri"/>
          <w:u w:val="single"/>
        </w:rPr>
        <w:t>increase the geographic range at which these infectious diseases might be encountered by health professionals unfamiliar with them (leishmaniasis, Chagas disease, and malaria in North America).</w:t>
      </w:r>
      <w:r w:rsidRPr="00F933AF">
        <w:rPr>
          <w:rFonts w:cs="Calibri"/>
          <w:sz w:val="8"/>
        </w:rPr>
        <w:t xml:space="preserve"> Such infections present diagnostic dilemmas and over time also change the face of chronic disease in a population (seizures and neurocysticercosis, heart disease and Chagas infection, hepatocellular carcinoma and hepatitis B infection). Finally, population mobility may increase the potential for establishing transmission of new infections in North America (dengue and chikungunya fever in areas where vector mosquitoes exist). </w:t>
      </w:r>
      <w:r w:rsidRPr="00F933AF">
        <w:rPr>
          <w:rFonts w:cs="Calibri"/>
          <w:u w:val="single"/>
        </w:rPr>
        <w:t>Immigrants have ongoing links with populations in their countries of origin that may provide a channel through which infectious diseases potentially can be introduced to new areas. This article focuses on the recent demographic changes in North America that have facilitated the introduction and spread of new microbial threats, the role migrant populations play in changing the demographics of specific infectious diseases</w:t>
      </w:r>
      <w:r w:rsidRPr="00F933AF">
        <w:rPr>
          <w:rFonts w:cs="Calibri"/>
          <w:sz w:val="8"/>
        </w:rPr>
        <w:t xml:space="preserve">, and the potential responses of clinicians and public health officials in addressing the challenges posed by these infections. The emphasis of the article is on immigrant and migrant populations entering North America; the role of travelers in emerging infectious diseases is addressed in another article in this issue. Migration patterns and emerging infectious diseases </w:t>
      </w:r>
      <w:r w:rsidRPr="00F933AF">
        <w:rPr>
          <w:rFonts w:cs="Calibri"/>
          <w:u w:val="single"/>
        </w:rPr>
        <w:t xml:space="preserve">More than 200 million people (roughly 2% of the world's population) currently live outside their country of birth.4 </w:t>
      </w:r>
      <w:proofErr w:type="gramStart"/>
      <w:r w:rsidRPr="00F933AF">
        <w:rPr>
          <w:rFonts w:cs="Calibri"/>
          <w:u w:val="single"/>
        </w:rPr>
        <w:t>The</w:t>
      </w:r>
      <w:proofErr w:type="gramEnd"/>
      <w:r w:rsidRPr="00F933AF">
        <w:rPr>
          <w:rFonts w:cs="Calibri"/>
          <w:u w:val="single"/>
        </w:rPr>
        <w:t xml:space="preserve"> largest number, more than 38 million, live in the United States.</w:t>
      </w:r>
      <w:r w:rsidRPr="00F933AF">
        <w:rPr>
          <w:rFonts w:cs="Calibri"/>
          <w:sz w:val="8"/>
        </w:rPr>
        <w:t xml:space="preserve"> Canada is the country with the sixth largest number of migrants, with just over 6 million.5 The proportion of the United States population who were foreign born was higher in the late nineteenth and early twentieth centuries, when it reached almost 14%, but then it declined to less than 5% in the 1970s; it has been increasing steadily for the past 3 decades and is now more than 12% and growing. Almost 20% of the population of Canada is foreign born.6 More than half (54%) of the migrants living in the United States are from the Americas, with an additional 26% from Asia, 16% from Europe, and 3% from Africa. In contrast, migrants living in Canada are mostly from Europe (41%) and Asia (37%), with 16% from the Americas and 5% from Africa.7 I</w:t>
      </w:r>
      <w:r w:rsidRPr="00F933AF">
        <w:rPr>
          <w:rFonts w:cs="Calibri"/>
          <w:u w:val="single"/>
        </w:rPr>
        <w:t>nternational travel is also increasing at a record pace. More than 30 million trips outside the United States were made in 2006, an increase of more than 10 million in the decade since 1996.</w:t>
      </w:r>
      <w:r w:rsidRPr="00F933AF">
        <w:rPr>
          <w:rFonts w:cs="Calibri"/>
          <w:sz w:val="8"/>
        </w:rPr>
        <w:t xml:space="preserve">8 Outbound travel from Canada is also increasing rapidly, with an almost 8% increase from 2004 to 2005, and a record number of more than 21 million trips made.9 A larger proportion of trips are made by those, usually immigrants and their families, who identify visiting friends and relatives as the primary purpose of their trip.10 The profile of travel destinations is linked to the changing demographics of the North American population. </w:t>
      </w:r>
      <w:r w:rsidRPr="00F933AF">
        <w:rPr>
          <w:rFonts w:cs="Calibri"/>
          <w:u w:val="single"/>
        </w:rPr>
        <w:t>Population migration has been associated with the spread of diseases ranging from plague, smallpox, measles, and syphilis to, more recently, HIV and TB. Travel and trade are also associated with the spread of disease vectors, such as the mosquito vectors for yellow fever and dengue fever.</w:t>
      </w:r>
      <w:r w:rsidRPr="00F933AF">
        <w:rPr>
          <w:rFonts w:cs="Calibri"/>
          <w:sz w:val="8"/>
        </w:rPr>
        <w:t xml:space="preserve">11 The rapidity of air travel has facilitated the spread even of diseases with short incubation periods such as influenza and measles.12, 13 </w:t>
      </w:r>
      <w:r w:rsidRPr="00F933AF">
        <w:rPr>
          <w:rFonts w:cs="Calibri"/>
          <w:u w:val="single"/>
        </w:rPr>
        <w:t>A 2003 Institute of Medicine report identified 13 factors affecting the appearance of new and emerging infectious diseases, many of which were related to migrating populations.1</w:t>
      </w:r>
      <w:r w:rsidRPr="00F933AF">
        <w:rPr>
          <w:rFonts w:cs="Calibri"/>
          <w:sz w:val="8"/>
        </w:rPr>
        <w:t xml:space="preserve">4 Migrant populations can, however, have other roles in changing the pattern of diseases present in a population. Some chronic conditions are associated with remote acquisition of infections, such as American trypanosomiasis or Chagas disease (heart and esophageal disease), the parasitic infection cysticercosis (seizure disorders), and hepatitis B and C infection (hepatic cirrhosis). The incidence of some cancers (hepatocellular carcinoma, cervical cancer) in the future may also be affected by the prevalence of infections such as hepatitis B and C and human papillomavirus (HPV) in mobile populations resettling in areas where these infections are less common. Migrant populations and acute and clinically apparent infectious diseases Immigrants may have a direct role in transmitting acute infectious diseases from one geographic location to another. This concern is especially great when large groups, such as refugees, are resettled to locations around the world. Since 2004, the resettlement of refugee populations has been disrupted in Kenya, Tanzania, Thailand, Ethiopia, and Ivory Coast by outbreaks of vaccine-preventable diseases including measles, mumps, rubella, polio, pertussis, hepatitis A, and typhoid fever. The planned movement of 8000 Liberian refugees scheduled to begin in June 2003 and conclude in April 2004 was interrupted several times by outbreaks of varicella, measles, o'nyong-nyong fever, and rubella.15 During this period, 16 cases of varicella were imported into four states and an infant who had congenital rubella infection was born to a mother who had asymptomatic infection.16 Experts in refugee resettlement have proposed immunization of large mobile populations before resettlement to reduce the spread of infectious diseases and to realize a cost-savings compared with administering all vaccines in the destination country.17 The United States and Canada, through successful routine immunization programs, have reduced the rates of vaccine-preventable diseases to extremely low levels in the general population.18 Disease due to Haemophilus influenzae type b has decreased by more than 99%, and most cases of measles and rubella in the United States are now imported or associated with imported cases.19, 20, 21 Health care professionals have become less familiar with the typical clinical manifestations of some of these infections, leading to potential delays in diagnosis, as illustrated by several recent outbreaks of measles associated with children adopted internationally.22 Other diseases, including varicella, pneumococcal disease, and pertussis, have been reduced significantly by routine childhood immunization, although clinicians continue with some regularity to see patients who have these diseases.23, 24, 25 The major role of clinicians when evaluating newly arrived immigrants is to maintain a high index of suspicion for diseases that have become rare in the United States. Immigrants may not have received in their country of origin vaccines given routinely in North America, or may have had exposures that would be rare in North America. Hepatitis A poses an additional challenge, in that individuals, usually children, who have anicteric or asymptomatic infection may still shed virus and transmit disease to others. Hepatitis A disease and disease mortality has decreased in the United States since implementation of immunization at age 2 in high-incidence communities, and is expected to decline further with routine immunization of all children at age 1.26, 27 Cases have been linked, however, to internationally adopted children and to immigrants and their families who live along the United States–Mexico border and travel back and forth frequently.28, 29, 30, 31 Clinicians must have a high index of suspicion for situations that would place individuals at increased risk for hepatitis A, and provide these individuals with hepatitis A vaccine. Children adopted internationally are a special group who deserve additional mention. Because they are not required to receive immunizations before leaving their birth country, they may be susceptible to, or already infected with, vaccine-preventable diseases at the time of arrival in North America. Transmission of measles, hepatitis A, hepatitis B, TB, and other infectious diseases has been documented from internationally adopted children. Pertussis, rubella, and varicella have been diagnosed in adoptees soon after arrival.32, 33 Children adopted internationally, because they join families that have not shared similar exposures, may pose a unique potential for transmitting infectious diseases in their adoptive country. Recent reports of measles and hepatitis A outbreaks in association with internationally adopted children illustrate this phenomenon.22, 28 The potential risk for transmission of diseases from the migrant population of internationally adopted children has led to recommendations for enhanced protection of families traveling to adopt children and of family members and others who will have close contact with these children on arrival in North America.32, 34, 35, 36 Migrant populations and latent and chronic infectious diseases less familiar to North American health professionals The health characteristics of migrant populations depend on the conditions to which migrants are exposed in their countries of origin, during migration, and in their resettlement environment.4 Understanding a person's journey from his/her country of origin to his/her country of current residence is especially important when assessing risk for diseases of long latency, such as TB, HIV, leprosy, and Chagas disease, and diseases that occur when an individual's immune status changes, such as strongyloides and latent TB. Few of these diseases, with the notable exception of TB, pose significant risk to the local population. </w:t>
      </w:r>
      <w:r w:rsidRPr="00F933AF">
        <w:rPr>
          <w:rFonts w:cs="Calibri"/>
          <w:u w:val="single"/>
        </w:rPr>
        <w:t>In many developed countries, TB occurs disproportionately in the foreign-born population. In the United States, more than 50% of TB cases have occurred in non–United States-born individuals since 2002</w:t>
      </w:r>
      <w:r w:rsidRPr="00F933AF">
        <w:rPr>
          <w:rFonts w:cs="Calibri"/>
          <w:sz w:val="8"/>
        </w:rPr>
        <w:t xml:space="preserve">, and most of these become apparent within 5 years of entering the United States.37 Although the total number of cases of TB reported in the United States declined in 2007, 58.5% were in foreign-born individuals, and the TB rates in the foreign-born were 9.7 times higher than in individuals born in the United States. </w:t>
      </w:r>
      <w:r w:rsidRPr="00F933AF">
        <w:rPr>
          <w:rFonts w:cs="Calibri"/>
          <w:u w:val="single"/>
        </w:rPr>
        <w:t>Multidrug-resistant TB also occurs more commonly in foreign-born individuals; 84.5% of cases occurred in such individuals in the United States in 2006.</w:t>
      </w:r>
      <w:r w:rsidRPr="00F933AF">
        <w:rPr>
          <w:rFonts w:cs="Calibri"/>
          <w:sz w:val="8"/>
        </w:rPr>
        <w:t xml:space="preserve">38 Since the early 1990s, more than half the cases of TB in Canada have been reported in foreign-born individuals.39 Patterns of TB seen in North America today and those predicted for the future are therefore driven by the trends in immigration now and in the recent past. Currently, more than half of all TB cases in the United States occur in individuals from four countries: Mexico, the Philippines, India, and Vietnam.38 In Canada, most cases are seen in individuals from the Western Pacific region, although increased numbers of cases from Southeast Asia and Africa are being reported.39 TB control programs must take into account the needs of the foreign-born population and make TB diagnosis and prevention programs accessible and acceptable to foreign-born populations.40 The global burden of HIV falls disproportionately on individuals from certain parts of the world, especially Africa. In North America, an increasing proportion of individuals living with HIV are foreign born. In Massachusetts, as of November 2007, 19% of those living with AIDS were foreign born, compared with a foreign-born population of about 12%.41 Less than 1% of Minnesota's population was born in Africa, yet in 2004, 19% of new HIV diagnoses were among those born in Africa.42 MacPherson and colleagues43 contrast the prevalence of HIV in Canadian immigration applicant children (14/100,000) with the rate of domestically reported pediatric HIV cases (0.02/100,000). They conclude that population migration and immigration could more than double the number of children who have HIV/AIDS in Canada, requiring a refocusing of efforts to provide culturally and linguistically appropriate programs of HIV care and prevention for immigrant families. Health care professionals and HIV program directors face significant challenges in accommodating the needs of diverse immigrant populations. Overcoming language and cultural barriers to care, addressing differing beliefs about HIV/AIDS, providing care in the context of competing priorities such as housing, jobs, and family stress, and addressing the psychiatric needs of immigrants living with HIV are all critical to the success of programs caring for immigrant populations, yet are stretching the resources of these programs in unprecedented ways.44 Immigrants may present with conditions unfamiliar to American-trained health care professionals, resulting in delays in diagnosis. Dermatologic conditions are especially challenging. Chronic conditions such as leprosy, leishmaniasis, and filarial disease can provide diagnostic dilemmas and may not be recognized easily. Keystone45 provides an excellent overview of skin conditions of immigrants, and contrasts these with those likely to be seen in travelers. </w:t>
      </w:r>
      <w:r w:rsidRPr="00F933AF">
        <w:rPr>
          <w:rFonts w:cs="Calibri"/>
          <w:u w:val="single"/>
        </w:rPr>
        <w:t>Arriving at the correct diagnosis often requires detailed information from the patient about migration history, access to specialized laboratories that can assist in making a diagnosis</w:t>
      </w:r>
      <w:r w:rsidRPr="00F933AF">
        <w:rPr>
          <w:rFonts w:cs="Calibri"/>
          <w:sz w:val="8"/>
        </w:rPr>
        <w:t xml:space="preserve">, and, for some diseases, access to specialized medications with limited availability. Once a diagnosis is made, additional challenges include addressing the stigma associated with diseases such as Hansen's disease (leprosy), the </w:t>
      </w:r>
      <w:r w:rsidRPr="00F933AF">
        <w:rPr>
          <w:rFonts w:cs="Calibri"/>
          <w:u w:val="single"/>
        </w:rPr>
        <w:t>long period of treatment required (sometimes with specialized medications)</w:t>
      </w:r>
      <w:r w:rsidRPr="00F933AF">
        <w:rPr>
          <w:rFonts w:cs="Calibri"/>
          <w:sz w:val="8"/>
        </w:rPr>
        <w:t>, and, with conditions such as visceral leishmaniasis, addressing the possibility of HIV coinfection.</w:t>
      </w:r>
    </w:p>
    <w:p w:rsidR="001348C9" w:rsidRDefault="001348C9" w:rsidP="001348C9"/>
    <w:p w:rsidR="001348C9" w:rsidRDefault="001348C9" w:rsidP="001348C9">
      <w:pPr>
        <w:pStyle w:val="Heading4"/>
      </w:pPr>
      <w:r>
        <w:t>Access to health care prevents imminent pandemics</w:t>
      </w:r>
    </w:p>
    <w:p w:rsidR="001348C9" w:rsidRPr="00C87FE9" w:rsidRDefault="001348C9" w:rsidP="001348C9">
      <w:r w:rsidRPr="00C87FE9">
        <w:rPr>
          <w:rStyle w:val="Style13ptBold"/>
        </w:rPr>
        <w:t>Calma, Miley and de Chant 15</w:t>
      </w:r>
      <w:r>
        <w:t xml:space="preserve"> (</w:t>
      </w:r>
      <w:r w:rsidRPr="00C87FE9">
        <w:t xml:space="preserve">Justine Calma, GroundTruth-Kaiser Family Foundation global health reporting fellow, Marissa Miley, deputy editor of global health for The GroundTruth Project, </w:t>
      </w:r>
      <w:hyperlink r:id="rId75" w:history="1">
        <w:r w:rsidRPr="00C87FE9">
          <w:rPr>
            <w:rStyle w:val="Hyperlink"/>
          </w:rPr>
          <w:t>Tim De Chant</w:t>
        </w:r>
      </w:hyperlink>
      <w:r w:rsidRPr="00C87FE9">
        <w:t>, editor at NOVA, 10/4/15, “Will changing healthcare access prevent the outbreak of a global pandemic?”, https://www.pri.org/stories/2015-10-04/will-changing-healthcare-access-prevent-outbreak-global-pandemic)/CWB</w:t>
      </w:r>
    </w:p>
    <w:p w:rsidR="001348C9" w:rsidRPr="00C87FE9" w:rsidRDefault="001348C9" w:rsidP="001348C9">
      <w:pPr>
        <w:rPr>
          <w:sz w:val="16"/>
        </w:rPr>
      </w:pPr>
      <w:r w:rsidRPr="00C87FE9">
        <w:rPr>
          <w:sz w:val="16"/>
        </w:rPr>
        <w:t xml:space="preserve">For the hard-hit countries in West Africa now </w:t>
      </w:r>
      <w:r w:rsidRPr="00C87FE9">
        <w:rPr>
          <w:rStyle w:val="StyleUnderline"/>
        </w:rPr>
        <w:t xml:space="preserve">rebuilding </w:t>
      </w:r>
      <w:r w:rsidRPr="00C87FE9">
        <w:rPr>
          <w:sz w:val="16"/>
        </w:rPr>
        <w:t xml:space="preserve">their communities and lives </w:t>
      </w:r>
      <w:r w:rsidRPr="00C87FE9">
        <w:rPr>
          <w:rStyle w:val="StyleUnderline"/>
        </w:rPr>
        <w:t>after</w:t>
      </w:r>
      <w:r w:rsidRPr="00C87FE9">
        <w:rPr>
          <w:sz w:val="16"/>
        </w:rPr>
        <w:t xml:space="preserve"> the devastating wave of </w:t>
      </w:r>
      <w:r w:rsidRPr="00C87FE9">
        <w:rPr>
          <w:rStyle w:val="StyleUnderline"/>
        </w:rPr>
        <w:t>Ebola, the need for health care that is affordable and accessible is particularly pronounced</w:t>
      </w:r>
      <w:r w:rsidRPr="00C87FE9">
        <w:rPr>
          <w:sz w:val="16"/>
        </w:rPr>
        <w:t xml:space="preserve">. “Our recent experience with the Ebola </w:t>
      </w:r>
      <w:r w:rsidRPr="00C87FE9">
        <w:rPr>
          <w:rStyle w:val="StyleUnderline"/>
        </w:rPr>
        <w:t>disease proved to be a real wakeup call because it exposed the weaknesses of our health system</w:t>
      </w:r>
      <w:r w:rsidRPr="00C87FE9">
        <w:rPr>
          <w:sz w:val="16"/>
        </w:rPr>
        <w:t xml:space="preserve">,” said Liberian President Ellen Johnson Sirleaf at the United Nations headquarters last week. “It pointed out to us that in that call, </w:t>
      </w:r>
      <w:r w:rsidRPr="00C87FE9">
        <w:rPr>
          <w:rStyle w:val="StyleUnderline"/>
        </w:rPr>
        <w:t xml:space="preserve">we need a more vigorous fight against </w:t>
      </w:r>
      <w:r w:rsidRPr="00C87FE9">
        <w:rPr>
          <w:sz w:val="16"/>
        </w:rPr>
        <w:t>health-related challenges, particularly</w:t>
      </w:r>
      <w:r w:rsidRPr="00C87FE9">
        <w:rPr>
          <w:rStyle w:val="StyleUnderline"/>
        </w:rPr>
        <w:t xml:space="preserve"> infectious diseases</w:t>
      </w:r>
      <w:r w:rsidRPr="00C87FE9">
        <w:rPr>
          <w:sz w:val="16"/>
        </w:rPr>
        <w:t xml:space="preserve"> such as malaria, cholera, typhoid, all of which are at high levels of incidences in our country.” As heads of state adopted ambitious goals for the world to achieve in the next 15 years, a corps of health and political leaders, including Sirleaf, are publicly stressing the </w:t>
      </w:r>
      <w:r w:rsidRPr="00C87FE9">
        <w:rPr>
          <w:rStyle w:val="StyleUnderline"/>
        </w:rPr>
        <w:t>importance of adopting universal health coverage to help stem the next outbreak of infectious disease</w:t>
      </w:r>
      <w:r w:rsidRPr="00C87FE9">
        <w:rPr>
          <w:sz w:val="16"/>
        </w:rPr>
        <w:t>. During a week where President Barack Obama has called child death from infectious disease a “moral outrage” and UN Secretary General Ban Ki-Moon declared that “</w:t>
      </w:r>
      <w:r w:rsidRPr="00C87FE9">
        <w:rPr>
          <w:rStyle w:val="StyleUnderline"/>
        </w:rPr>
        <w:t xml:space="preserve">human security depends on health security,” the link between health care and human rights is codified in the global agenda more than ever before. “Universal health coverage with an emphasis on fairness and equity in health, leaving nobody behind, is exactly what the UN General Assembly has just adopted as one of the important principles of the SDGs,” </w:t>
      </w:r>
      <w:r w:rsidRPr="00C87FE9">
        <w:rPr>
          <w:sz w:val="16"/>
        </w:rPr>
        <w:t xml:space="preserve">said World Health Organization Director General Margaret Chan, at Monday’s </w:t>
      </w:r>
      <w:hyperlink r:id="rId76" w:history="1">
        <w:r w:rsidRPr="00C87FE9">
          <w:rPr>
            <w:rStyle w:val="Hyperlink"/>
            <w:sz w:val="16"/>
          </w:rPr>
          <w:t>panel discussion</w:t>
        </w:r>
      </w:hyperlink>
      <w:r w:rsidRPr="00C87FE9">
        <w:rPr>
          <w:sz w:val="16"/>
        </w:rPr>
        <w:t xml:space="preserve">, where leaders discussed the path towards </w:t>
      </w:r>
      <w:r w:rsidRPr="00C87FE9">
        <w:rPr>
          <w:rStyle w:val="StyleUnderline"/>
        </w:rPr>
        <w:t>universal health coverage</w:t>
      </w:r>
      <w:r w:rsidRPr="00C87FE9">
        <w:rPr>
          <w:sz w:val="16"/>
        </w:rPr>
        <w:t xml:space="preserve">. “We need capacities to </w:t>
      </w:r>
      <w:r w:rsidRPr="00C87FE9">
        <w:rPr>
          <w:rStyle w:val="StyleUnderline"/>
        </w:rPr>
        <w:t>prevent, detect and respond to outbreaks</w:t>
      </w:r>
      <w:r w:rsidRPr="00C87FE9">
        <w:rPr>
          <w:sz w:val="16"/>
        </w:rPr>
        <w:t xml:space="preserve"> and humanitarian crises. And we also </w:t>
      </w:r>
      <w:r w:rsidRPr="00C87FE9">
        <w:rPr>
          <w:rStyle w:val="StyleUnderline"/>
        </w:rPr>
        <w:t>need health systems that are resilient</w:t>
      </w:r>
      <w:r w:rsidRPr="00C87FE9">
        <w:rPr>
          <w:sz w:val="16"/>
        </w:rPr>
        <w:t xml:space="preserve">.” While a year ago, Liberia was experiencing hundreds of new cases a week, it is now Ebola-free The virulent disease may have subsided, but it still lingers as a threat —and it’s not the only one. </w:t>
      </w:r>
      <w:r w:rsidRPr="00C87FE9">
        <w:rPr>
          <w:rStyle w:val="StyleUnderline"/>
        </w:rPr>
        <w:t>Public health officials agree that the next disease outbreak of infectious disease is imminent. The question is, which one? Possibilities range from the MERS coronavirus</w:t>
      </w:r>
      <w:r w:rsidRPr="00C87FE9">
        <w:rPr>
          <w:sz w:val="16"/>
        </w:rPr>
        <w:t xml:space="preserve"> in the Middle East </w:t>
      </w:r>
      <w:r w:rsidRPr="00C87FE9">
        <w:rPr>
          <w:rStyle w:val="StyleUnderline"/>
        </w:rPr>
        <w:t>and avian influenza</w:t>
      </w:r>
      <w:r w:rsidRPr="00C87FE9">
        <w:rPr>
          <w:sz w:val="16"/>
        </w:rPr>
        <w:t xml:space="preserve"> in East Asia to mounting drug resistance that could unleash waves of deadly superbugs around the globe. Then there are the </w:t>
      </w:r>
      <w:r w:rsidRPr="00C87FE9">
        <w:rPr>
          <w:rStyle w:val="StyleUnderline"/>
        </w:rPr>
        <w:t>scores of perennial challenges</w:t>
      </w:r>
      <w:r w:rsidRPr="00C87FE9">
        <w:rPr>
          <w:sz w:val="16"/>
        </w:rPr>
        <w:t xml:space="preserve"> such as childhood pneumonia and malaria. In 2014, 43 percent of the 5.9 million children who died</w:t>
      </w:r>
      <w:hyperlink w:anchor="slide-1%3E" w:history="1">
        <w:r w:rsidRPr="00C87FE9">
          <w:rPr>
            <w:rStyle w:val="Hyperlink"/>
            <w:sz w:val="16"/>
          </w:rPr>
          <w:t xml:space="preserve"> under the age of 5</w:t>
        </w:r>
      </w:hyperlink>
      <w:r w:rsidRPr="00C87FE9">
        <w:rPr>
          <w:sz w:val="16"/>
        </w:rPr>
        <w:t xml:space="preserve"> fell victim to infectious disease, according to the UN. For the last several months, The GroundTruth Project has embarked on an in-depth, </w:t>
      </w:r>
      <w:hyperlink w:history="1">
        <w:r w:rsidRPr="00C87FE9">
          <w:rPr>
            <w:rStyle w:val="Hyperlink"/>
            <w:sz w:val="16"/>
          </w:rPr>
          <w:t>multi-part investigation</w:t>
        </w:r>
      </w:hyperlink>
      <w:r w:rsidRPr="00C87FE9">
        <w:rPr>
          <w:sz w:val="16"/>
        </w:rPr>
        <w:t xml:space="preserve"> in collaboration with NOVA Next that </w:t>
      </w:r>
      <w:r w:rsidRPr="00C87FE9">
        <w:rPr>
          <w:rStyle w:val="StyleUnderline"/>
        </w:rPr>
        <w:t>explore</w:t>
      </w:r>
      <w:r w:rsidRPr="00C87FE9">
        <w:rPr>
          <w:sz w:val="16"/>
        </w:rPr>
        <w:t xml:space="preserve">s </w:t>
      </w:r>
      <w:r w:rsidRPr="00C87FE9">
        <w:rPr>
          <w:rStyle w:val="StyleUnderline"/>
        </w:rPr>
        <w:t>just how prepared the world is for a pandemic of global proportion</w:t>
      </w:r>
      <w:r w:rsidRPr="00C87FE9">
        <w:rPr>
          <w:sz w:val="16"/>
        </w:rPr>
        <w:t xml:space="preserve">. In the multimedia series publishing this fall, the “Next Outbreak,” our journalists are reporting on the ground in Asia, Africa and North America, asking how doctors, epidemiologists and public officials responded to the last pandemic — and what it will take to be prepared for future outbreaks. They’re looking for places where the </w:t>
      </w:r>
      <w:r w:rsidRPr="00C87FE9">
        <w:rPr>
          <w:rStyle w:val="StyleUnderline"/>
        </w:rPr>
        <w:t>response fell short</w:t>
      </w:r>
      <w:r w:rsidRPr="00C87FE9">
        <w:rPr>
          <w:sz w:val="16"/>
        </w:rPr>
        <w:t xml:space="preserve">. But they’re also documenting the bright spots, instances where the ability to prevent, predict and respond to infectious diseases is gaining momentum. The series features the doctors and scientists who are racing to prepare for the next pandemic, and underscores the importance of universal health care in all corners of the world. The concept of universal </w:t>
      </w:r>
      <w:r w:rsidRPr="00C87FE9">
        <w:rPr>
          <w:rStyle w:val="StyleUnderline"/>
        </w:rPr>
        <w:t>health care</w:t>
      </w:r>
      <w:r w:rsidRPr="00C87FE9">
        <w:rPr>
          <w:sz w:val="16"/>
        </w:rPr>
        <w:t xml:space="preserve"> — the right to health — was not explicitly part of the Millennium Development Goals, the first set of global goals, which expire at the end of this year. But health leaders deemed universal </w:t>
      </w:r>
      <w:r w:rsidRPr="00C87FE9">
        <w:rPr>
          <w:rStyle w:val="StyleUnderline"/>
        </w:rPr>
        <w:t>health care so integral to public global health</w:t>
      </w:r>
      <w:r w:rsidRPr="00C87FE9">
        <w:rPr>
          <w:sz w:val="16"/>
        </w:rPr>
        <w:t xml:space="preserve"> that that it was initially considered as the overarching health goal for the SDGs, called Goal 3. During negotiations to create this new objective for 2030, however, a broader goal was selected to “</w:t>
      </w:r>
      <w:r w:rsidRPr="00C87FE9">
        <w:rPr>
          <w:rStyle w:val="StyleUnderline"/>
        </w:rPr>
        <w:t>ensure healthy lives and promote well-being for all at all ages</w:t>
      </w:r>
      <w:r w:rsidRPr="00C87FE9">
        <w:rPr>
          <w:sz w:val="16"/>
        </w:rPr>
        <w:t xml:space="preserve">.” Under Goal 3, there is a specific target to “end the </w:t>
      </w:r>
      <w:r w:rsidRPr="00C87FE9">
        <w:rPr>
          <w:rStyle w:val="StyleUnderline"/>
        </w:rPr>
        <w:t>epidemics</w:t>
      </w:r>
      <w:r w:rsidRPr="00C87FE9">
        <w:rPr>
          <w:sz w:val="16"/>
        </w:rPr>
        <w:t xml:space="preserve"> of AIDS, tuberculosis, malaria and </w:t>
      </w:r>
      <w:r w:rsidRPr="00C87FE9">
        <w:rPr>
          <w:rStyle w:val="StyleUnderline"/>
        </w:rPr>
        <w:t>neglected</w:t>
      </w:r>
      <w:r w:rsidRPr="00C87FE9">
        <w:rPr>
          <w:sz w:val="16"/>
        </w:rPr>
        <w:t xml:space="preserve"> tropical diseases and combat hepatitis, water-borne diseases and other communicable diseases.” Universal health coverage, Chan said on Monday at the panel event, “is a very good example to illustrate how Goal 3 can come together.” Infe</w:t>
      </w:r>
      <w:r w:rsidRPr="00C87FE9">
        <w:rPr>
          <w:rStyle w:val="StyleUnderline"/>
        </w:rPr>
        <w:t>ctious disease control always has been recognized as an important health priority within development because outbreaks can be a destabilizing security threat,</w:t>
      </w:r>
      <w:r w:rsidRPr="00C87FE9">
        <w:rPr>
          <w:sz w:val="16"/>
        </w:rPr>
        <w:t xml:space="preserve"> said Heather Wipfli, associate director of the Institute for Global Health at the University of Southern California, who has studied the new global goals. "I think the world has </w:t>
      </w:r>
      <w:r w:rsidRPr="00C87FE9">
        <w:rPr>
          <w:rStyle w:val="StyleUnderline"/>
        </w:rPr>
        <w:t>recognize</w:t>
      </w:r>
      <w:r w:rsidRPr="00C87FE9">
        <w:rPr>
          <w:sz w:val="16"/>
        </w:rPr>
        <w:t xml:space="preserve">d </w:t>
      </w:r>
      <w:r w:rsidRPr="00C87FE9">
        <w:rPr>
          <w:rStyle w:val="StyleUnderline"/>
        </w:rPr>
        <w:t>how important access to care is for the most vulnerable populations and how our connectivity has put us all dependent on each others access to quality healthcare</w:t>
      </w:r>
      <w:r w:rsidRPr="00C87FE9">
        <w:rPr>
          <w:sz w:val="16"/>
        </w:rPr>
        <w:t>," she said.</w:t>
      </w:r>
    </w:p>
    <w:p w:rsidR="001348C9" w:rsidRDefault="001348C9" w:rsidP="00DF1FAC">
      <w:pPr>
        <w:rPr>
          <w:rFonts w:cs="Calibri"/>
          <w:sz w:val="8"/>
        </w:rPr>
      </w:pPr>
    </w:p>
    <w:p w:rsidR="00EC4C20" w:rsidRPr="00BE0E2B" w:rsidRDefault="00EC4C20" w:rsidP="00EC4C20">
      <w:pPr>
        <w:pStyle w:val="Heading4"/>
        <w:rPr>
          <w:rStyle w:val="StyleUnderline"/>
        </w:rPr>
      </w:pPr>
      <w:r>
        <w:t>Diseases cause extinction- U.S is key- no burnout</w:t>
      </w:r>
    </w:p>
    <w:p w:rsidR="00EC4C20" w:rsidRPr="00693235" w:rsidRDefault="00EC4C20" w:rsidP="00EC4C20">
      <w:r w:rsidRPr="00BE0E2B">
        <w:rPr>
          <w:rStyle w:val="Style13ptBold"/>
        </w:rPr>
        <w:t>Bar-Yam 16</w:t>
      </w:r>
      <w:r w:rsidRPr="00BE0E2B">
        <w:t xml:space="preserve"> (Yaneer Bar-Yam, Complex systems scientist studying social and economic systems, president of the New England Complex Systems Institute, "Transition to extinction: Pandemics in a connected world", 7-3-2016, Medium, </w:t>
      </w:r>
      <w:hyperlink r:id="rId77" w:history="1">
        <w:r w:rsidRPr="001F382D">
          <w:rPr>
            <w:rStyle w:val="Hyperlink"/>
          </w:rPr>
          <w:t>https://medium.com/complex-systems-channel/transition-to-extinction-pandemics-in-a-connected-world-153867fe98f4)//AO</w:t>
        </w:r>
      </w:hyperlink>
      <w:r>
        <w:t xml:space="preserve"> but it turns out that Michael Scott also cut this in internal brain drain</w:t>
      </w:r>
    </w:p>
    <w:p w:rsidR="00EC4C20" w:rsidRDefault="00EC4C20" w:rsidP="00EC4C20">
      <w:pPr>
        <w:rPr>
          <w:sz w:val="14"/>
        </w:rPr>
      </w:pPr>
      <w:r w:rsidRPr="00BE0E2B">
        <w:rPr>
          <w:sz w:val="14"/>
        </w:rPr>
        <w:t xml:space="preserve">The video (Figure 1) shows a simple model of hosts and pathogens we have used to study evolutionary dynamics. In the animation, the green are hosts and red are pathogens. As pathogens infect hosts, they spread across the system. If you look closely, you will see that the red changes tint from time to time — that is the natural mutation of pathogens to become more or less aggressive. Watch as one of the </w:t>
      </w:r>
      <w:r w:rsidRPr="00BE0E2B">
        <w:rPr>
          <w:u w:val="single"/>
        </w:rPr>
        <w:t>more aggressive</w:t>
      </w:r>
      <w:r w:rsidRPr="00BE0E2B">
        <w:rPr>
          <w:sz w:val="14"/>
        </w:rPr>
        <w:t>—brighter red — </w:t>
      </w:r>
      <w:r w:rsidRPr="00BE0E2B">
        <w:rPr>
          <w:u w:val="single"/>
        </w:rPr>
        <w:t>strains rapidly expands. After a time it goes extinct</w:t>
      </w:r>
      <w:r w:rsidRPr="00BE0E2B">
        <w:rPr>
          <w:sz w:val="14"/>
        </w:rPr>
        <w:t xml:space="preserve"> leaving a black region. Why does it go extinct? The answer is that </w:t>
      </w:r>
      <w:r w:rsidRPr="00BE0E2B">
        <w:rPr>
          <w:u w:val="single"/>
        </w:rPr>
        <w:t>it spreads so rapidly that it kills the hosts around it</w:t>
      </w:r>
      <w:r w:rsidRPr="00BE0E2B">
        <w:rPr>
          <w:sz w:val="14"/>
        </w:rPr>
        <w:t xml:space="preserve">. Without new hosts to infect it then dies out itself. That the rapidly spreading pathogens die out has important implications for evolutionary research which we have talked about elsewhere [1–7]. Figure 2: Flight map for an airline (KLM) some years ago. In the research I want to discuss here, what we were interested in is the effect of adding long range transportation [8]. This includes natural means of dispersal as well as unintentional dispersal by humans, like adding airplane routes, which is being done by real world airlines (Figure 2). </w:t>
      </w:r>
      <w:r w:rsidRPr="00BE0E2B">
        <w:rPr>
          <w:u w:val="single"/>
        </w:rPr>
        <w:t xml:space="preserve">When we introduce long range transportation into the model, the success of more aggressive strains changes. They can use the long range transportation to find new hosts and escape local extinction. Figure 3 shows that the more transportation routes introduced into the model, the </w:t>
      </w:r>
      <w:proofErr w:type="gramStart"/>
      <w:r w:rsidRPr="00BE0E2B">
        <w:rPr>
          <w:u w:val="single"/>
        </w:rPr>
        <w:t>more higher</w:t>
      </w:r>
      <w:proofErr w:type="gramEnd"/>
      <w:r w:rsidRPr="00BE0E2B">
        <w:rPr>
          <w:u w:val="single"/>
        </w:rPr>
        <w:t xml:space="preserve"> aggressive pathogens are able to survive and spread.</w:t>
      </w:r>
      <w:r>
        <w:rPr>
          <w:u w:val="single"/>
        </w:rPr>
        <w:t xml:space="preserve"> </w:t>
      </w:r>
      <w:r w:rsidRPr="00BE0E2B">
        <w:rPr>
          <w:sz w:val="14"/>
        </w:rPr>
        <w:t xml:space="preserve">Figure 3: As we add more long range transportation links more aggressive pathogens survive. </w:t>
      </w:r>
      <w:proofErr w:type="gramStart"/>
      <w:r w:rsidRPr="00BE0E2B">
        <w:rPr>
          <w:sz w:val="14"/>
        </w:rPr>
        <w:t>the</w:t>
      </w:r>
      <w:proofErr w:type="gramEnd"/>
      <w:r w:rsidRPr="00BE0E2B">
        <w:rPr>
          <w:sz w:val="14"/>
        </w:rPr>
        <w:t xml:space="preserve"> types of pathogens change from those that are in the upper red to progressively the ones in the images toward the lower right. The lowest one on the right is a snapshot just before everything goes extinct. </w:t>
      </w:r>
      <w:r w:rsidRPr="00BE0E2B">
        <w:rPr>
          <w:u w:val="single"/>
        </w:rPr>
        <w:t>As we add more long range transportation, there is a critical point at which pathogens become so aggressive that the entire host population dies.</w:t>
      </w:r>
      <w:r w:rsidRPr="00BE0E2B">
        <w:rPr>
          <w:sz w:val="14"/>
        </w:rPr>
        <w:t xml:space="preserve"> The pathogens die at the same time, but that is not exactly a consolation to the hosts. </w:t>
      </w:r>
      <w:r w:rsidRPr="00BE0E2B">
        <w:rPr>
          <w:u w:val="single"/>
        </w:rPr>
        <w:t>We call this the phase transition to extinction (Figure 4). With increasing levels of global transportation, human civilization may be approaching such a critical threshold.</w:t>
      </w:r>
      <w:r w:rsidRPr="00BE0E2B">
        <w:rPr>
          <w:sz w:val="14"/>
        </w:rPr>
        <w:t xml:space="preserve"> Figure 4: </w:t>
      </w:r>
      <w:r w:rsidRPr="00BE0E2B">
        <w:rPr>
          <w:u w:val="single"/>
        </w:rPr>
        <w:t>The probability of survival makes a sharp transition</w:t>
      </w:r>
      <w:r w:rsidRPr="00BE0E2B">
        <w:rPr>
          <w:sz w:val="14"/>
        </w:rPr>
        <w:t xml:space="preserve"> (red line) </w:t>
      </w:r>
      <w:r w:rsidRPr="00BE0E2B">
        <w:rPr>
          <w:u w:val="single"/>
        </w:rPr>
        <w:t>from one to zero as we add more long range transportaion</w:t>
      </w:r>
      <w:r w:rsidRPr="00BE0E2B">
        <w:rPr>
          <w:sz w:val="14"/>
        </w:rPr>
        <w:t xml:space="preserve"> (horizontal axis). The right line (black) holds for different model parameters, so we need to study at what point the transition will take place for our world. In the paper we wrote in 2006 about the dangers of global transportation for pathogen evolution and pandemics [8], we mentioned the risk from Ebola. </w:t>
      </w:r>
      <w:r w:rsidRPr="00BE0E2B">
        <w:rPr>
          <w:u w:val="single"/>
        </w:rPr>
        <w:t>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r>
        <w:rPr>
          <w:u w:val="single"/>
        </w:rPr>
        <w:t xml:space="preserve"> </w:t>
      </w:r>
      <w:r w:rsidRPr="00BE0E2B">
        <w:rPr>
          <w:sz w:val="14"/>
        </w:rPr>
        <w:t xml:space="preserve">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 </w:t>
      </w:r>
      <w:r w:rsidRPr="00BE0E2B">
        <w:rPr>
          <w:u w:val="single"/>
        </w:rPr>
        <w:t>A key point about the phase transition to extinction is its suddenness. Even a system that seems stable, can be destabilized by a few more long-range connections, and connectivity is continuing to increase.</w:t>
      </w:r>
      <w:r>
        <w:rPr>
          <w:u w:val="single"/>
        </w:rPr>
        <w:t xml:space="preserve"> </w:t>
      </w:r>
      <w:r w:rsidRPr="00BE0E2B">
        <w:rPr>
          <w:sz w:val="14"/>
        </w:rPr>
        <w:t xml:space="preserve">So how close are we to the tipping point? We don’t know but it would be good to find out before it happens. While Ebola ravaged three countries in West Africa, it only resulted in a handful of cases outside that region. One possible reason is that many of the airlines that fly to </w:t>
      </w:r>
      <w:proofErr w:type="gramStart"/>
      <w:r w:rsidRPr="00BE0E2B">
        <w:rPr>
          <w:sz w:val="14"/>
        </w:rPr>
        <w:t>west</w:t>
      </w:r>
      <w:proofErr w:type="gramEnd"/>
      <w:r w:rsidRPr="00BE0E2B">
        <w:rPr>
          <w:sz w:val="14"/>
        </w:rPr>
        <w:t xml:space="preserve"> Africa stopped or reduced flights during the epidemic [9]. In the absence of a clear connection, public health authorities who downplayed the dangers of the epidemic spreading to the West might seem to be vindicated. As with the choice of airlines to stop flying to </w:t>
      </w:r>
      <w:proofErr w:type="gramStart"/>
      <w:r w:rsidRPr="00BE0E2B">
        <w:rPr>
          <w:sz w:val="14"/>
        </w:rPr>
        <w:t>west</w:t>
      </w:r>
      <w:proofErr w:type="gramEnd"/>
      <w:r w:rsidRPr="00BE0E2B">
        <w:rPr>
          <w:sz w:val="14"/>
        </w:rPr>
        <w:t xml:space="preserve"> Africa, our analysis didn’t take into consideration how people respond to epidemics. </w:t>
      </w:r>
      <w:r w:rsidRPr="00BE0E2B">
        <w:rPr>
          <w:u w:val="single"/>
        </w:rPr>
        <w:t>It does tell us what the outcome will be unless we respond fast enough and well enough to stop the spread of future diseases, which may not be the same as the ones we saw in the past. As the world becomes more connected, the dangers increase.</w:t>
      </w:r>
      <w:r>
        <w:rPr>
          <w:u w:val="single"/>
        </w:rPr>
        <w:t xml:space="preserve"> </w:t>
      </w:r>
      <w:r w:rsidRPr="00BE0E2B">
        <w:rPr>
          <w:sz w:val="14"/>
        </w:rPr>
        <w:t xml:space="preserve">Are people in western countries safe because of higher quality health systems? </w:t>
      </w:r>
      <w:r w:rsidRPr="00BE0E2B">
        <w:rPr>
          <w:u w:val="single"/>
        </w:rPr>
        <w:t xml:space="preserve">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w:t>
      </w:r>
      <w:r w:rsidRPr="00BE0E2B">
        <w:rPr>
          <w:sz w:val="14"/>
        </w:rPr>
        <w:t>If a sick food service worker in an airport infects 100 passengers, or a contagion event happens in mass transportation, an outbreak could very well prove unstoppable.</w:t>
      </w:r>
    </w:p>
    <w:p w:rsidR="00DF1FAC" w:rsidRPr="00F933AF" w:rsidRDefault="00DF1FAC" w:rsidP="000664A0">
      <w:pPr>
        <w:rPr>
          <w:rFonts w:cs="Calibri"/>
          <w:sz w:val="8"/>
        </w:rPr>
      </w:pPr>
    </w:p>
    <w:p w:rsidR="00791443" w:rsidRPr="00EC03A6" w:rsidRDefault="007E3C82" w:rsidP="00EC03A6">
      <w:pPr>
        <w:pStyle w:val="Heading4"/>
      </w:pPr>
      <w:r>
        <w:t xml:space="preserve">Third is economy: </w:t>
      </w:r>
    </w:p>
    <w:p w:rsidR="00791443" w:rsidRPr="00F933AF" w:rsidRDefault="00791443" w:rsidP="00791443">
      <w:pPr>
        <w:pStyle w:val="Heading4"/>
        <w:rPr>
          <w:rFonts w:cs="Calibri"/>
        </w:rPr>
      </w:pPr>
      <w:r w:rsidRPr="00F933AF">
        <w:rPr>
          <w:rFonts w:cs="Calibri"/>
        </w:rPr>
        <w:t>Trump’s public charge changes remove immigrant food security, heath care, education and financial stability- key to national health and economy</w:t>
      </w:r>
    </w:p>
    <w:p w:rsidR="00791443" w:rsidRPr="00F933AF" w:rsidRDefault="00791443" w:rsidP="00791443">
      <w:pPr>
        <w:rPr>
          <w:rFonts w:cs="Calibri"/>
        </w:rPr>
      </w:pPr>
      <w:r w:rsidRPr="00F933AF">
        <w:rPr>
          <w:rStyle w:val="Style13ptBold"/>
          <w:rFonts w:cs="Calibri"/>
        </w:rPr>
        <w:t>Woomer-Deters 5/24</w:t>
      </w:r>
      <w:r w:rsidRPr="00F933AF">
        <w:rPr>
          <w:rFonts w:cs="Calibri"/>
        </w:rPr>
        <w:t xml:space="preserve"> (Kate Woomer-Deters, law degree from the University of Minnesota, attorney at the North Carolina Justice Center’s Immigrant and Refugee Rights Project since 2007, founder of the University of Minnesota Workers' Rights Clinic, 5/24/18, “Latest Trump immigration ‘public charge’ rule proposal plumbs new depths”, http://www.ncpolicywatch.com/2018/05/24/latest-trump-immigration-public-charge-rule-proposal-plumbs-new-depths/)/CWB</w:t>
      </w:r>
    </w:p>
    <w:p w:rsidR="00791443" w:rsidRDefault="00791443" w:rsidP="00791443">
      <w:pPr>
        <w:rPr>
          <w:rFonts w:cs="Calibri"/>
          <w:sz w:val="16"/>
        </w:rPr>
      </w:pPr>
      <w:r w:rsidRPr="00F933AF">
        <w:rPr>
          <w:rFonts w:cs="Calibri"/>
          <w:sz w:val="16"/>
        </w:rPr>
        <w:t xml:space="preserve">In the aftermath of </w:t>
      </w:r>
      <w:hyperlink r:id="rId78" w:tgtFrame="_blank" w:history="1">
        <w:r w:rsidRPr="00F933AF">
          <w:rPr>
            <w:rStyle w:val="Hyperlink"/>
            <w:rFonts w:cs="Calibri"/>
            <w:sz w:val="16"/>
          </w:rPr>
          <w:t>the recent successful push</w:t>
        </w:r>
      </w:hyperlink>
      <w:r w:rsidRPr="00F933AF">
        <w:rPr>
          <w:rFonts w:cs="Calibri"/>
          <w:sz w:val="16"/>
        </w:rPr>
        <w:t xml:space="preserve"> to ward off huge cuts to food assistance programs in the federal Farm Bill, advocates are now organizing to defeat another </w:t>
      </w:r>
      <w:r w:rsidRPr="00F933AF">
        <w:rPr>
          <w:rStyle w:val="Emphasis"/>
          <w:rFonts w:cs="Calibri"/>
        </w:rPr>
        <w:t>discriminatory and destructive attack</w:t>
      </w:r>
      <w:r w:rsidRPr="00F933AF">
        <w:rPr>
          <w:rFonts w:cs="Calibri"/>
          <w:sz w:val="16"/>
        </w:rPr>
        <w:t xml:space="preserve"> — this one </w:t>
      </w:r>
      <w:r w:rsidRPr="00F933AF">
        <w:rPr>
          <w:rStyle w:val="StyleUnderline"/>
          <w:rFonts w:cs="Calibri"/>
        </w:rPr>
        <w:t>on supports to families who are struggling to get by and our immigration system that should allow families to stay together. The Trump administration is preparing to unveil a new rule severely restricting access to critical supports to immigrants and their family members, thereby creating new barriers to economic mobility.</w:t>
      </w:r>
      <w:r w:rsidRPr="00F933AF">
        <w:rPr>
          <w:rFonts w:cs="Calibri"/>
          <w:sz w:val="16"/>
        </w:rPr>
        <w:t xml:space="preserve"> What’s more, while </w:t>
      </w:r>
      <w:r w:rsidRPr="00F933AF">
        <w:rPr>
          <w:rStyle w:val="StyleUnderline"/>
          <w:rFonts w:cs="Calibri"/>
        </w:rPr>
        <w:t>the proposed rule is clearly a targeted attack on immigrants and people of color,</w:t>
      </w:r>
      <w:r w:rsidRPr="00F933AF">
        <w:rPr>
          <w:rFonts w:cs="Calibri"/>
          <w:sz w:val="16"/>
        </w:rPr>
        <w:t xml:space="preserve"> it is much more than just an “immigration” matter because it is </w:t>
      </w:r>
      <w:r w:rsidRPr="00F933AF">
        <w:rPr>
          <w:rStyle w:val="StyleUnderline"/>
          <w:rFonts w:cs="Calibri"/>
        </w:rPr>
        <w:t>ultimately about the health and wellbeing of our entire community, including hundreds of thousands of U.S. citizen children</w:t>
      </w:r>
      <w:r w:rsidRPr="00F933AF">
        <w:rPr>
          <w:rFonts w:cs="Calibri"/>
          <w:sz w:val="16"/>
        </w:rPr>
        <w:t xml:space="preserve">. If the community raises its voice, however, there may still be a chance to stop it. </w:t>
      </w:r>
      <w:r w:rsidRPr="00F933AF">
        <w:rPr>
          <w:rStyle w:val="StyleUnderline"/>
          <w:rFonts w:cs="Calibri"/>
        </w:rPr>
        <w:t xml:space="preserve">The proposed rule revolves around a century-old immigration policy that generally requires immigrants seeking lawful immigration status to prove that they will not be “a public charge” by becoming dependent upon the government for support. </w:t>
      </w:r>
      <w:r w:rsidRPr="00F933AF">
        <w:rPr>
          <w:rStyle w:val="Emphasis"/>
          <w:rFonts w:cs="Calibri"/>
        </w:rPr>
        <w:t>Despite this general rule</w:t>
      </w:r>
      <w:r w:rsidRPr="00F933AF">
        <w:rPr>
          <w:rStyle w:val="StyleUnderline"/>
          <w:rFonts w:cs="Calibri"/>
        </w:rPr>
        <w:t xml:space="preserve">, it’s been </w:t>
      </w:r>
      <w:r w:rsidRPr="00F933AF">
        <w:rPr>
          <w:rStyle w:val="Emphasis"/>
          <w:rFonts w:cs="Calibri"/>
        </w:rPr>
        <w:t>established U.S. policy for nearly 20 years that eligible immigrants may make use of life-sustaining health and nutritional programs</w:t>
      </w:r>
      <w:r w:rsidRPr="00F933AF">
        <w:rPr>
          <w:rStyle w:val="StyleUnderline"/>
          <w:rFonts w:cs="Calibri"/>
        </w:rPr>
        <w:t xml:space="preserve"> that are </w:t>
      </w:r>
      <w:r w:rsidRPr="00F933AF">
        <w:rPr>
          <w:rStyle w:val="Emphasis"/>
          <w:rFonts w:cs="Calibri"/>
        </w:rPr>
        <w:t>key to healthy outcomes for children and families – most notably, Medicaid, Affordable Care Act health coverage, WIC nutrition assistance for babies and moms and SNAP (Food Stamps)</w:t>
      </w:r>
      <w:r w:rsidRPr="00F933AF">
        <w:rPr>
          <w:rStyle w:val="StyleUnderline"/>
          <w:rFonts w:cs="Calibri"/>
        </w:rPr>
        <w:t xml:space="preserve">. In addition and importantly, current law also makes clear that any benefits used by the U.S. citizen children or family members of immigrants do not count against the immigrants themselves. </w:t>
      </w:r>
      <w:r w:rsidRPr="00F933AF">
        <w:rPr>
          <w:rStyle w:val="Emphasis"/>
          <w:rFonts w:cs="Calibri"/>
        </w:rPr>
        <w:t>The administration’s new scheme would change all of this</w:t>
      </w:r>
      <w:r w:rsidRPr="00F933AF">
        <w:rPr>
          <w:rStyle w:val="StyleUnderline"/>
          <w:rFonts w:cs="Calibri"/>
        </w:rPr>
        <w:t>. It states that if immigrants make use of these health and nutrition programs, the government will use it against them in determining whether they can obtain lawful immigration status. To make matters even more outrageous, the draft proposal states that even benefits used by an immigrant’s U.S. citizen children or dependents can be used against her as well.</w:t>
      </w:r>
      <w:r w:rsidRPr="00F933AF">
        <w:rPr>
          <w:rFonts w:cs="Calibri"/>
          <w:sz w:val="16"/>
        </w:rPr>
        <w:t xml:space="preserve"> Needless to say, such a rule could produce devastating humanitarian consequences. </w:t>
      </w:r>
      <w:r w:rsidRPr="00F933AF">
        <w:rPr>
          <w:rStyle w:val="Emphasis"/>
          <w:rFonts w:cs="Calibri"/>
        </w:rPr>
        <w:t xml:space="preserve">Columbia University researchers </w:t>
      </w:r>
      <w:hyperlink r:id="rId79" w:tgtFrame="_blank" w:history="1">
        <w:r w:rsidRPr="00F933AF">
          <w:rPr>
            <w:rStyle w:val="Emphasis"/>
            <w:rFonts w:cs="Calibri"/>
          </w:rPr>
          <w:t>estimate</w:t>
        </w:r>
      </w:hyperlink>
      <w:r w:rsidRPr="00F933AF">
        <w:rPr>
          <w:rStyle w:val="Emphasis"/>
          <w:rFonts w:cs="Calibri"/>
        </w:rPr>
        <w:t xml:space="preserve"> the proposed changes could force more than 670,000 children into poverty nationwide, and about 560,000 of those children would be U.S. citizens</w:t>
      </w:r>
      <w:r w:rsidRPr="00F933AF">
        <w:rPr>
          <w:rFonts w:cs="Calibri"/>
          <w:sz w:val="16"/>
        </w:rPr>
        <w:t xml:space="preserve">. Data also show that </w:t>
      </w:r>
      <w:hyperlink r:id="rId80" w:tgtFrame="_blank" w:history="1">
        <w:r w:rsidRPr="00F933AF">
          <w:rPr>
            <w:rStyle w:val="Hyperlink"/>
            <w:rFonts w:cs="Calibri"/>
            <w:sz w:val="16"/>
          </w:rPr>
          <w:t>219,000 children</w:t>
        </w:r>
      </w:hyperlink>
      <w:r w:rsidRPr="00F933AF">
        <w:rPr>
          <w:rFonts w:cs="Calibri"/>
          <w:sz w:val="16"/>
        </w:rPr>
        <w:t xml:space="preserve"> in North Carolina who are enrolled in Medicaid or the Children’s Health Insurance Program (CHIP) have at least one immigrant parent. While not all would be affected by this rule, many of them could be. This </w:t>
      </w:r>
      <w:r w:rsidRPr="00F933AF">
        <w:rPr>
          <w:rStyle w:val="StyleUnderline"/>
          <w:rFonts w:cs="Calibri"/>
        </w:rPr>
        <w:t xml:space="preserve">proposed rule </w:t>
      </w:r>
      <w:r w:rsidRPr="00F933AF">
        <w:rPr>
          <w:rFonts w:cs="Calibri"/>
          <w:sz w:val="16"/>
        </w:rPr>
        <w:t xml:space="preserve">change could, in other words, </w:t>
      </w:r>
      <w:r w:rsidRPr="00F933AF">
        <w:rPr>
          <w:rStyle w:val="Emphasis"/>
          <w:rFonts w:cs="Calibri"/>
        </w:rPr>
        <w:t>jeopardize access to health care, sufficient food, and stable housing</w:t>
      </w:r>
      <w:r w:rsidRPr="00F933AF">
        <w:rPr>
          <w:rFonts w:cs="Calibri"/>
          <w:sz w:val="16"/>
        </w:rPr>
        <w:t xml:space="preserve"> for thousands of North Carolina children. </w:t>
      </w:r>
      <w:r w:rsidRPr="00F933AF">
        <w:rPr>
          <w:rStyle w:val="StyleUnderline"/>
          <w:rFonts w:cs="Calibri"/>
        </w:rPr>
        <w:t xml:space="preserve">The </w:t>
      </w:r>
      <w:r w:rsidRPr="00F933AF">
        <w:rPr>
          <w:rStyle w:val="Emphasis"/>
          <w:rFonts w:cs="Calibri"/>
        </w:rPr>
        <w:t>domino effects</w:t>
      </w:r>
      <w:r w:rsidRPr="00F933AF">
        <w:rPr>
          <w:rStyle w:val="StyleUnderline"/>
          <w:rFonts w:cs="Calibri"/>
        </w:rPr>
        <w:t xml:space="preserve"> of such a cut-off in essential services are, sadly, </w:t>
      </w:r>
      <w:r w:rsidRPr="00F933AF">
        <w:rPr>
          <w:rStyle w:val="Emphasis"/>
          <w:rFonts w:cs="Calibri"/>
        </w:rPr>
        <w:t>easy to predict</w:t>
      </w:r>
      <w:r w:rsidRPr="00F933AF">
        <w:rPr>
          <w:rStyle w:val="StyleUnderline"/>
          <w:rFonts w:cs="Calibri"/>
        </w:rPr>
        <w:t xml:space="preserve">. Study after study has shown the negative effect that </w:t>
      </w:r>
      <w:r w:rsidRPr="00F933AF">
        <w:rPr>
          <w:rStyle w:val="Emphasis"/>
          <w:rFonts w:cs="Calibri"/>
        </w:rPr>
        <w:t>food insecurity</w:t>
      </w:r>
      <w:r w:rsidRPr="00F933AF">
        <w:rPr>
          <w:rStyle w:val="StyleUnderline"/>
          <w:rFonts w:cs="Calibri"/>
        </w:rPr>
        <w:t xml:space="preserve"> can have on children’s </w:t>
      </w:r>
      <w:r w:rsidRPr="00F933AF">
        <w:rPr>
          <w:rStyle w:val="Emphasis"/>
          <w:rFonts w:cs="Calibri"/>
        </w:rPr>
        <w:t>academic performance</w:t>
      </w:r>
      <w:r w:rsidRPr="00F933AF">
        <w:rPr>
          <w:rStyle w:val="StyleUnderline"/>
          <w:rFonts w:cs="Calibri"/>
        </w:rPr>
        <w:t xml:space="preserve"> and outcomes, and conversely, the positive effect that nutrition support programs can have on those same children</w:t>
      </w:r>
      <w:r w:rsidRPr="00F933AF">
        <w:rPr>
          <w:rFonts w:cs="Calibri"/>
          <w:sz w:val="16"/>
        </w:rPr>
        <w:t xml:space="preserve">. Similarly, there is a </w:t>
      </w:r>
      <w:r w:rsidRPr="00F933AF">
        <w:rPr>
          <w:rStyle w:val="StyleUnderline"/>
          <w:rFonts w:cs="Calibri"/>
        </w:rPr>
        <w:t>clear link between health and academic outcomes</w:t>
      </w:r>
      <w:r w:rsidRPr="00F933AF">
        <w:rPr>
          <w:rFonts w:cs="Calibri"/>
          <w:sz w:val="16"/>
        </w:rPr>
        <w:t xml:space="preserve">. The Earned Income Tax Credit, another program that the </w:t>
      </w:r>
      <w:r w:rsidRPr="00F933AF">
        <w:rPr>
          <w:rStyle w:val="StyleUnderline"/>
          <w:rFonts w:cs="Calibri"/>
        </w:rPr>
        <w:t xml:space="preserve">new rule may place at risk for immigrant families and their U.S. citizen children, has also been shown to improve children’s health and academic outcomes as well as their </w:t>
      </w:r>
      <w:r w:rsidRPr="00F933AF">
        <w:rPr>
          <w:rStyle w:val="Emphasis"/>
          <w:rFonts w:cs="Calibri"/>
        </w:rPr>
        <w:t>lifetime earnings</w:t>
      </w:r>
      <w:r w:rsidRPr="00F933AF">
        <w:rPr>
          <w:rFonts w:cs="Calibri"/>
          <w:sz w:val="16"/>
        </w:rPr>
        <w:t xml:space="preserve">. </w:t>
      </w:r>
      <w:r w:rsidRPr="00F933AF">
        <w:rPr>
          <w:rStyle w:val="StyleUnderline"/>
          <w:rFonts w:cs="Calibri"/>
        </w:rPr>
        <w:t xml:space="preserve">The proposed rule would force families, including citizen children, to choose between getting the help they need and reuniting with those they love or even keeping their families together. </w:t>
      </w:r>
      <w:r w:rsidRPr="00F933AF">
        <w:rPr>
          <w:rFonts w:cs="Calibri"/>
          <w:sz w:val="16"/>
        </w:rPr>
        <w:t xml:space="preserve">And, of course, </w:t>
      </w:r>
      <w:r w:rsidRPr="00F933AF">
        <w:rPr>
          <w:rStyle w:val="Emphasis"/>
          <w:rFonts w:cs="Calibri"/>
        </w:rPr>
        <w:t>it’s folly to think that the harm will be confined to the immigrants and their children</w:t>
      </w:r>
      <w:r w:rsidRPr="00F933AF">
        <w:rPr>
          <w:rStyle w:val="StyleUnderline"/>
          <w:rFonts w:cs="Calibri"/>
        </w:rPr>
        <w:t xml:space="preserve">. Everyone is affected when their neighbors and classmates are not able to get the healthcare they need to prevent illness or are not able to eat every day or put a roof over their head. Indeed, public health generally is put at risk when fewer people have access to care for infectious diseases like the flu that hit North Carolina so hard this past season. The impossible choice forced on these families will not only put their physical and emotional wellbeing at risk but will </w:t>
      </w:r>
      <w:r w:rsidRPr="00F933AF">
        <w:rPr>
          <w:rStyle w:val="Emphasis"/>
          <w:rFonts w:cs="Calibri"/>
        </w:rPr>
        <w:t>ripple through the economy</w:t>
      </w:r>
      <w:r w:rsidRPr="00F933AF">
        <w:rPr>
          <w:rStyle w:val="StyleUnderline"/>
          <w:rFonts w:cs="Calibri"/>
        </w:rPr>
        <w:t>.</w:t>
      </w:r>
      <w:r w:rsidRPr="00F933AF">
        <w:rPr>
          <w:rFonts w:cs="Calibri"/>
          <w:sz w:val="16"/>
        </w:rPr>
        <w:t xml:space="preserve"> </w:t>
      </w:r>
      <w:r w:rsidRPr="00F933AF">
        <w:rPr>
          <w:rStyle w:val="StyleUnderline"/>
          <w:rFonts w:cs="Calibri"/>
        </w:rPr>
        <w:t xml:space="preserve">Families unable to make ends meet will turn to </w:t>
      </w:r>
      <w:r w:rsidRPr="00F933AF">
        <w:rPr>
          <w:rStyle w:val="Emphasis"/>
          <w:rFonts w:cs="Calibri"/>
        </w:rPr>
        <w:t>private charities</w:t>
      </w:r>
      <w:r w:rsidRPr="00F933AF">
        <w:rPr>
          <w:rStyle w:val="StyleUnderline"/>
          <w:rFonts w:cs="Calibri"/>
        </w:rPr>
        <w:t xml:space="preserve"> for help, and may be unable to participate in the local economy by purchasing food at the </w:t>
      </w:r>
      <w:r w:rsidRPr="00F933AF">
        <w:rPr>
          <w:rStyle w:val="Emphasis"/>
          <w:rFonts w:cs="Calibri"/>
        </w:rPr>
        <w:t>grocery</w:t>
      </w:r>
      <w:r w:rsidRPr="00F933AF">
        <w:rPr>
          <w:rStyle w:val="StyleUnderline"/>
          <w:rFonts w:cs="Calibri"/>
        </w:rPr>
        <w:t xml:space="preserve"> store or paying their </w:t>
      </w:r>
      <w:r w:rsidRPr="00F933AF">
        <w:rPr>
          <w:rStyle w:val="Emphasis"/>
          <w:rFonts w:cs="Calibri"/>
        </w:rPr>
        <w:t>utility bills.</w:t>
      </w:r>
      <w:r w:rsidRPr="00F933AF">
        <w:rPr>
          <w:rFonts w:cs="Calibri"/>
          <w:sz w:val="16"/>
        </w:rPr>
        <w:t xml:space="preserve"> </w:t>
      </w:r>
    </w:p>
    <w:p w:rsidR="00315428" w:rsidRPr="00F933AF" w:rsidRDefault="00315428" w:rsidP="00315428">
      <w:pPr>
        <w:rPr>
          <w:rFonts w:cs="Calibri"/>
          <w:u w:val="single"/>
        </w:rPr>
      </w:pPr>
    </w:p>
    <w:p w:rsidR="00315428" w:rsidRPr="00F933AF" w:rsidRDefault="00315428" w:rsidP="00315428">
      <w:pPr>
        <w:pStyle w:val="Heading4"/>
        <w:rPr>
          <w:rFonts w:cs="Calibri"/>
        </w:rPr>
      </w:pPr>
      <w:r w:rsidRPr="00F933AF">
        <w:rPr>
          <w:rFonts w:cs="Calibri"/>
        </w:rPr>
        <w:t>Decreasing immigrant use of public healthcare hurts public health and raises overall health costs</w:t>
      </w:r>
    </w:p>
    <w:p w:rsidR="00315428" w:rsidRPr="00F933AF" w:rsidRDefault="00315428" w:rsidP="00315428">
      <w:pPr>
        <w:rPr>
          <w:rFonts w:cs="Calibri"/>
        </w:rPr>
      </w:pPr>
      <w:r w:rsidRPr="00F933AF">
        <w:rPr>
          <w:rStyle w:val="Style13ptBold"/>
          <w:rFonts w:cs="Calibri"/>
        </w:rPr>
        <w:t>Okie 18</w:t>
      </w:r>
      <w:r w:rsidRPr="00F933AF">
        <w:rPr>
          <w:rFonts w:cs="Calibri"/>
        </w:rPr>
        <w:t xml:space="preserve">,  (Susan Okie, M.D., Immigrants and Health Care — At the Intersection of Two Broken Systems, 7-5-2018, New England Journal of Medicine, </w:t>
      </w:r>
      <w:hyperlink r:id="rId81" w:history="1">
        <w:r w:rsidRPr="00F933AF">
          <w:rPr>
            <w:rStyle w:val="Hyperlink"/>
            <w:rFonts w:cs="Calibri"/>
          </w:rPr>
          <w:t>https://www.nejm.org/doi/full/10.1056/nejmp078113</w:t>
        </w:r>
      </w:hyperlink>
      <w:r w:rsidRPr="00F933AF">
        <w:rPr>
          <w:rFonts w:cs="Calibri"/>
        </w:rPr>
        <w:t>)//AO</w:t>
      </w:r>
    </w:p>
    <w:p w:rsidR="00315428" w:rsidRDefault="00315428" w:rsidP="00791443">
      <w:pPr>
        <w:rPr>
          <w:rFonts w:cs="Calibri"/>
          <w:sz w:val="16"/>
        </w:rPr>
      </w:pPr>
      <w:r w:rsidRPr="00F933AF">
        <w:rPr>
          <w:rFonts w:cs="Calibri"/>
          <w:sz w:val="16"/>
        </w:rPr>
        <w:t>Whether or not they have health insurance</w:t>
      </w:r>
      <w:r w:rsidRPr="00F933AF">
        <w:rPr>
          <w:rFonts w:cs="Calibri"/>
          <w:u w:val="single"/>
        </w:rPr>
        <w:t>, immigrants overall have much lower per capita health care expenditures than native-born Americans</w:t>
      </w:r>
      <w:proofErr w:type="gramStart"/>
      <w:r w:rsidRPr="00F933AF">
        <w:rPr>
          <w:rFonts w:cs="Calibri"/>
          <w:u w:val="single"/>
        </w:rPr>
        <w:t>,1</w:t>
      </w:r>
      <w:proofErr w:type="gramEnd"/>
      <w:r w:rsidRPr="00F933AF">
        <w:rPr>
          <w:rFonts w:cs="Calibri"/>
          <w:u w:val="single"/>
        </w:rPr>
        <w:t xml:space="preserve"> and recent analyses indicate that they contribute more to the economy in taxes than they receive in public benefits.</w:t>
      </w:r>
      <w:r w:rsidRPr="00F933AF">
        <w:rPr>
          <w:rFonts w:cs="Calibri"/>
          <w:sz w:val="16"/>
        </w:rPr>
        <w:t xml:space="preserve"> In a study from the RAND Corporation, researchers estimated that undocumented adult immigrants, who make up about 3.2% of the population, account for only about 1.5% of U.S. medical costs.2 Many immigrants do not seek medical treatment unless they are injured or acutely ill; at our clinic, patients with type 2 diabetes often have florid symptoms and even incipient renal damage by the time their disease is diagnosed. </w:t>
      </w:r>
      <w:r w:rsidRPr="00F933AF">
        <w:rPr>
          <w:rFonts w:cs="Calibri"/>
          <w:u w:val="single"/>
        </w:rPr>
        <w:t>One study found that annual per capita expenses for health care were 86% lower for uninsured immigrant children than for uninsured U.S.-born children — but emergency department expenditures were more than three times as high.</w:t>
      </w:r>
      <w:r w:rsidRPr="00F933AF">
        <w:rPr>
          <w:rFonts w:cs="Calibri"/>
          <w:sz w:val="16"/>
        </w:rPr>
        <w:t xml:space="preserve">1 Although U.S. hospitals must provide emergency care without first asking about income, insurance, or citizenship, early diagnosis and treatment in a primary care setting are both medically preferable and a better use of resources. “If people keep postponing medical care because they're so concerned about being sent back over the border,” noted Elizabeth Benson Forer, executive director of the Venice Family Clinic, a venerable free clinic in Los Angeles that serves many immigrants, “then you can end up with some pretty horrendous health situations.” Immigrants live, work, and attend school in communities throughout the country; </w:t>
      </w:r>
      <w:r w:rsidRPr="00F933AF">
        <w:rPr>
          <w:rFonts w:cs="Calibri"/>
          <w:u w:val="single"/>
        </w:rPr>
        <w:t>laws and bureaucratic barriers that reduce their use of key preventive health services, such as immunizations and screenings for infectious disease, make for bad public health policy, and denying immigrants primary care ultimately increases health care costs for everyone.</w:t>
      </w:r>
      <w:r w:rsidRPr="00F933AF">
        <w:rPr>
          <w:rFonts w:cs="Calibri"/>
          <w:sz w:val="16"/>
        </w:rPr>
        <w:t xml:space="preserve"> For example, labor and delivery costs for undocumented immigrant women are covered under the federal and state emergency Medicaid program, but most states do not cover prenatal care, and there is no coverage for family planning. Some of my patients say they would like to use oral contraceptives or an intrauterine device or undergo a tubal ligation, but they can't afford it. And immigrants, like native-born Americans, are vulnerable to chronic diseases; as my colleague, nurse practitioner Lois Wessel, notes, “Even the 25-year-old day laborers are eventually going to become 45-year-olds, probably still undocumented, with hypertension and diabetes. . . . Life in America is going to make them become not so healthy.” </w:t>
      </w:r>
      <w:r w:rsidRPr="00F933AF">
        <w:rPr>
          <w:rFonts w:cs="Calibri"/>
          <w:u w:val="single"/>
        </w:rPr>
        <w:t>Recently, a bipartisan group of U.S. senators, with White House support, introduced an immigration bill that offered the best chance in years of achieving substantial reform of a dysfunctional system. However, the bill met with opposition from both conservatives and liberals and was killed in the Senate this past June, quashing all hope of immigration reform during the current administration.</w:t>
      </w:r>
      <w:r w:rsidRPr="00F933AF">
        <w:rPr>
          <w:rFonts w:cs="Calibri"/>
          <w:sz w:val="16"/>
        </w:rPr>
        <w:t xml:space="preserve"> State legislatures this year are considering a record number of anti-immigrant measures, and the Senate bill's demise heightens their chances of passage. “You will see the states and cities scrambling to pass their own laws and regulations, and you're going to get a completely contradictory set of policies,” Senator John McCain (R-AZ) predicted in a Washington Post article on July 8. In many areas of the country, one consequence is likely to be reduced access to health care for immigrants.</w:t>
      </w:r>
    </w:p>
    <w:p w:rsidR="000D6B43" w:rsidRDefault="000D6B43" w:rsidP="000D6B43">
      <w:pPr>
        <w:pStyle w:val="Heading4"/>
      </w:pPr>
      <w:r>
        <w:t>Poor health care decks the economy- absenteeism, presenteeism and retirement</w:t>
      </w:r>
    </w:p>
    <w:p w:rsidR="000D6B43" w:rsidRDefault="000D6B43" w:rsidP="000D6B43">
      <w:r w:rsidRPr="005D3714">
        <w:rPr>
          <w:rStyle w:val="Style13ptBold"/>
        </w:rPr>
        <w:t>Rasmussen et al. 16</w:t>
      </w:r>
      <w:r>
        <w:t xml:space="preserve"> (Bruce Rasmussen, Director of Victoria Institute of Strategic Economic Studies, researcher for U.S. Chamber of Commerce, WHO, and UNFPA, former Assistant Director General, Finance in the Department of Management and Budget of the State of Victoria, Master of Public Administration and Littauer Fellow at Harvard, Kim Sweeny, Peter Sheehan, 2016, “HEALTH AND THE ECONOMY The Impact of Wellness on Workforce Productivity in Global Markets”, A Report to the U.S. Chamber of Commerce’s Global Initiative on Health and Economy, </w:t>
      </w:r>
      <w:r w:rsidRPr="005D3714">
        <w:t>https://www.uschamber.com/sites/default/files/documents/files/global_initiative_on_health_and_the_economy_-_report.pdf</w:t>
      </w:r>
      <w:r>
        <w:t>)/CWB</w:t>
      </w:r>
    </w:p>
    <w:p w:rsidR="000D6B43" w:rsidRDefault="000D6B43" w:rsidP="000D6B43">
      <w:pPr>
        <w:rPr>
          <w:sz w:val="16"/>
        </w:rPr>
      </w:pPr>
      <w:r w:rsidRPr="005D3714">
        <w:rPr>
          <w:sz w:val="16"/>
        </w:rPr>
        <w:t xml:space="preserve">This report provides estimates of the </w:t>
      </w:r>
      <w:r w:rsidRPr="005D3714">
        <w:rPr>
          <w:rStyle w:val="StyleUnderline"/>
        </w:rPr>
        <w:t>economic cost caused by productivity losses arising from absenteeism, presenteeism, and early retirement due to ill health around</w:t>
      </w:r>
      <w:r w:rsidRPr="005D3714">
        <w:rPr>
          <w:sz w:val="16"/>
        </w:rPr>
        <w:t xml:space="preserve"> the world, ranging from highincome countries, such as </w:t>
      </w:r>
      <w:r w:rsidRPr="005D3714">
        <w:rPr>
          <w:rStyle w:val="StyleUnderline"/>
        </w:rPr>
        <w:t>the U</w:t>
      </w:r>
      <w:r w:rsidRPr="005D3714">
        <w:rPr>
          <w:sz w:val="16"/>
        </w:rPr>
        <w:t xml:space="preserve">nited </w:t>
      </w:r>
      <w:r w:rsidRPr="005D3714">
        <w:rPr>
          <w:rStyle w:val="StyleUnderline"/>
        </w:rPr>
        <w:t>S</w:t>
      </w:r>
      <w:r w:rsidRPr="005D3714">
        <w:rPr>
          <w:sz w:val="16"/>
        </w:rPr>
        <w:t>tates, to developing countries, such as Kenya. Although the</w:t>
      </w:r>
      <w:r w:rsidRPr="005D3714">
        <w:rPr>
          <w:rStyle w:val="StyleUnderline"/>
        </w:rPr>
        <w:t xml:space="preserve"> results </w:t>
      </w:r>
      <w:r w:rsidRPr="005D3714">
        <w:rPr>
          <w:sz w:val="16"/>
        </w:rPr>
        <w:t xml:space="preserve">vary </w:t>
      </w:r>
      <w:r w:rsidRPr="005D3714">
        <w:rPr>
          <w:rStyle w:val="StyleUnderline"/>
        </w:rPr>
        <w:t>widely,</w:t>
      </w:r>
      <w:r w:rsidRPr="005D3714">
        <w:rPr>
          <w:sz w:val="16"/>
        </w:rPr>
        <w:t xml:space="preserve"> they </w:t>
      </w:r>
      <w:r w:rsidRPr="005D3714">
        <w:rPr>
          <w:rStyle w:val="StyleUnderline"/>
        </w:rPr>
        <w:t xml:space="preserve">indicate </w:t>
      </w:r>
      <w:r w:rsidRPr="005D3714">
        <w:rPr>
          <w:sz w:val="16"/>
        </w:rPr>
        <w:t xml:space="preserve">(Table ES1) </w:t>
      </w:r>
      <w:r w:rsidRPr="005D3714">
        <w:rPr>
          <w:rStyle w:val="StyleUnderline"/>
        </w:rPr>
        <w:t xml:space="preserve">that the cost in lost productivity is high for all </w:t>
      </w:r>
      <w:r w:rsidRPr="005D3714">
        <w:rPr>
          <w:sz w:val="16"/>
        </w:rPr>
        <w:t xml:space="preserve">countries examined (about 6.5% of GDP on average), and for almost all countries that cost is </w:t>
      </w:r>
      <w:r w:rsidRPr="005D3714">
        <w:rPr>
          <w:rStyle w:val="StyleUnderline"/>
        </w:rPr>
        <w:t>projected to increase. The costs</w:t>
      </w:r>
      <w:r w:rsidRPr="005D3714">
        <w:rPr>
          <w:sz w:val="16"/>
        </w:rPr>
        <w:t xml:space="preserve"> in 2015 ranged from 5.4% of GDP in China to </w:t>
      </w:r>
      <w:r w:rsidRPr="005D3714">
        <w:rPr>
          <w:rStyle w:val="StyleUnderline"/>
        </w:rPr>
        <w:t>over 8% of GDP in the U</w:t>
      </w:r>
      <w:r w:rsidRPr="005D3714">
        <w:rPr>
          <w:sz w:val="16"/>
        </w:rPr>
        <w:t>nited</w:t>
      </w:r>
      <w:r w:rsidRPr="005D3714">
        <w:rPr>
          <w:rStyle w:val="StyleUnderline"/>
        </w:rPr>
        <w:t xml:space="preserve"> S</w:t>
      </w:r>
      <w:r w:rsidRPr="005D3714">
        <w:rPr>
          <w:sz w:val="16"/>
        </w:rPr>
        <w:t xml:space="preserve">tates, and are </w:t>
      </w:r>
      <w:r w:rsidRPr="005D3714">
        <w:rPr>
          <w:rStyle w:val="StyleUnderline"/>
        </w:rPr>
        <w:t>projected to rise by an average of 0.6 percentage points of GDP by 2030. Countries projected to experience the highest increase in GDP loss include</w:t>
      </w:r>
      <w:r w:rsidRPr="005D3714">
        <w:rPr>
          <w:sz w:val="16"/>
        </w:rPr>
        <w:t xml:space="preserve"> Poland (8.4%), </w:t>
      </w:r>
      <w:r w:rsidRPr="005D3714">
        <w:rPr>
          <w:rStyle w:val="StyleUnderline"/>
        </w:rPr>
        <w:t>the U</w:t>
      </w:r>
      <w:r w:rsidRPr="005D3714">
        <w:rPr>
          <w:sz w:val="16"/>
        </w:rPr>
        <w:t xml:space="preserve">nited </w:t>
      </w:r>
      <w:r w:rsidRPr="005D3714">
        <w:rPr>
          <w:rStyle w:val="StyleUnderline"/>
        </w:rPr>
        <w:t>S</w:t>
      </w:r>
      <w:r w:rsidRPr="005D3714">
        <w:rPr>
          <w:sz w:val="16"/>
        </w:rPr>
        <w:t xml:space="preserve">tates and Brazil </w:t>
      </w:r>
      <w:r w:rsidRPr="005D3714">
        <w:rPr>
          <w:rStyle w:val="StyleUnderline"/>
        </w:rPr>
        <w:t>(8.1%),</w:t>
      </w:r>
      <w:r w:rsidRPr="005D3714">
        <w:rPr>
          <w:sz w:val="16"/>
        </w:rPr>
        <w:t xml:space="preserve"> and Turkey and Japan (8%). These estimates are driven by the intersection of an ageing workforce and the </w:t>
      </w:r>
      <w:r w:rsidRPr="005D3714">
        <w:rPr>
          <w:rStyle w:val="StyleUnderline"/>
        </w:rPr>
        <w:t>high burden of chronic disease</w:t>
      </w:r>
      <w:r w:rsidRPr="005D3714">
        <w:rPr>
          <w:sz w:val="16"/>
        </w:rPr>
        <w:t xml:space="preserve">, such as heart and respiratory disease, stroke, cancer. These diseases were once only a high-income country problem but are now also prevalent in developing countries. The countries can be usefully clustered into four segments (see Figure ES1): • Countries with already high and rapidly growing GDP costs (e.g., Poland) • Countries with currently low but rapidly growing GDP costs (e.g., China) • Countries with high but relatively stable GDP costs (e.g., United States, Australia) • Countries with low and relatively stable GDP costs (e.g., Singapore) In spite of very different circumstances, most countries face three common challenges: • Their populations are ageing, in different ways and to different degrees. • A </w:t>
      </w:r>
      <w:r w:rsidRPr="005D3714">
        <w:rPr>
          <w:rStyle w:val="StyleUnderline"/>
        </w:rPr>
        <w:t>high prevalence of non-communicable diseases</w:t>
      </w:r>
      <w:r w:rsidRPr="005D3714">
        <w:rPr>
          <w:sz w:val="16"/>
        </w:rPr>
        <w:t xml:space="preserve"> (NCDs) exists, particularly for older age groups. • Many risk factors for the future incidence of NCDs are high and, in some cases, are </w:t>
      </w:r>
      <w:r w:rsidRPr="005D3714">
        <w:rPr>
          <w:rStyle w:val="StyleUnderline"/>
        </w:rPr>
        <w:t>continuing to rise</w:t>
      </w:r>
      <w:r w:rsidRPr="005D3714">
        <w:rPr>
          <w:sz w:val="16"/>
        </w:rPr>
        <w:t xml:space="preserve">. Taken together, these factors already impose </w:t>
      </w:r>
      <w:r w:rsidRPr="005D3714">
        <w:rPr>
          <w:rStyle w:val="StyleUnderline"/>
        </w:rPr>
        <w:t xml:space="preserve">heavy costs on businesses, governments, and individuals, and threaten much greater costs in the future. The economic costs arise largely because people in ill health aren’t able to work as much as they would like. They may either be sick and absent from work (absenteeism), present at work but not working at full capacity due to illness (presenteeism), or retired between ages 50 and 64—due to ill health (early retirement due to ill health). The economic costs on productivity imposed by each of these groups has been modeled </w:t>
      </w:r>
      <w:r w:rsidRPr="005D3714">
        <w:rPr>
          <w:sz w:val="16"/>
        </w:rPr>
        <w:t xml:space="preserve">and included in this report. A separate group, which is not explicitly covered in this report, consists of people who may not work at any time, due to incapacity or a health condition that has been present for most of their lives. </w:t>
      </w:r>
      <w:r w:rsidRPr="005D3714">
        <w:rPr>
          <w:rStyle w:val="StyleUnderline"/>
        </w:rPr>
        <w:t>Following an initial report for the APEC Business Advisory Council (ABAC) and the Life Sciences Innovation Forum (LSIF) in 2014, the Victoria Institute for Strategic Economic Studies (VISES) prepared four reports, Sheehan et al. (2014), Sweeny et al. (2015), and Rasmussen et al. (2015a, 2015b)</w:t>
      </w:r>
      <w:r w:rsidRPr="005D3714">
        <w:rPr>
          <w:sz w:val="16"/>
        </w:rPr>
        <w:t xml:space="preserve">, that now cover 18 countries on three aspects of these economic costs: The economic and social costs of NCDs </w:t>
      </w:r>
      <w:r w:rsidRPr="005D3714">
        <w:rPr>
          <w:rStyle w:val="StyleUnderline"/>
        </w:rPr>
        <w:t>The value of a healthy year of life to an individual or to a community has many dimensions, as do the benefits foregone or the costs incurred by the loss or impairment of that healthy life year as a result of disease. Some benefits foregone or costs incurred are economic, even in the narrow sense that they are included in GDP as currently measured</w:t>
      </w:r>
      <w:r w:rsidRPr="005D3714">
        <w:rPr>
          <w:sz w:val="16"/>
        </w:rPr>
        <w:t xml:space="preserve">. These include the elements which are the particular focus of this study, namely reduced ability to work in the paid labor force and reduced productivity while at work. But increased prevalence of NCDs might impact on GDP in other ways also. For example, the costs of treating and caring for people with NCDs are high and growing rapidly. It is likely that some significant part of these costs will be met from individual or public savings, hence reducing the ability of the economy to fund new investment and growth. The table below provides a simple classification of the </w:t>
      </w:r>
      <w:r w:rsidRPr="005D3714">
        <w:rPr>
          <w:rStyle w:val="StyleUnderline"/>
        </w:rPr>
        <w:t>various costs of NCDs</w:t>
      </w:r>
      <w:r w:rsidRPr="005D3714">
        <w:rPr>
          <w:sz w:val="16"/>
        </w:rPr>
        <w:t xml:space="preserve">. </w:t>
      </w:r>
    </w:p>
    <w:p w:rsidR="002635B9" w:rsidRPr="00F93F2E" w:rsidRDefault="002635B9" w:rsidP="002635B9">
      <w:pPr>
        <w:pStyle w:val="Heading4"/>
        <w:rPr>
          <w:rFonts w:cs="Times New Roman"/>
          <w:sz w:val="28"/>
        </w:rPr>
      </w:pPr>
      <w:r w:rsidRPr="00F93F2E">
        <w:rPr>
          <w:rFonts w:cs="Times New Roman"/>
          <w:sz w:val="28"/>
        </w:rPr>
        <w:t>Nuclear war</w:t>
      </w:r>
    </w:p>
    <w:p w:rsidR="002635B9" w:rsidRPr="002635B9" w:rsidRDefault="002635B9" w:rsidP="002635B9">
      <w:pPr>
        <w:rPr>
          <w:sz w:val="16"/>
          <w:szCs w:val="16"/>
        </w:rPr>
      </w:pPr>
      <w:r w:rsidRPr="00F93F2E">
        <w:rPr>
          <w:rStyle w:val="Style13ptBold"/>
          <w:sz w:val="28"/>
        </w:rPr>
        <w:t>Tønnesson 15</w:t>
      </w:r>
      <w:r w:rsidRPr="00F93F2E">
        <w:rPr>
          <w:rFonts w:eastAsia="Calibri"/>
          <w:sz w:val="18"/>
        </w:rPr>
        <w:t xml:space="preserve"> </w:t>
      </w:r>
      <w:r w:rsidRPr="00F93F2E">
        <w:t xml:space="preserve">- Stein Tønnesson 15, Research Professor, Peace Research Institute Oslo; Leader of East Asia Peace program, Uppsala University, 2015, “Deterrence, interdependence and Sino–US peace,” International Area Studies </w:t>
      </w:r>
      <w:r w:rsidRPr="002635B9">
        <w:t>Review, Vol. 18, No. 3, p. 297-311</w:t>
      </w:r>
    </w:p>
    <w:p w:rsidR="002635B9" w:rsidRPr="002635B9" w:rsidRDefault="002635B9" w:rsidP="002635B9">
      <w:pPr>
        <w:rPr>
          <w:rFonts w:eastAsia="Calibri"/>
          <w:sz w:val="10"/>
        </w:rPr>
      </w:pPr>
      <w:r w:rsidRPr="002635B9">
        <w:rPr>
          <w:rFonts w:eastAsia="Calibri"/>
          <w:sz w:val="10"/>
        </w:rPr>
        <w:t xml:space="preserve">Several </w:t>
      </w:r>
      <w:r w:rsidRPr="002635B9">
        <w:rPr>
          <w:rFonts w:eastAsia="Calibri"/>
          <w:u w:val="single"/>
        </w:rPr>
        <w:t>recent works</w:t>
      </w:r>
      <w:r w:rsidRPr="002635B9">
        <w:rPr>
          <w:rFonts w:eastAsia="Calibri"/>
          <w:sz w:val="10"/>
        </w:rPr>
        <w:t xml:space="preserve"> on China and Sino–US relations </w:t>
      </w:r>
      <w:r w:rsidRPr="002635B9">
        <w:rPr>
          <w:rFonts w:eastAsia="Calibri"/>
          <w:u w:val="single"/>
        </w:rPr>
        <w:t>have made</w:t>
      </w:r>
      <w:r w:rsidRPr="002635B9">
        <w:rPr>
          <w:rFonts w:eastAsia="Calibri"/>
          <w:sz w:val="10"/>
        </w:rPr>
        <w:t xml:space="preserve"> substantial </w:t>
      </w:r>
      <w:r w:rsidRPr="002635B9">
        <w:rPr>
          <w:rFonts w:eastAsia="Calibri"/>
          <w:u w:val="single"/>
        </w:rPr>
        <w:t>contributions to the current understanding of how and under what circumstances</w:t>
      </w:r>
      <w:r w:rsidRPr="002635B9">
        <w:rPr>
          <w:rFonts w:eastAsia="Calibri"/>
          <w:sz w:val="10"/>
        </w:rPr>
        <w:t xml:space="preserve"> a combination of </w:t>
      </w:r>
      <w:r w:rsidRPr="002635B9">
        <w:rPr>
          <w:rFonts w:eastAsia="Calibri"/>
          <w:u w:val="single"/>
        </w:rPr>
        <w:t>nuclear deterrence and economic interdependence may reduce the risk of war between major powers</w:t>
      </w:r>
      <w:r w:rsidRPr="002635B9">
        <w:rPr>
          <w:rFonts w:eastAsia="Calibri"/>
          <w:sz w:val="10"/>
        </w:rPr>
        <w:t xml:space="preserve">. At least four conclusions can be drawn from the review above: first, those who say that </w:t>
      </w:r>
      <w:r w:rsidRPr="002635B9">
        <w:rPr>
          <w:rFonts w:eastAsia="Calibri"/>
          <w:u w:val="single"/>
        </w:rPr>
        <w:t xml:space="preserve">interdependence may </w:t>
      </w:r>
      <w:r w:rsidRPr="002635B9">
        <w:rPr>
          <w:rFonts w:eastAsia="Calibri"/>
          <w:iCs/>
          <w:u w:val="single"/>
          <w:bdr w:val="single" w:sz="4" w:space="0" w:color="auto"/>
        </w:rPr>
        <w:t>both inhibit and drive conflict</w:t>
      </w:r>
      <w:r w:rsidRPr="002635B9">
        <w:rPr>
          <w:rFonts w:eastAsia="Calibri"/>
          <w:sz w:val="10"/>
        </w:rPr>
        <w:t xml:space="preserve"> are right. </w:t>
      </w:r>
      <w:r w:rsidRPr="002635B9">
        <w:rPr>
          <w:rFonts w:eastAsia="Calibri"/>
          <w:u w:val="single"/>
        </w:rPr>
        <w:t>Interdependence raises the cost of conflict</w:t>
      </w:r>
      <w:r w:rsidRPr="002635B9">
        <w:rPr>
          <w:rFonts w:eastAsia="Calibri"/>
          <w:sz w:val="10"/>
        </w:rPr>
        <w:t xml:space="preserve"> for all sides </w:t>
      </w:r>
      <w:r w:rsidRPr="002635B9">
        <w:rPr>
          <w:rFonts w:eastAsia="Calibri"/>
          <w:u w:val="single"/>
        </w:rPr>
        <w:t>but</w:t>
      </w:r>
      <w:r w:rsidRPr="002635B9">
        <w:rPr>
          <w:rFonts w:eastAsia="Calibri"/>
          <w:sz w:val="10"/>
        </w:rPr>
        <w:t xml:space="preserve"> </w:t>
      </w:r>
      <w:r w:rsidRPr="002635B9">
        <w:rPr>
          <w:rFonts w:eastAsia="Calibri"/>
          <w:u w:val="single"/>
        </w:rPr>
        <w:t xml:space="preserve">asymmetrical or unbalanced dependencies and </w:t>
      </w:r>
      <w:r w:rsidRPr="002635B9">
        <w:rPr>
          <w:rFonts w:eastAsia="Calibri"/>
          <w:iCs/>
          <w:u w:val="single"/>
          <w:bdr w:val="single" w:sz="4" w:space="0" w:color="auto"/>
        </w:rPr>
        <w:t>negative trade expectations</w:t>
      </w:r>
      <w:r w:rsidRPr="002635B9">
        <w:rPr>
          <w:rFonts w:eastAsia="Calibri"/>
          <w:sz w:val="10"/>
        </w:rPr>
        <w:t xml:space="preserve"> may </w:t>
      </w:r>
      <w:r w:rsidRPr="002635B9">
        <w:rPr>
          <w:rFonts w:eastAsia="Calibri"/>
          <w:u w:val="single"/>
        </w:rPr>
        <w:t>generate tensions leading to trade wars among inter-dependent states that</w:t>
      </w:r>
      <w:r w:rsidRPr="002635B9">
        <w:rPr>
          <w:rFonts w:eastAsia="Calibri"/>
          <w:sz w:val="10"/>
        </w:rPr>
        <w:t xml:space="preserve"> in turn </w:t>
      </w:r>
      <w:r w:rsidRPr="002635B9">
        <w:rPr>
          <w:rFonts w:eastAsia="Calibri"/>
          <w:u w:val="single"/>
        </w:rPr>
        <w:t>increase the risk of military conflict</w:t>
      </w:r>
      <w:r w:rsidRPr="002635B9">
        <w:rPr>
          <w:rFonts w:eastAsia="Calibri"/>
          <w:sz w:val="10"/>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2635B9">
        <w:rPr>
          <w:rFonts w:eastAsia="Calibri"/>
          <w:u w:val="single"/>
        </w:rPr>
        <w:t>decisions for war</w:t>
      </w:r>
      <w:r w:rsidRPr="002635B9">
        <w:rPr>
          <w:rFonts w:eastAsia="Calibri"/>
          <w:sz w:val="10"/>
        </w:rPr>
        <w:t xml:space="preserve"> and peace </w:t>
      </w:r>
      <w:r w:rsidRPr="002635B9">
        <w:rPr>
          <w:rFonts w:eastAsia="Calibri"/>
          <w:u w:val="single"/>
        </w:rPr>
        <w:t>are taken by very few people</w:t>
      </w:r>
      <w:r w:rsidRPr="002635B9">
        <w:rPr>
          <w:rFonts w:eastAsia="Calibri"/>
          <w:sz w:val="10"/>
        </w:rPr>
        <w:t>,</w:t>
      </w:r>
      <w:r w:rsidRPr="002635B9">
        <w:rPr>
          <w:rFonts w:eastAsia="Calibri"/>
          <w:u w:val="single"/>
        </w:rPr>
        <w:t xml:space="preserve"> who act on the basis of their future expectations</w:t>
      </w:r>
      <w:r w:rsidRPr="002635B9">
        <w:rPr>
          <w:rFonts w:eastAsia="Calibri"/>
          <w:sz w:val="10"/>
        </w:rPr>
        <w:t xml:space="preserve">. International relations theory must be supplemented by foreign policy analysis in order to assess the value attributed by national decision-makers to economic development and their assessments of risks and opportunities. </w:t>
      </w:r>
      <w:r w:rsidRPr="002635B9">
        <w:rPr>
          <w:rFonts w:eastAsia="Calibri"/>
          <w:u w:val="single"/>
        </w:rPr>
        <w:t>If leaders</w:t>
      </w:r>
      <w:r w:rsidRPr="002635B9">
        <w:rPr>
          <w:rFonts w:eastAsia="Calibri"/>
          <w:sz w:val="10"/>
        </w:rPr>
        <w:t xml:space="preserve"> on either side of the Atlantic </w:t>
      </w:r>
      <w:r w:rsidRPr="002635B9">
        <w:rPr>
          <w:rFonts w:eastAsia="Calibri"/>
          <w:u w:val="single"/>
        </w:rPr>
        <w:t xml:space="preserve">begin to seriously </w:t>
      </w:r>
      <w:r w:rsidRPr="002635B9">
        <w:rPr>
          <w:rFonts w:eastAsia="Calibri"/>
          <w:iCs/>
          <w:u w:val="single"/>
          <w:bdr w:val="single" w:sz="4" w:space="0" w:color="auto"/>
        </w:rPr>
        <w:t>fear or anticipate their own nation’s decline</w:t>
      </w:r>
      <w:r w:rsidRPr="002635B9">
        <w:rPr>
          <w:rFonts w:eastAsia="Calibri"/>
          <w:sz w:val="10"/>
        </w:rPr>
        <w:t xml:space="preserve"> then </w:t>
      </w:r>
      <w:r w:rsidRPr="002635B9">
        <w:rPr>
          <w:rFonts w:eastAsia="Calibri"/>
          <w:u w:val="single"/>
        </w:rPr>
        <w:t>they may blame</w:t>
      </w:r>
      <w:r w:rsidRPr="002635B9">
        <w:rPr>
          <w:rFonts w:eastAsia="Calibri"/>
          <w:sz w:val="10"/>
        </w:rPr>
        <w:t xml:space="preserve"> this on </w:t>
      </w:r>
      <w:r w:rsidRPr="002635B9">
        <w:rPr>
          <w:rFonts w:eastAsia="Calibri"/>
          <w:u w:val="single"/>
        </w:rPr>
        <w:t>external dependence</w:t>
      </w:r>
      <w:r w:rsidRPr="002635B9">
        <w:rPr>
          <w:rFonts w:eastAsia="Calibri"/>
          <w:sz w:val="10"/>
        </w:rPr>
        <w:t>,</w:t>
      </w:r>
      <w:r w:rsidRPr="002635B9">
        <w:rPr>
          <w:rFonts w:eastAsia="Calibri"/>
          <w:u w:val="single"/>
        </w:rPr>
        <w:t xml:space="preserve"> appeal to anti-foreign sentiments</w:t>
      </w:r>
      <w:r w:rsidRPr="002635B9">
        <w:rPr>
          <w:rFonts w:eastAsia="Calibri"/>
          <w:sz w:val="10"/>
        </w:rPr>
        <w:t>,</w:t>
      </w:r>
      <w:r w:rsidRPr="002635B9">
        <w:rPr>
          <w:rFonts w:eastAsia="Calibri"/>
          <w:u w:val="single"/>
        </w:rPr>
        <w:t xml:space="preserve"> contemplate the use of force to gain</w:t>
      </w:r>
      <w:r w:rsidRPr="002635B9">
        <w:rPr>
          <w:rFonts w:eastAsia="Calibri"/>
          <w:sz w:val="10"/>
        </w:rPr>
        <w:t xml:space="preserve"> respect or </w:t>
      </w:r>
      <w:r w:rsidRPr="002635B9">
        <w:rPr>
          <w:rFonts w:eastAsia="Calibri"/>
          <w:u w:val="single"/>
        </w:rPr>
        <w:t>credibility</w:t>
      </w:r>
      <w:r w:rsidRPr="002635B9">
        <w:rPr>
          <w:rFonts w:eastAsia="Calibri"/>
          <w:sz w:val="10"/>
        </w:rPr>
        <w:t>,</w:t>
      </w:r>
      <w:r w:rsidRPr="002635B9">
        <w:rPr>
          <w:rFonts w:eastAsia="Calibri"/>
          <w:u w:val="single"/>
        </w:rPr>
        <w:t xml:space="preserve"> adopt protectionist policies</w:t>
      </w:r>
      <w:r w:rsidRPr="002635B9">
        <w:rPr>
          <w:rFonts w:eastAsia="Calibri"/>
          <w:sz w:val="10"/>
        </w:rPr>
        <w:t>,</w:t>
      </w:r>
      <w:r w:rsidRPr="002635B9">
        <w:rPr>
          <w:rFonts w:eastAsia="Calibri"/>
          <w:u w:val="single"/>
        </w:rPr>
        <w:t xml:space="preserve"> and</w:t>
      </w:r>
      <w:r w:rsidRPr="002635B9">
        <w:rPr>
          <w:rFonts w:eastAsia="Calibri"/>
          <w:sz w:val="10"/>
        </w:rPr>
        <w:t xml:space="preserve"> ultimately </w:t>
      </w:r>
      <w:r w:rsidRPr="002635B9">
        <w:rPr>
          <w:rFonts w:eastAsia="Calibri"/>
          <w:iCs/>
          <w:u w:val="single"/>
          <w:bdr w:val="single" w:sz="4" w:space="0" w:color="auto"/>
        </w:rPr>
        <w:t>refuse to be deterred by</w:t>
      </w:r>
      <w:r w:rsidRPr="002635B9">
        <w:rPr>
          <w:rFonts w:eastAsia="Calibri"/>
          <w:sz w:val="10"/>
        </w:rPr>
        <w:t xml:space="preserve"> either </w:t>
      </w:r>
      <w:r w:rsidRPr="002635B9">
        <w:rPr>
          <w:rFonts w:eastAsia="Calibri"/>
          <w:iCs/>
          <w:u w:val="single"/>
          <w:bdr w:val="single" w:sz="4" w:space="0" w:color="auto"/>
        </w:rPr>
        <w:t>nuclear arms</w:t>
      </w:r>
      <w:r w:rsidRPr="002635B9">
        <w:rPr>
          <w:rFonts w:eastAsia="Calibri"/>
          <w:u w:val="single"/>
        </w:rPr>
        <w:t xml:space="preserve"> or prospects of socioeconomic calamities</w:t>
      </w:r>
      <w:r w:rsidRPr="002635B9">
        <w:rPr>
          <w:rFonts w:eastAsia="Calibri"/>
          <w:sz w:val="10"/>
        </w:rPr>
        <w:t>.</w:t>
      </w:r>
      <w:r w:rsidRPr="002635B9">
        <w:rPr>
          <w:rFonts w:eastAsia="Calibri"/>
          <w:u w:val="single"/>
        </w:rPr>
        <w:t xml:space="preserve"> Such a dangerous shift could happen </w:t>
      </w:r>
      <w:r w:rsidRPr="002635B9">
        <w:rPr>
          <w:rFonts w:eastAsia="Calibri"/>
          <w:iCs/>
          <w:u w:val="single"/>
          <w:bdr w:val="single" w:sz="4" w:space="0" w:color="auto"/>
        </w:rPr>
        <w:t>abruptly</w:t>
      </w:r>
      <w:r w:rsidRPr="002635B9">
        <w:rPr>
          <w:rFonts w:eastAsia="Calibri"/>
          <w:sz w:val="10"/>
        </w:rPr>
        <w:t xml:space="preserve">, i.e. under the instigation of actions by a third party – or against a third party. Yet as long as there is both nuclear deterrence and interdependence, the tensions </w:t>
      </w:r>
      <w:r w:rsidRPr="002635B9">
        <w:rPr>
          <w:rFonts w:eastAsia="Calibri"/>
          <w:u w:val="single"/>
        </w:rPr>
        <w:t>in East Asia</w:t>
      </w:r>
      <w:r w:rsidRPr="002635B9">
        <w:rPr>
          <w:rFonts w:eastAsia="Calibri"/>
          <w:sz w:val="10"/>
        </w:rPr>
        <w:t xml:space="preserve"> are unlikely to escalate to war. As Chan (2013) says, all states in the region are aware that they cannot count on support from either China or the US if they make provocative moves. </w:t>
      </w:r>
      <w:r w:rsidRPr="002635B9">
        <w:rPr>
          <w:rFonts w:eastAsia="Calibri"/>
          <w:u w:val="single"/>
        </w:rPr>
        <w:t xml:space="preserve">The greatest risk is </w:t>
      </w:r>
      <w:r w:rsidRPr="002635B9">
        <w:rPr>
          <w:rFonts w:eastAsia="Calibri"/>
          <w:iCs/>
          <w:u w:val="single"/>
          <w:bdr w:val="single" w:sz="4" w:space="0" w:color="auto"/>
        </w:rPr>
        <w:t>not</w:t>
      </w:r>
      <w:r w:rsidRPr="002635B9">
        <w:rPr>
          <w:rFonts w:eastAsia="Calibri"/>
          <w:sz w:val="10"/>
        </w:rPr>
        <w:t xml:space="preserve"> that </w:t>
      </w:r>
      <w:r w:rsidRPr="002635B9">
        <w:rPr>
          <w:rFonts w:eastAsia="Calibri"/>
          <w:iCs/>
          <w:u w:val="single"/>
          <w:bdr w:val="single" w:sz="4" w:space="0" w:color="auto"/>
        </w:rPr>
        <w:t>a territorial dispute</w:t>
      </w:r>
      <w:r w:rsidRPr="002635B9">
        <w:rPr>
          <w:rFonts w:eastAsia="Calibri"/>
          <w:sz w:val="10"/>
        </w:rPr>
        <w:t xml:space="preserve"> leads to war under present circumstances </w:t>
      </w:r>
      <w:r w:rsidRPr="002635B9">
        <w:rPr>
          <w:rFonts w:eastAsia="Calibri"/>
          <w:u w:val="single"/>
        </w:rPr>
        <w:t xml:space="preserve">but that </w:t>
      </w:r>
      <w:r w:rsidRPr="002635B9">
        <w:rPr>
          <w:rFonts w:eastAsia="Calibri"/>
          <w:iCs/>
          <w:u w:val="single"/>
          <w:bdr w:val="single" w:sz="4" w:space="0" w:color="auto"/>
        </w:rPr>
        <w:t>changes in the world economy</w:t>
      </w:r>
      <w:r w:rsidRPr="002635B9">
        <w:rPr>
          <w:rFonts w:eastAsia="Calibri"/>
          <w:u w:val="single"/>
        </w:rPr>
        <w:t xml:space="preserve"> alter those circumstances in ways that render inter-state peace more precarious</w:t>
      </w:r>
      <w:r w:rsidRPr="002635B9">
        <w:rPr>
          <w:rFonts w:eastAsia="Calibri"/>
          <w:sz w:val="10"/>
        </w:rPr>
        <w:t xml:space="preserve">. If China and the US fail to rebalance their financial and trading relations (Roach, 2014) then a trade war could result, interrupting transnational production networks, provoking social distress, and exacerbating nationalist emotions. </w:t>
      </w:r>
      <w:r w:rsidRPr="002635B9">
        <w:rPr>
          <w:rFonts w:eastAsia="Calibri"/>
          <w:u w:val="single"/>
        </w:rPr>
        <w:t>This could have unforeseen consequences in the field of security</w:t>
      </w:r>
      <w:r w:rsidRPr="002635B9">
        <w:rPr>
          <w:rFonts w:eastAsia="Calibri"/>
          <w:sz w:val="10"/>
        </w:rPr>
        <w:t>,</w:t>
      </w:r>
      <w:r w:rsidRPr="002635B9">
        <w:rPr>
          <w:rFonts w:eastAsia="Calibri"/>
          <w:u w:val="single"/>
        </w:rPr>
        <w:t xml:space="preserve"> with nuclear deterrence remaining the only factor to </w:t>
      </w:r>
      <w:r w:rsidRPr="002635B9">
        <w:rPr>
          <w:rFonts w:eastAsia="Calibri"/>
          <w:iCs/>
          <w:u w:val="single"/>
          <w:bdr w:val="single" w:sz="4" w:space="0" w:color="auto"/>
        </w:rPr>
        <w:t>protect the world from Armageddon</w:t>
      </w:r>
      <w:r w:rsidRPr="002635B9">
        <w:rPr>
          <w:rFonts w:eastAsia="Calibri"/>
          <w:sz w:val="10"/>
        </w:rPr>
        <w:t>,</w:t>
      </w:r>
      <w:r w:rsidRPr="002635B9">
        <w:rPr>
          <w:rFonts w:eastAsia="Calibri"/>
          <w:u w:val="single"/>
        </w:rPr>
        <w:t xml:space="preserve"> and </w:t>
      </w:r>
      <w:r w:rsidRPr="002635B9">
        <w:rPr>
          <w:rFonts w:eastAsia="Calibri"/>
          <w:iCs/>
          <w:u w:val="single"/>
          <w:bdr w:val="single" w:sz="4" w:space="0" w:color="auto"/>
        </w:rPr>
        <w:t>unreliably so</w:t>
      </w:r>
      <w:r w:rsidRPr="002635B9">
        <w:rPr>
          <w:rFonts w:eastAsia="Calibri"/>
          <w:sz w:val="10"/>
        </w:rPr>
        <w:t xml:space="preserve">. </w:t>
      </w:r>
      <w:r w:rsidRPr="002635B9">
        <w:rPr>
          <w:rFonts w:eastAsia="Calibri"/>
          <w:u w:val="single"/>
        </w:rPr>
        <w:t xml:space="preserve">Deterrence could </w:t>
      </w:r>
      <w:r w:rsidRPr="002635B9">
        <w:rPr>
          <w:rFonts w:eastAsia="Calibri"/>
          <w:iCs/>
          <w:u w:val="single"/>
          <w:bdr w:val="single" w:sz="4" w:space="0" w:color="auto"/>
        </w:rPr>
        <w:t>lose its credibility</w:t>
      </w:r>
      <w:r w:rsidRPr="002635B9">
        <w:rPr>
          <w:rFonts w:eastAsia="Calibri"/>
          <w:sz w:val="10"/>
        </w:rPr>
        <w:t xml:space="preserve">: one of the two </w:t>
      </w:r>
      <w:r w:rsidRPr="002635B9">
        <w:rPr>
          <w:rFonts w:eastAsia="Calibri"/>
          <w:u w:val="single"/>
        </w:rPr>
        <w:t>great powers might gamble that the other yield in a cyber-war or conventional</w:t>
      </w:r>
      <w:r w:rsidRPr="002635B9">
        <w:rPr>
          <w:rFonts w:eastAsia="Calibri"/>
          <w:sz w:val="10"/>
        </w:rPr>
        <w:t xml:space="preserve"> limited </w:t>
      </w:r>
      <w:r w:rsidRPr="002635B9">
        <w:rPr>
          <w:rFonts w:eastAsia="Calibri"/>
          <w:u w:val="single"/>
        </w:rPr>
        <w:t>war</w:t>
      </w:r>
      <w:r w:rsidRPr="002635B9">
        <w:rPr>
          <w:rFonts w:eastAsia="Calibri"/>
          <w:sz w:val="10"/>
        </w:rPr>
        <w:t>, or third party countries might engage in conflict with each other, with a view to obliging Washington or Beijing to intervene.</w:t>
      </w:r>
    </w:p>
    <w:p w:rsidR="00C500B6" w:rsidRPr="00F933AF" w:rsidRDefault="00C500B6" w:rsidP="00C500B6">
      <w:pPr>
        <w:rPr>
          <w:rFonts w:cs="Calibri"/>
        </w:rPr>
      </w:pPr>
    </w:p>
    <w:p w:rsidR="00C500B6" w:rsidRPr="00F933AF" w:rsidRDefault="00C500B6" w:rsidP="000761DC">
      <w:pPr>
        <w:rPr>
          <w:rFonts w:cs="Calibri"/>
        </w:rPr>
      </w:pPr>
    </w:p>
    <w:p w:rsidR="00C500B6" w:rsidRPr="00F933AF" w:rsidRDefault="00C500B6" w:rsidP="00C500B6">
      <w:pPr>
        <w:rPr>
          <w:rFonts w:cs="Calibri"/>
        </w:rPr>
      </w:pPr>
    </w:p>
    <w:p w:rsidR="008C5D52" w:rsidRDefault="008C5D52" w:rsidP="008C5D52">
      <w:pPr>
        <w:pStyle w:val="Heading2"/>
        <w:rPr>
          <w:rFonts w:cs="Calibri"/>
        </w:rPr>
      </w:pPr>
      <w:r w:rsidRPr="00F933AF">
        <w:rPr>
          <w:rFonts w:cs="Calibri"/>
        </w:rPr>
        <w:t xml:space="preserve">Adv </w:t>
      </w:r>
      <w:r w:rsidR="00AA40A1">
        <w:rPr>
          <w:rFonts w:cs="Calibri"/>
        </w:rPr>
        <w:t>–</w:t>
      </w:r>
      <w:r w:rsidRPr="00F933AF">
        <w:rPr>
          <w:rFonts w:cs="Calibri"/>
        </w:rPr>
        <w:t xml:space="preserve"> Ableism</w:t>
      </w:r>
    </w:p>
    <w:p w:rsidR="00AA40A1" w:rsidRPr="00F933AF" w:rsidRDefault="00AA40A1" w:rsidP="00AA40A1">
      <w:pPr>
        <w:pStyle w:val="Heading4"/>
        <w:rPr>
          <w:rStyle w:val="Style13ptBold"/>
          <w:rFonts w:cs="Calibri"/>
          <w:b/>
        </w:rPr>
      </w:pPr>
      <w:r w:rsidRPr="00F933AF">
        <w:rPr>
          <w:rStyle w:val="Style13ptBold"/>
          <w:rFonts w:cs="Calibri"/>
          <w:b/>
        </w:rPr>
        <w:t xml:space="preserve">The current categorization of “public charge” in the U.S. immigration law is built on a flawed notion of normalcy that perpetuates a politics of eugenic exclusion </w:t>
      </w:r>
    </w:p>
    <w:p w:rsidR="00AA40A1" w:rsidRPr="00F933AF" w:rsidRDefault="00AA40A1" w:rsidP="00AA40A1">
      <w:pPr>
        <w:rPr>
          <w:rFonts w:cs="Calibri"/>
          <w:color w:val="000000" w:themeColor="text1"/>
          <w:sz w:val="18"/>
          <w:szCs w:val="18"/>
        </w:rPr>
      </w:pPr>
      <w:r w:rsidRPr="00F933AF">
        <w:rPr>
          <w:rStyle w:val="Style13ptBold"/>
          <w:rFonts w:cs="Calibri"/>
        </w:rPr>
        <w:t>Fremstad 18</w:t>
      </w:r>
      <w:r w:rsidRPr="00F933AF">
        <w:rPr>
          <w:rStyle w:val="Style13ptBold"/>
          <w:rFonts w:cs="Calibri"/>
          <w:b w:val="0"/>
          <w:sz w:val="18"/>
          <w:szCs w:val="18"/>
        </w:rPr>
        <w:t xml:space="preserve"> (Shawn </w:t>
      </w:r>
      <w:r w:rsidRPr="00F933AF">
        <w:rPr>
          <w:rStyle w:val="Style13ptBold"/>
          <w:rFonts w:cs="Calibri"/>
          <w:b w:val="0"/>
          <w:color w:val="000000" w:themeColor="text1"/>
          <w:sz w:val="18"/>
          <w:szCs w:val="18"/>
        </w:rPr>
        <w:t>-</w:t>
      </w:r>
      <w:r w:rsidRPr="00F933AF">
        <w:rPr>
          <w:rStyle w:val="Style13ptBold"/>
          <w:rFonts w:cs="Calibri"/>
          <w:color w:val="000000" w:themeColor="text1"/>
          <w:sz w:val="18"/>
          <w:szCs w:val="18"/>
        </w:rPr>
        <w:t xml:space="preserve"> </w:t>
      </w:r>
      <w:r w:rsidRPr="00F933AF">
        <w:rPr>
          <w:rFonts w:cs="Calibri"/>
          <w:color w:val="000000" w:themeColor="text1"/>
          <w:sz w:val="18"/>
          <w:szCs w:val="18"/>
        </w:rPr>
        <w:t>senior fellow at American Progress. He is also a senior research associate at the Center for Economic and Policy Research</w:t>
      </w:r>
      <w:r w:rsidRPr="00F933AF">
        <w:rPr>
          <w:rStyle w:val="Style13ptBold"/>
          <w:rFonts w:cs="Calibri"/>
          <w:color w:val="000000" w:themeColor="text1"/>
          <w:sz w:val="18"/>
          <w:szCs w:val="18"/>
        </w:rPr>
        <w:t xml:space="preserve"> </w:t>
      </w:r>
      <w:r w:rsidRPr="00F933AF">
        <w:rPr>
          <w:rStyle w:val="Style13ptBold"/>
          <w:rFonts w:cs="Calibri"/>
          <w:b w:val="0"/>
          <w:color w:val="000000" w:themeColor="text1"/>
          <w:sz w:val="18"/>
          <w:szCs w:val="18"/>
        </w:rPr>
        <w:t>12</w:t>
      </w:r>
      <w:r w:rsidRPr="00F933AF">
        <w:rPr>
          <w:rStyle w:val="Style13ptBold"/>
          <w:rFonts w:cs="Calibri"/>
          <w:b w:val="0"/>
          <w:color w:val="000000" w:themeColor="text1"/>
          <w:sz w:val="18"/>
          <w:szCs w:val="18"/>
          <w:vertAlign w:val="superscript"/>
        </w:rPr>
        <w:t>th</w:t>
      </w:r>
      <w:r w:rsidRPr="00F933AF">
        <w:rPr>
          <w:rStyle w:val="Style13ptBold"/>
          <w:rFonts w:cs="Calibri"/>
          <w:b w:val="0"/>
          <w:color w:val="000000" w:themeColor="text1"/>
          <w:sz w:val="18"/>
          <w:szCs w:val="18"/>
        </w:rPr>
        <w:t xml:space="preserve"> February 2018 “Trump Plans New Limits </w:t>
      </w:r>
      <w:proofErr w:type="gramStart"/>
      <w:r w:rsidRPr="00F933AF">
        <w:rPr>
          <w:rStyle w:val="Style13ptBold"/>
          <w:rFonts w:cs="Calibri"/>
          <w:b w:val="0"/>
          <w:color w:val="000000" w:themeColor="text1"/>
          <w:sz w:val="18"/>
          <w:szCs w:val="18"/>
        </w:rPr>
        <w:t>On</w:t>
      </w:r>
      <w:proofErr w:type="gramEnd"/>
      <w:r w:rsidRPr="00F933AF">
        <w:rPr>
          <w:rStyle w:val="Style13ptBold"/>
          <w:rFonts w:cs="Calibri"/>
          <w:b w:val="0"/>
          <w:color w:val="000000" w:themeColor="text1"/>
          <w:sz w:val="18"/>
          <w:szCs w:val="18"/>
        </w:rPr>
        <w:t xml:space="preserve"> Family Immigration and Access to Services”</w:t>
      </w:r>
      <w:r w:rsidRPr="00F933AF">
        <w:rPr>
          <w:rStyle w:val="Style13ptBold"/>
          <w:rFonts w:cs="Calibri"/>
          <w:color w:val="000000" w:themeColor="text1"/>
          <w:sz w:val="18"/>
          <w:szCs w:val="18"/>
        </w:rPr>
        <w:t xml:space="preserve"> </w:t>
      </w:r>
      <w:r w:rsidRPr="00F933AF">
        <w:rPr>
          <w:rFonts w:cs="Calibri"/>
          <w:color w:val="000000" w:themeColor="text1"/>
          <w:sz w:val="18"/>
          <w:szCs w:val="18"/>
        </w:rPr>
        <w:t>https://www.americanprogress.org/issues/immigration/news/2018/02/12/446413/trump-plans-new-limits-family-immigration-access-services/)mr</w:t>
      </w:r>
    </w:p>
    <w:p w:rsidR="00AA40A1" w:rsidRPr="000664A0" w:rsidRDefault="00AA40A1" w:rsidP="000664A0">
      <w:pPr>
        <w:pStyle w:val="selectionshareable"/>
        <w:rPr>
          <w:rFonts w:cs="Calibri"/>
          <w:color w:val="000000" w:themeColor="text1"/>
          <w:sz w:val="16"/>
        </w:rPr>
      </w:pPr>
      <w:r w:rsidRPr="00F933AF">
        <w:rPr>
          <w:rFonts w:cs="Calibri"/>
          <w:color w:val="000000" w:themeColor="text1"/>
          <w:sz w:val="16"/>
        </w:rPr>
        <w:t xml:space="preserve">A </w:t>
      </w:r>
      <w:hyperlink r:id="rId82" w:history="1">
        <w:r w:rsidRPr="00F933AF">
          <w:rPr>
            <w:rStyle w:val="Hyperlink"/>
            <w:rFonts w:eastAsiaTheme="majorEastAsia" w:cs="Calibri"/>
            <w:color w:val="000000" w:themeColor="text1"/>
            <w:sz w:val="16"/>
          </w:rPr>
          <w:t>draft rewrite</w:t>
        </w:r>
      </w:hyperlink>
      <w:r w:rsidRPr="00F933AF">
        <w:rPr>
          <w:rFonts w:cs="Calibri"/>
          <w:color w:val="000000" w:themeColor="text1"/>
          <w:sz w:val="16"/>
        </w:rPr>
        <w:t xml:space="preserve"> of long-standing immigration rules being developed by the Trump administration would intentionally skirt the U.S. Congress to place sharp, new restrictions on working-class immigrants’ ability to reunite with their family members. The draft radically reinterprets an obscure 1882 provision in federal immigration law—known as the </w:t>
      </w:r>
      <w:hyperlink r:id="rId83" w:history="1">
        <w:r w:rsidRPr="00F933AF">
          <w:rPr>
            <w:rStyle w:val="Hyperlink"/>
            <w:rFonts w:eastAsiaTheme="majorEastAsia" w:cs="Calibri"/>
            <w:color w:val="000000" w:themeColor="text1"/>
            <w:sz w:val="16"/>
          </w:rPr>
          <w:t>public-charge provision</w:t>
        </w:r>
      </w:hyperlink>
      <w:r w:rsidRPr="00F933AF">
        <w:rPr>
          <w:rFonts w:cs="Calibri"/>
          <w:color w:val="000000" w:themeColor="text1"/>
          <w:sz w:val="16"/>
        </w:rPr>
        <w:t xml:space="preserve">—in a way that departs from more than a century of precedent established by courts and the executive branch. As a practical matter, the plan would significantly restrict family-based legal immigration from Mexico and other countries that have been the subject of the administration’s racist and discriminatory animus. Moreover, the plan would effectively deny the premium tax credit, means-tested health insurance, Pell Grants, the Special Supplemental Nutrition Program for Women, Infants, and Children (WIC), other nutrition assistance, and other public benefits to many immigrants who are lawfully residing in the United States as well as to U.S.-citizen children living in immigrant families. Immigrants seeking family-based visas would be penalized simply for being eligible for various programs. To understand what’s at stake, it’s helpful to first know the historical background of the antiquated provision that the Trump administration is reinterpreting. </w:t>
      </w:r>
      <w:r w:rsidRPr="00F933AF">
        <w:rPr>
          <w:rFonts w:cs="Calibri"/>
          <w:color w:val="000000" w:themeColor="text1"/>
          <w:u w:val="single"/>
        </w:rPr>
        <w:t xml:space="preserve">Under long-standing law, immigrants seeking a visa to become lawful permanent residents </w:t>
      </w:r>
      <w:r w:rsidRPr="00F933AF">
        <w:rPr>
          <w:rFonts w:cs="Calibri"/>
          <w:color w:val="000000" w:themeColor="text1"/>
          <w:sz w:val="16"/>
        </w:rPr>
        <w:t xml:space="preserve">(LPRs), also known as green card holders, on family-based and certain other grounds </w:t>
      </w:r>
      <w:r w:rsidRPr="00F933AF">
        <w:rPr>
          <w:rFonts w:cs="Calibri"/>
          <w:color w:val="000000" w:themeColor="text1"/>
          <w:u w:val="single"/>
        </w:rPr>
        <w:t>can have their applications denied if they are found “</w:t>
      </w:r>
      <w:hyperlink r:id="rId84" w:history="1">
        <w:r w:rsidRPr="00F933AF">
          <w:rPr>
            <w:rStyle w:val="Hyperlink"/>
            <w:rFonts w:eastAsiaTheme="majorEastAsia" w:cs="Calibri"/>
            <w:color w:val="000000" w:themeColor="text1"/>
            <w:u w:val="single"/>
          </w:rPr>
          <w:t>likely to become public charge</w:t>
        </w:r>
      </w:hyperlink>
      <w:r w:rsidRPr="00F933AF">
        <w:rPr>
          <w:rFonts w:cs="Calibri"/>
          <w:color w:val="000000" w:themeColor="text1"/>
          <w:u w:val="single"/>
        </w:rPr>
        <w:t>.”</w:t>
      </w:r>
      <w:r w:rsidRPr="00F933AF">
        <w:rPr>
          <w:rFonts w:cs="Calibri"/>
          <w:color w:val="000000" w:themeColor="text1"/>
          <w:sz w:val="16"/>
        </w:rPr>
        <w:t xml:space="preserve"> In very rare cases, green card holders living in the United States may be deported if they become public charges during their first five years in the United States. </w:t>
      </w:r>
      <w:r w:rsidRPr="00F933AF">
        <w:rPr>
          <w:rFonts w:cs="Calibri"/>
          <w:color w:val="000000" w:themeColor="text1"/>
          <w:u w:val="single"/>
        </w:rPr>
        <w:t>The term public charge is an archaic one. It pre-dates federal immigration law and was typically used in the 1700s and 1800s to refer to anyone</w:t>
      </w:r>
      <w:r w:rsidRPr="00F933AF">
        <w:rPr>
          <w:rFonts w:cs="Calibri"/>
          <w:color w:val="000000" w:themeColor="text1"/>
          <w:sz w:val="16"/>
        </w:rPr>
        <w:t xml:space="preserve">, regardless of immigration or citizenship status, </w:t>
      </w:r>
      <w:r w:rsidRPr="00F933AF">
        <w:rPr>
          <w:rFonts w:cs="Calibri"/>
          <w:color w:val="000000" w:themeColor="text1"/>
          <w:u w:val="single"/>
        </w:rPr>
        <w:t>who was considered unable to work and had become a charge of the state</w:t>
      </w:r>
      <w:r w:rsidRPr="00F933AF">
        <w:rPr>
          <w:rFonts w:cs="Calibri"/>
          <w:color w:val="000000" w:themeColor="text1"/>
          <w:sz w:val="16"/>
        </w:rPr>
        <w:t xml:space="preserve">. In short, an adult or child the government had taken charge of, typically in an almshouse, asylum, state hospital, or other institution. </w:t>
      </w:r>
      <w:r w:rsidRPr="00F933AF">
        <w:rPr>
          <w:rFonts w:cs="Calibri"/>
          <w:color w:val="000000" w:themeColor="text1"/>
          <w:u w:val="single"/>
        </w:rPr>
        <w:t>The federal government’s power to deny entry to immigrants who were deemed likely to become public charges was first added</w:t>
      </w:r>
      <w:r w:rsidRPr="00F933AF">
        <w:rPr>
          <w:rFonts w:cs="Calibri"/>
          <w:color w:val="000000" w:themeColor="text1"/>
          <w:sz w:val="16"/>
        </w:rPr>
        <w:t xml:space="preserve"> to federal law in 1882, a few months before the adoption of the notorious </w:t>
      </w:r>
      <w:hyperlink r:id="rId85" w:history="1">
        <w:r w:rsidRPr="00F933AF">
          <w:rPr>
            <w:rStyle w:val="Hyperlink"/>
            <w:rFonts w:eastAsiaTheme="majorEastAsia" w:cs="Calibri"/>
            <w:color w:val="000000" w:themeColor="text1"/>
            <w:sz w:val="16"/>
          </w:rPr>
          <w:t>Chinese Exclusion Act</w:t>
        </w:r>
      </w:hyperlink>
      <w:r w:rsidRPr="00F933AF">
        <w:rPr>
          <w:rFonts w:cs="Calibri"/>
          <w:color w:val="000000" w:themeColor="text1"/>
          <w:sz w:val="16"/>
        </w:rPr>
        <w:t xml:space="preserve">. </w:t>
      </w:r>
      <w:r w:rsidRPr="00F933AF">
        <w:rPr>
          <w:rFonts w:cs="Calibri"/>
          <w:color w:val="000000" w:themeColor="text1"/>
          <w:u w:val="single"/>
        </w:rPr>
        <w:t xml:space="preserve">Under </w:t>
      </w:r>
      <w:hyperlink r:id="rId86" w:history="1">
        <w:r w:rsidRPr="00F933AF">
          <w:rPr>
            <w:rStyle w:val="Hyperlink"/>
            <w:rFonts w:eastAsiaTheme="majorEastAsia" w:cs="Calibri"/>
            <w:color w:val="000000" w:themeColor="text1"/>
            <w:u w:val="single"/>
          </w:rPr>
          <w:t>the 1882 provision</w:t>
        </w:r>
      </w:hyperlink>
      <w:r w:rsidRPr="00F933AF">
        <w:rPr>
          <w:rFonts w:cs="Calibri"/>
          <w:color w:val="000000" w:themeColor="text1"/>
          <w:u w:val="single"/>
        </w:rPr>
        <w:t>, “any convict, lunatic, idiot, or person unable to take care of himself or herself without becoming a public charge”</w:t>
      </w:r>
      <w:r w:rsidRPr="00F933AF">
        <w:rPr>
          <w:rFonts w:cs="Calibri"/>
          <w:color w:val="000000" w:themeColor="text1"/>
          <w:sz w:val="16"/>
        </w:rPr>
        <w:t xml:space="preserve"> was prohibited from entering the United States. Federal immigration law does not define public charge. However, </w:t>
      </w:r>
      <w:r w:rsidRPr="00F933AF">
        <w:rPr>
          <w:rFonts w:cs="Calibri"/>
          <w:color w:val="000000" w:themeColor="text1"/>
          <w:u w:val="single"/>
        </w:rPr>
        <w:t>given the historical roots, federal agencies and courts have a long history of defining it as someone who is incapable of work, lacks family support, and is likely to become completely dependent on government or charity for shelter and subsistence</w:t>
      </w:r>
      <w:r w:rsidRPr="00F933AF">
        <w:rPr>
          <w:rFonts w:cs="Calibri"/>
          <w:color w:val="000000" w:themeColor="text1"/>
          <w:sz w:val="16"/>
        </w:rPr>
        <w:t xml:space="preserve">. A </w:t>
      </w:r>
      <w:hyperlink r:id="rId87" w:history="1">
        <w:r w:rsidRPr="00F933AF">
          <w:rPr>
            <w:rStyle w:val="Hyperlink"/>
            <w:rFonts w:eastAsiaTheme="majorEastAsia" w:cs="Calibri"/>
            <w:color w:val="000000" w:themeColor="text1"/>
            <w:sz w:val="16"/>
          </w:rPr>
          <w:t>statement</w:t>
        </w:r>
      </w:hyperlink>
      <w:r w:rsidRPr="00F933AF">
        <w:rPr>
          <w:rFonts w:cs="Calibri"/>
          <w:color w:val="000000" w:themeColor="text1"/>
          <w:sz w:val="16"/>
        </w:rPr>
        <w:t xml:space="preserve"> made during the Great Depression by then-President Herbert Hoover aptly captures this core historical meaning of the term. Hoover explained that “[i]n normal times an [immigrant applying] for admission, if an able-bodied worker who means to work and has sufficient funds to support himself until he gets to his destination” would not be excluded on public-charge grounds. Hoover noted: “It is obvious that relatives of residents in the country are not likely to become public charges.” </w:t>
      </w:r>
      <w:r w:rsidRPr="00F933AF">
        <w:rPr>
          <w:rFonts w:cs="Calibri"/>
          <w:color w:val="000000" w:themeColor="text1"/>
          <w:u w:val="single"/>
        </w:rPr>
        <w:t>In practice, federal officials have often used the public-charge provision in unconscionable and discriminatory ways, particularly during nativist periods in the country</w:t>
      </w:r>
      <w:r w:rsidRPr="00F933AF">
        <w:rPr>
          <w:rFonts w:cs="Calibri"/>
          <w:color w:val="000000" w:themeColor="text1"/>
          <w:sz w:val="16"/>
        </w:rPr>
        <w:t xml:space="preserve">. As immigration historian Hidetaka Hirota </w:t>
      </w:r>
      <w:hyperlink r:id="rId88" w:history="1">
        <w:r w:rsidRPr="00F933AF">
          <w:rPr>
            <w:rStyle w:val="Hyperlink"/>
            <w:rFonts w:eastAsiaTheme="majorEastAsia" w:cs="Calibri"/>
            <w:color w:val="000000" w:themeColor="text1"/>
            <w:sz w:val="16"/>
          </w:rPr>
          <w:t>explained</w:t>
        </w:r>
      </w:hyperlink>
      <w:r w:rsidRPr="00F933AF">
        <w:rPr>
          <w:rFonts w:cs="Calibri"/>
          <w:color w:val="000000" w:themeColor="text1"/>
          <w:u w:val="single"/>
        </w:rPr>
        <w:t xml:space="preserve">, the origins of the federal public-charge provision were in cultural and class prejudice, particularly against Irish immigrants. After the establishment of immigration quotas based on national origin in the 1920s, the provision was used to exclude </w:t>
      </w:r>
      <w:hyperlink r:id="rId89" w:history="1">
        <w:r w:rsidRPr="00F933AF">
          <w:rPr>
            <w:rStyle w:val="Hyperlink"/>
            <w:rFonts w:eastAsiaTheme="majorEastAsia" w:cs="Calibri"/>
            <w:color w:val="000000" w:themeColor="text1"/>
            <w:u w:val="single"/>
          </w:rPr>
          <w:t>European Jews seeking to escape Nazi genocide</w:t>
        </w:r>
      </w:hyperlink>
      <w:r w:rsidRPr="00F933AF">
        <w:rPr>
          <w:rFonts w:cs="Calibri"/>
          <w:color w:val="000000" w:themeColor="text1"/>
          <w:u w:val="single"/>
        </w:rPr>
        <w:t>.</w:t>
      </w:r>
      <w:r w:rsidRPr="00F933AF">
        <w:rPr>
          <w:rFonts w:cs="Calibri"/>
          <w:color w:val="000000" w:themeColor="text1"/>
          <w:sz w:val="16"/>
        </w:rPr>
        <w:t xml:space="preserve"> For much of its history, </w:t>
      </w:r>
      <w:r w:rsidRPr="00F933AF">
        <w:rPr>
          <w:rFonts w:cs="Calibri"/>
          <w:color w:val="000000" w:themeColor="text1"/>
          <w:u w:val="single"/>
        </w:rPr>
        <w:t>the provision has often been used to exclude immigrants viewed as morally deficient, particularly unmarried mothers. Immigration officials in the first half of the 20th century viewed LGBT immigrants as “</w:t>
      </w:r>
      <w:hyperlink r:id="rId90" w:history="1">
        <w:r w:rsidRPr="00F933AF">
          <w:rPr>
            <w:rStyle w:val="Hyperlink"/>
            <w:rFonts w:eastAsiaTheme="majorEastAsia" w:cs="Calibri"/>
            <w:color w:val="000000" w:themeColor="text1"/>
            <w:u w:val="single"/>
          </w:rPr>
          <w:t>degenerates</w:t>
        </w:r>
      </w:hyperlink>
      <w:r w:rsidRPr="00F933AF">
        <w:rPr>
          <w:rFonts w:cs="Calibri"/>
          <w:color w:val="000000" w:themeColor="text1"/>
          <w:u w:val="single"/>
        </w:rPr>
        <w:t>” and sometimes turned to the public charge provision to exclude them from the United States. Disabled immigrants have been the group most consistently targeted for exclusion on public-charge grounds</w:t>
      </w:r>
      <w:r w:rsidRPr="00F933AF">
        <w:rPr>
          <w:rFonts w:cs="Calibri"/>
          <w:color w:val="000000" w:themeColor="text1"/>
          <w:sz w:val="16"/>
        </w:rPr>
        <w:t xml:space="preserve">. As Douglas Baynton, a historian at the University of Iowa, has </w:t>
      </w:r>
      <w:hyperlink r:id="rId91" w:history="1">
        <w:r w:rsidRPr="00F933AF">
          <w:rPr>
            <w:rStyle w:val="Hyperlink"/>
            <w:rFonts w:eastAsiaTheme="majorEastAsia" w:cs="Calibri"/>
            <w:color w:val="000000" w:themeColor="text1"/>
            <w:sz w:val="16"/>
          </w:rPr>
          <w:t>documented</w:t>
        </w:r>
      </w:hyperlink>
      <w:r w:rsidRPr="00F933AF">
        <w:rPr>
          <w:rFonts w:cs="Calibri"/>
          <w:color w:val="000000" w:themeColor="text1"/>
          <w:sz w:val="16"/>
        </w:rPr>
        <w:t xml:space="preserve">, </w:t>
      </w:r>
      <w:r w:rsidRPr="00F933AF">
        <w:rPr>
          <w:rFonts w:cs="Calibri"/>
          <w:color w:val="000000" w:themeColor="text1"/>
          <w:u w:val="single"/>
        </w:rPr>
        <w:t>the public-charge rule “was intended to screen out those considered ‘physically defective.’’’ Often, this judgement was “based solely on impaired appearances, by officials who thought them therefore unemployable as well as undesirable hereditary specimens.” Even today, under current policy, immigrants can be excluded on public-charge grounds if they are found likely to become primarily dependent on Supplemental Security Income (SSI), or if they are institutionalized for long-term care</w:t>
      </w:r>
      <w:r w:rsidRPr="00F933AF">
        <w:rPr>
          <w:rFonts w:cs="Calibri"/>
          <w:color w:val="000000" w:themeColor="text1"/>
          <w:sz w:val="16"/>
        </w:rPr>
        <w:t>. In making this determination, immigration officials must consider age, health, family status, assets, resources, financial status, education, and skills.</w:t>
      </w:r>
    </w:p>
    <w:p w:rsidR="00E5343F" w:rsidRPr="00F933AF" w:rsidRDefault="00E5343F" w:rsidP="00E5343F">
      <w:pPr>
        <w:pStyle w:val="Heading4"/>
        <w:rPr>
          <w:rFonts w:cs="Calibri"/>
        </w:rPr>
      </w:pPr>
      <w:r w:rsidRPr="00F933AF">
        <w:rPr>
          <w:rFonts w:cs="Calibri"/>
        </w:rPr>
        <w:t>The discourse surrounding immigrants labels bodies as desirable/undesirable that disproportionately affect people with disabilities – they become depicted as unable to contribute to society and a drain on the state</w:t>
      </w:r>
    </w:p>
    <w:p w:rsidR="00E5343F" w:rsidRPr="00F933AF" w:rsidRDefault="00E5343F" w:rsidP="00E5343F">
      <w:pPr>
        <w:rPr>
          <w:rStyle w:val="Style13ptBold"/>
          <w:rFonts w:cs="Calibri"/>
          <w:b w:val="0"/>
        </w:rPr>
      </w:pPr>
      <w:r w:rsidRPr="00F933AF">
        <w:rPr>
          <w:rStyle w:val="Style13ptBold"/>
          <w:rFonts w:cs="Calibri"/>
        </w:rPr>
        <w:t>Wong 12</w:t>
      </w:r>
      <w:r w:rsidRPr="00F933AF">
        <w:rPr>
          <w:rFonts w:cs="Calibri"/>
        </w:rPr>
        <w:t xml:space="preserve"> (Edward Hon-Sing Wong, Department of Social Work at York University, “Not Welcome: A Critical Analysis of Ableism in Canadian Immigration Policy from 1869 to 2011,” [CCD Journal], 2012, accessed: 7/11/18, https://cdd.journals.yorku.ca/index.php/cdd/article/view/34877)//DCai</w:t>
      </w:r>
    </w:p>
    <w:p w:rsidR="00E5343F" w:rsidRPr="00F933AF" w:rsidRDefault="00E5343F" w:rsidP="00E5343F">
      <w:pPr>
        <w:rPr>
          <w:rFonts w:cs="Calibri"/>
          <w:sz w:val="16"/>
        </w:rPr>
      </w:pPr>
      <w:r w:rsidRPr="00F933AF">
        <w:rPr>
          <w:rStyle w:val="StyleUnderline"/>
          <w:rFonts w:cs="Calibri"/>
        </w:rPr>
        <w:t>The label of disability also attaches specific narratives to people carrying the label. A key narrative, one prominent in the immigration system</w:t>
      </w:r>
      <w:r w:rsidRPr="00F933AF">
        <w:rPr>
          <w:rFonts w:cs="Calibri"/>
          <w:sz w:val="16"/>
        </w:rPr>
        <w:t xml:space="preserve">, </w:t>
      </w:r>
      <w:r w:rsidRPr="00F933AF">
        <w:rPr>
          <w:rStyle w:val="Emphasis"/>
          <w:rFonts w:cs="Calibri"/>
        </w:rPr>
        <w:t>is the understanding of people with disabilities as unproductive and burdensome to society.</w:t>
      </w:r>
      <w:r w:rsidRPr="00F933AF">
        <w:rPr>
          <w:rFonts w:cs="Calibri"/>
          <w:sz w:val="16"/>
        </w:rPr>
        <w:t xml:space="preserve"> Pratt’s (2005) argument that </w:t>
      </w:r>
      <w:r w:rsidRPr="00F933AF">
        <w:rPr>
          <w:rStyle w:val="Emphasis"/>
          <w:rFonts w:cs="Calibri"/>
        </w:rPr>
        <w:t>immigration penality serves to define “the desirable/undesirable citizen</w:t>
      </w:r>
      <w:r w:rsidRPr="00F933AF">
        <w:rPr>
          <w:rStyle w:val="StyleUnderline"/>
          <w:rFonts w:cs="Calibri"/>
        </w:rPr>
        <w:t>" is especially relevant to understanding the border's effect on people with disabilities and other oppressed people</w:t>
      </w:r>
      <w:r w:rsidRPr="00F933AF">
        <w:rPr>
          <w:rFonts w:cs="Calibri"/>
          <w:sz w:val="16"/>
        </w:rPr>
        <w:t xml:space="preserve"> (p. 10). </w:t>
      </w:r>
      <w:r w:rsidRPr="00F933AF">
        <w:rPr>
          <w:rStyle w:val="StyleUnderline"/>
          <w:rFonts w:cs="Calibri"/>
        </w:rPr>
        <w:t>The border serves to mark individuals who pass through it as desirable or undesirable for a nation.</w:t>
      </w:r>
      <w:r w:rsidRPr="00F933AF">
        <w:rPr>
          <w:rFonts w:cs="Calibri"/>
          <w:sz w:val="16"/>
        </w:rPr>
        <w:t xml:space="preserve"> As mentioned, the Canadian </w:t>
      </w:r>
      <w:r w:rsidRPr="00F933AF">
        <w:rPr>
          <w:rStyle w:val="StyleUnderline"/>
          <w:rFonts w:cs="Calibri"/>
        </w:rPr>
        <w:t>immigration policy focuses on the recruitment of ‘productive workers</w:t>
      </w:r>
      <w:r w:rsidRPr="00F933AF">
        <w:rPr>
          <w:rFonts w:cs="Calibri"/>
          <w:sz w:val="16"/>
        </w:rPr>
        <w:t xml:space="preserve">.’ This, in effect, </w:t>
      </w:r>
      <w:r w:rsidRPr="00F933AF">
        <w:rPr>
          <w:rStyle w:val="StyleUnderline"/>
          <w:rFonts w:cs="Calibri"/>
        </w:rPr>
        <w:t>excludes people with disabilities, who are seen as undesirable, since they are also often not conceptualized as productive workers within a capitalist system</w:t>
      </w:r>
      <w:r w:rsidRPr="00F933AF">
        <w:rPr>
          <w:rFonts w:cs="Calibri"/>
          <w:sz w:val="16"/>
        </w:rPr>
        <w:t xml:space="preserve">. It is important to recognize that the argument is not that people with disabilities are inherently unable to productively contribute to society, but simply that they are understood as unable by the state and by capitalists in a system geared towards able-bodiedness. </w:t>
      </w:r>
      <w:r w:rsidRPr="00F933AF">
        <w:rPr>
          <w:rStyle w:val="StyleUnderline"/>
          <w:rFonts w:cs="Calibri"/>
        </w:rPr>
        <w:t>Through a discourse of dependency and excessive demand, migrants with disabilities have been defined by the</w:t>
      </w:r>
      <w:r w:rsidRPr="00F933AF">
        <w:rPr>
          <w:rFonts w:cs="Calibri"/>
          <w:sz w:val="16"/>
        </w:rPr>
        <w:t xml:space="preserve"> Canadian </w:t>
      </w:r>
      <w:r w:rsidRPr="00F933AF">
        <w:rPr>
          <w:rStyle w:val="StyleUnderline"/>
          <w:rFonts w:cs="Calibri"/>
        </w:rPr>
        <w:t>immigration system as unable to contribute productively to society</w:t>
      </w:r>
      <w:r w:rsidRPr="00F933AF">
        <w:rPr>
          <w:rFonts w:cs="Calibri"/>
          <w:sz w:val="16"/>
        </w:rPr>
        <w:t xml:space="preserve">. Historically, Canadian immigration policy did not explicitly bar migrants with disabilities; instead, this was done latently through restrictions on individuals suspected to become dependent on the state or charities. For example, the Immigration Act of 1869 stipulated that if </w:t>
      </w:r>
      <w:proofErr w:type="gramStart"/>
      <w:r w:rsidRPr="00F933AF">
        <w:rPr>
          <w:rFonts w:cs="Calibri"/>
          <w:sz w:val="16"/>
        </w:rPr>
        <w:t>“ .</w:t>
      </w:r>
      <w:proofErr w:type="gramEnd"/>
      <w:r w:rsidRPr="00F933AF">
        <w:rPr>
          <w:rFonts w:cs="Calibri"/>
          <w:sz w:val="16"/>
        </w:rPr>
        <w:t xml:space="preserve"> . . such a person is, in the opinion of the Medical Superintendent, likely to become permanently a public charge,” they are not to be permitted to enter Canada (Hanes, 2011). Although there were exceptions, such as for people with disabilities who were to be cared for by family members or who could produce evidence that they had a job or family members already living in Canada (Hanes, 2011), the demand for evidence reveals </w:t>
      </w:r>
      <w:r w:rsidRPr="00F933AF">
        <w:rPr>
          <w:rStyle w:val="StyleUnderline"/>
          <w:rFonts w:cs="Calibri"/>
        </w:rPr>
        <w:t>the underlying assumption that people with disabilities are unlikely to contribute to society. This inability is constructed as inherent to the individual, without questioning the fact that</w:t>
      </w:r>
      <w:r w:rsidRPr="00F933AF">
        <w:rPr>
          <w:rFonts w:cs="Calibri"/>
          <w:sz w:val="16"/>
        </w:rPr>
        <w:t xml:space="preserve"> Canadian </w:t>
      </w:r>
      <w:r w:rsidRPr="00F933AF">
        <w:rPr>
          <w:rStyle w:val="StyleUnderline"/>
          <w:rFonts w:cs="Calibri"/>
        </w:rPr>
        <w:t>society, because of its ableist foundations, creates barriers for people with disabilities aiming to contribute in ways that are traditionally recognized as legitimate, such as through paid employment.</w:t>
      </w:r>
      <w:r w:rsidRPr="00F933AF">
        <w:rPr>
          <w:rFonts w:cs="Calibri"/>
          <w:sz w:val="16"/>
        </w:rPr>
        <w:t xml:space="preserve"> For example, a disability allowance of $800 “does not give a person much leeway to pursue her goals in life” (Dossa, 2005, p. 2532). At the same time, the many ways people with disabilities do contribute to society are often not recognized. Dossa (2005) highlighted the experiences of Mehrun, a racialized social worker with polio, who spoke of how the agency she worked for saw her more as a client, rather than a peer, and paid her less than other workers (p. 2534). </w:t>
      </w:r>
      <w:r w:rsidRPr="00F933AF">
        <w:rPr>
          <w:rStyle w:val="Emphasis"/>
          <w:rFonts w:cs="Calibri"/>
        </w:rPr>
        <w:t>This depiction of people with disabilities as unable to contribute to society occurs concurrently with the depiction of people with disabilities as a drain on state coffers</w:t>
      </w:r>
      <w:r w:rsidRPr="00F933AF">
        <w:rPr>
          <w:rFonts w:cs="Calibri"/>
          <w:sz w:val="16"/>
        </w:rPr>
        <w:t xml:space="preserve">. This representation can be seen throughout Canadian history, including the case, explored earlier, of the 65 Chinese patients who were confined in various asylums and deported to China in 1935. Before the deportations, asylum superintendent R. I. Bentley deplored “that this undesirable class should be such an expense to the country” (Menzies, 2002, p. 201). Bentley’s successor also commented that “it certainly seems to be a hardship upon the taxpayers of this Province that they should be compelled to maintain these decrepit and unprofitable Chinese lunatics” (p. 202). </w:t>
      </w:r>
      <w:r w:rsidRPr="00F933AF">
        <w:rPr>
          <w:rStyle w:val="StyleUnderline"/>
          <w:rFonts w:cs="Calibri"/>
        </w:rPr>
        <w:t>Administrators did not see the ‘Chinese’ as worthy recipients of public resources, nor was their forced unpaid labour recognized. The deportations were also framed dichotomously, in that the resources saved were thought to be better spent providing for ‘other’ patients</w:t>
      </w:r>
      <w:r w:rsidRPr="00F933AF">
        <w:rPr>
          <w:rFonts w:cs="Calibri"/>
          <w:sz w:val="16"/>
        </w:rPr>
        <w:t xml:space="preserve">. As reported by the Victoria Daily Times on February 11th, 1935, “the removal of these patients will allow more room for other cases” (Menzies, 2002, p. 217). It did not matter that, according to the Chinese consul, there were no institutions in China to provide care for the patients, as it was clear that the intentions of the Canadian state were never to provide care. Instead, the intentions were to maintain social control at a reduced cost for the state. </w:t>
      </w:r>
    </w:p>
    <w:p w:rsidR="00E5343F" w:rsidRPr="00F933AF" w:rsidRDefault="00E5343F" w:rsidP="00E5343F">
      <w:pPr>
        <w:rPr>
          <w:rFonts w:cs="Calibri"/>
        </w:rPr>
      </w:pPr>
    </w:p>
    <w:p w:rsidR="00E5343F" w:rsidRPr="00F933AF" w:rsidRDefault="00E5343F" w:rsidP="00E5343F">
      <w:pPr>
        <w:pStyle w:val="Heading4"/>
        <w:rPr>
          <w:rFonts w:cs="Calibri"/>
        </w:rPr>
      </w:pPr>
      <w:r w:rsidRPr="00F933AF">
        <w:rPr>
          <w:rFonts w:cs="Calibri"/>
        </w:rPr>
        <w:t>US immigration policy is rooted in ableist discrimination against people of different identities – public charge as well as barriers in the admission process disproportionately affect people with disabilities</w:t>
      </w:r>
    </w:p>
    <w:p w:rsidR="00E5343F" w:rsidRPr="00F933AF" w:rsidRDefault="00E5343F" w:rsidP="00E5343F">
      <w:pPr>
        <w:rPr>
          <w:rStyle w:val="Style13ptBold"/>
          <w:rFonts w:cs="Calibri"/>
        </w:rPr>
      </w:pPr>
      <w:r w:rsidRPr="00F933AF">
        <w:rPr>
          <w:rStyle w:val="Style13ptBold"/>
          <w:rFonts w:cs="Calibri"/>
        </w:rPr>
        <w:t>Sekerci and Altiraifi 18</w:t>
      </w:r>
      <w:r w:rsidRPr="00F933AF">
        <w:rPr>
          <w:rFonts w:cs="Calibri"/>
        </w:rPr>
        <w:t>(Kristin Garrity Sekerci   &amp; Azza Altiraifi, Sekerci is a researcher on Islamophobia at Georgetown University while Azza Altiraifi is an award-winning disabled Afro-Arab organiser based in Washington, DC whose advocacy centers on radical inclusion and access, racial and disability justice, and collective liberation, “A US immigration history of white supremacy and ableism," [Aljazeera], 1-31-2018, accessed: 7-11-2018, https://www.aljazeera.com/indepth/opinion/immigration-history-white-supremacy-ableism-180122111928695.html)//DCai</w:t>
      </w:r>
    </w:p>
    <w:p w:rsidR="00E5343F" w:rsidRPr="00F933AF" w:rsidRDefault="00E5343F" w:rsidP="00E5343F">
      <w:pPr>
        <w:rPr>
          <w:rStyle w:val="Emphasis"/>
          <w:rFonts w:cs="Calibri"/>
        </w:rPr>
      </w:pPr>
      <w:r w:rsidRPr="00F933AF">
        <w:rPr>
          <w:rFonts w:cs="Calibri"/>
          <w:sz w:val="16"/>
        </w:rPr>
        <w:t xml:space="preserve">From 1882 to 1917, </w:t>
      </w:r>
      <w:r w:rsidRPr="00F933AF">
        <w:rPr>
          <w:rStyle w:val="StyleUnderline"/>
          <w:rFonts w:cs="Calibri"/>
        </w:rPr>
        <w:t xml:space="preserve">various legislation codified into law numerous categories of perceived deviancy and divergence. </w:t>
      </w:r>
      <w:r w:rsidRPr="00F933AF">
        <w:rPr>
          <w:rStyle w:val="Emphasis"/>
          <w:rFonts w:cs="Calibri"/>
        </w:rPr>
        <w:t>These ableist classifications, along with bans by nationality and geographic origin</w:t>
      </w:r>
      <w:r w:rsidRPr="00F933AF">
        <w:rPr>
          <w:rStyle w:val="StyleUnderline"/>
          <w:rFonts w:cs="Calibri"/>
        </w:rPr>
        <w:t xml:space="preserve">, have shaped the legal basis for US immigration exclusion. </w:t>
      </w:r>
      <w:r w:rsidRPr="00F933AF">
        <w:rPr>
          <w:rFonts w:cs="Calibri"/>
          <w:sz w:val="16"/>
        </w:rPr>
        <w:t xml:space="preserve">For instance: </w:t>
      </w:r>
      <w:r w:rsidRPr="00F933AF">
        <w:rPr>
          <w:rStyle w:val="StyleUnderline"/>
          <w:rFonts w:cs="Calibri"/>
        </w:rPr>
        <w:t>The Immigration Act of 1882 prohibited entry to any "lunatic, idiot, or any person unable to take care of himself or herself without becoming a public charge." The Alien Immigration Act (1903) added for exclusion "insane persons, epileptics, and persons who have been insane within five years previous; persons who have had two or more attacks of insanity at any time previously," among other categories. The Immigration Act of 1907 added "imbeciles" and "feeble-minded persons," people suffering from tuberculosis, and people "certified" by an immigration official "as being mentally or physically defective," among other categories</w:t>
      </w:r>
      <w:r w:rsidRPr="00F933AF">
        <w:rPr>
          <w:rFonts w:cs="Calibri"/>
          <w:sz w:val="16"/>
        </w:rPr>
        <w:t xml:space="preserve">. The Immigration Act of 1917 added people who experienced just one "attack" of insanity (down from two in 1903), and people with "chronic alcoholism" and "constitutional psychopathic inferiority," such as "moral imbeciles, pathological liars, many of the vagrants and cranks, and persons with abnormal sex instincts". Also known as </w:t>
      </w:r>
      <w:r w:rsidRPr="00F933AF">
        <w:rPr>
          <w:rStyle w:val="StyleUnderline"/>
          <w:rFonts w:cs="Calibri"/>
        </w:rPr>
        <w:t>the Asiatic Barred Zone Act or the Literacy Test Act, this legislation barred immigration from much of the continent of Asia</w:t>
      </w:r>
      <w:r w:rsidRPr="00F933AF">
        <w:rPr>
          <w:rFonts w:cs="Calibri"/>
          <w:sz w:val="16"/>
        </w:rPr>
        <w:t xml:space="preserve"> (excluding Japan, eastern China and the Philippines), </w:t>
      </w:r>
      <w:r w:rsidRPr="00F933AF">
        <w:rPr>
          <w:rStyle w:val="StyleUnderline"/>
          <w:rFonts w:cs="Calibri"/>
        </w:rPr>
        <w:t>and islands off the coasts of the continent. It also implemented a literacy test for the first time. This long history of excluding immigrants on the basis of perceived or real disabilities set the stage for another form of immigration exclusion: immigration quotas on the basis of national origin.</w:t>
      </w:r>
      <w:r w:rsidRPr="00F933AF">
        <w:rPr>
          <w:rFonts w:cs="Calibri"/>
          <w:sz w:val="16"/>
        </w:rPr>
        <w:t xml:space="preserve"> Enacted for the first time in the Immigration Act of 1924, these quotas had the effect of severely limiting immigration from southern and Eastern Europe. Notably, southern and Eastern Europeans did not fit the US racial formation of whiteness at the time. Moreover, </w:t>
      </w:r>
      <w:r w:rsidRPr="00F933AF">
        <w:rPr>
          <w:rStyle w:val="StyleUnderline"/>
          <w:rFonts w:cs="Calibri"/>
        </w:rPr>
        <w:t>ethnic groups from the region, such as Italians</w:t>
      </w:r>
      <w:r w:rsidRPr="00F933AF">
        <w:rPr>
          <w:rFonts w:cs="Calibri"/>
          <w:sz w:val="16"/>
        </w:rPr>
        <w:t xml:space="preserve"> ("dwarfish"), Jews ("very poor in physique ... the polar opposite of our pioneer breed"), Portuguese, Greeks and Syrians ("undersized"), and Slavs ("slow-witted"), </w:t>
      </w:r>
      <w:r w:rsidRPr="00F933AF">
        <w:rPr>
          <w:rStyle w:val="StyleUnderline"/>
          <w:rFonts w:cs="Calibri"/>
        </w:rPr>
        <w:t>were barred entry on the basis of their supposed pathologies and their characterisation as "defective races".</w:t>
      </w:r>
      <w:r w:rsidRPr="00F933AF">
        <w:rPr>
          <w:rFonts w:cs="Calibri"/>
          <w:sz w:val="16"/>
        </w:rPr>
        <w:t xml:space="preserve"> </w:t>
      </w:r>
      <w:r w:rsidRPr="00F933AF">
        <w:rPr>
          <w:rStyle w:val="StyleUnderline"/>
          <w:rFonts w:cs="Calibri"/>
        </w:rPr>
        <w:t>The Immigration and Nationality Act of 1990, which established Temporary Protection Status and the Diversity Visa programmes, also finally lifted the ban on "sexual deviants", which targeted LGBTQIA+ people</w:t>
      </w:r>
      <w:r w:rsidRPr="00F933AF">
        <w:rPr>
          <w:rFonts w:cs="Calibri"/>
          <w:sz w:val="16"/>
        </w:rPr>
        <w:t xml:space="preserve">. In 2009, the ban on US immigration for HIV+ individuals was finally lifted, after being in place for 22 years. This </w:t>
      </w:r>
      <w:r w:rsidRPr="00F933AF">
        <w:rPr>
          <w:rStyle w:val="StyleUnderline"/>
          <w:rFonts w:cs="Calibri"/>
        </w:rPr>
        <w:t>discriminatory law disproportionately targeted LGBTQIA+ immigrants and stifled research into HIV and AIDS treatment.</w:t>
      </w:r>
      <w:r w:rsidRPr="00F933AF">
        <w:rPr>
          <w:rFonts w:cs="Calibri"/>
          <w:sz w:val="16"/>
        </w:rPr>
        <w:t xml:space="preserve"> Let us here recall President Trump's comments that Haitians "all have AIDS", which, incidentally, was reported on just a few weeks after the administration's decision to terminate TPS protections for Haitians. Ableism policies </w:t>
      </w:r>
      <w:proofErr w:type="gramStart"/>
      <w:r w:rsidRPr="00F933AF">
        <w:rPr>
          <w:rStyle w:val="Emphasis"/>
          <w:rFonts w:cs="Calibri"/>
        </w:rPr>
        <w:t>Numerous</w:t>
      </w:r>
      <w:proofErr w:type="gramEnd"/>
      <w:r w:rsidRPr="00F933AF">
        <w:rPr>
          <w:rStyle w:val="Emphasis"/>
          <w:rFonts w:cs="Calibri"/>
        </w:rPr>
        <w:t xml:space="preserve"> immigration laws to this day continue to target and violate the rights of disabled persons by subjecting them to invasive mental and physical examinations.</w:t>
      </w:r>
      <w:r w:rsidRPr="00F933AF">
        <w:rPr>
          <w:rFonts w:cs="Calibri"/>
          <w:sz w:val="16"/>
        </w:rPr>
        <w:t xml:space="preserve"> </w:t>
      </w:r>
      <w:r w:rsidRPr="00F933AF">
        <w:rPr>
          <w:rStyle w:val="StyleUnderline"/>
          <w:rFonts w:cs="Calibri"/>
        </w:rPr>
        <w:t xml:space="preserve">Whether assessed as likely to become a public charge (therefore tying their value to their ability to produce), or a threat to persons and property (potentially a burden of the state through carceral institutions), </w:t>
      </w:r>
      <w:r w:rsidRPr="00F933AF">
        <w:rPr>
          <w:rStyle w:val="Emphasis"/>
          <w:rFonts w:cs="Calibri"/>
        </w:rPr>
        <w:t xml:space="preserve">disabled people who apply for immigration to the US face numerous obstacles to admission. </w:t>
      </w:r>
      <w:r w:rsidRPr="00F933AF">
        <w:rPr>
          <w:rFonts w:cs="Calibri"/>
          <w:sz w:val="16"/>
        </w:rPr>
        <w:t xml:space="preserve">Furthermore, </w:t>
      </w:r>
      <w:r w:rsidRPr="00F933AF">
        <w:rPr>
          <w:rStyle w:val="StyleUnderline"/>
          <w:rFonts w:cs="Calibri"/>
        </w:rPr>
        <w:t xml:space="preserve">these discriminatory policies do not simply end at the border. Undocumented immigrants in the US who are mentally disabled make up about 15 percent of those in immigration detention. Abuse is rampant and unjust deportations occur often, as the immigration system does not guarantee an individual's right to due process protections that are afforded to criminal defendants. </w:t>
      </w:r>
      <w:r w:rsidRPr="00F933AF">
        <w:rPr>
          <w:rFonts w:cs="Calibri"/>
          <w:sz w:val="16"/>
        </w:rPr>
        <w:t>T</w:t>
      </w:r>
      <w:r w:rsidRPr="00F933AF">
        <w:rPr>
          <w:rStyle w:val="StyleUnderline"/>
          <w:rFonts w:cs="Calibri"/>
        </w:rPr>
        <w:t>he history of immigration to the US has ensured the fundamental quality of the country as a white supremacist-capitalist state, "protected" from an influx of disabled and "deviant" people designated as either threats or burdens.</w:t>
      </w:r>
      <w:r w:rsidRPr="00F933AF">
        <w:rPr>
          <w:rFonts w:cs="Calibri"/>
          <w:sz w:val="16"/>
        </w:rPr>
        <w:t xml:space="preserve"> </w:t>
      </w:r>
      <w:r w:rsidRPr="00F933AF">
        <w:rPr>
          <w:rStyle w:val="StyleUnderline"/>
          <w:rFonts w:cs="Calibri"/>
        </w:rPr>
        <w:t xml:space="preserve">The state's economic power rests on the perpetual existence of a large labour force that can produce at low costs. This is a process that renders disabled individuals, and particularly black, native, brown, Asian, Muslim, queer and other </w:t>
      </w:r>
      <w:r w:rsidRPr="00F933AF">
        <w:rPr>
          <w:rStyle w:val="Emphasis"/>
          <w:rFonts w:cs="Calibri"/>
        </w:rPr>
        <w:t>multiply marginalised disabled individuals, as inherently disposable.</w:t>
      </w:r>
      <w:r w:rsidRPr="00F933AF">
        <w:rPr>
          <w:rFonts w:cs="Calibri"/>
          <w:sz w:val="16"/>
        </w:rPr>
        <w:t xml:space="preserve"> </w:t>
      </w:r>
      <w:r w:rsidRPr="00F933AF">
        <w:rPr>
          <w:rStyle w:val="StyleUnderline"/>
          <w:rFonts w:cs="Calibri"/>
        </w:rPr>
        <w:t xml:space="preserve">It is a system that justifies, even celebrates, the banning of people deemed unable to "produce", "add value" or who might threaten the economy-state as a result of perceived inferiorities, deficits and deviancies. </w:t>
      </w:r>
      <w:r w:rsidRPr="00F933AF">
        <w:rPr>
          <w:rFonts w:cs="Calibri"/>
          <w:sz w:val="16"/>
        </w:rPr>
        <w:t xml:space="preserve">So, the next time arguments surrounding immigration policy are couched within a cost/benefit economic analysis, remember that these are ableist arguments made in order to determine who can produce and therefore whose lives are worthwhile. Furthermore, bear in mind that analyses of immigration history that address policies solely through a framework of racism are incomplete. Indeed, </w:t>
      </w:r>
      <w:r w:rsidRPr="00F933AF">
        <w:rPr>
          <w:rStyle w:val="Emphasis"/>
          <w:rFonts w:cs="Calibri"/>
        </w:rPr>
        <w:t>ableism is a foundational framework, along with white supremacy, that has shaped, and continues to inform, US immigration policy.</w:t>
      </w:r>
    </w:p>
    <w:p w:rsidR="00C500B6" w:rsidRPr="00F933AF" w:rsidRDefault="000664A0" w:rsidP="00C500B6">
      <w:pPr>
        <w:pStyle w:val="Heading4"/>
        <w:rPr>
          <w:rFonts w:cs="Calibri"/>
        </w:rPr>
      </w:pPr>
      <w:r>
        <w:rPr>
          <w:rFonts w:cs="Calibri"/>
        </w:rPr>
        <w:t>This</w:t>
      </w:r>
      <w:r w:rsidR="00C500B6" w:rsidRPr="00F933AF">
        <w:rPr>
          <w:rFonts w:cs="Calibri"/>
        </w:rPr>
        <w:t xml:space="preserve"> social categorization of people with disabilities have marked them as a dependent caste susceptible to stigmatization and institutionalization—the binary of able-bodied and disabled perpetuates exclusion, justifying eugenic extermination </w:t>
      </w:r>
    </w:p>
    <w:p w:rsidR="00C500B6" w:rsidRPr="00F933AF" w:rsidRDefault="00C500B6" w:rsidP="00C500B6">
      <w:pPr>
        <w:rPr>
          <w:rFonts w:cs="Calibri"/>
        </w:rPr>
      </w:pPr>
      <w:r w:rsidRPr="00F933AF">
        <w:rPr>
          <w:rFonts w:cs="Calibri"/>
          <w:b/>
        </w:rPr>
        <w:t xml:space="preserve">Bagenstos 2000 </w:t>
      </w:r>
      <w:r w:rsidRPr="00F933AF">
        <w:rPr>
          <w:rFonts w:cs="Calibri"/>
          <w:sz w:val="18"/>
          <w:szCs w:val="18"/>
        </w:rPr>
        <w:t>(Samuel R. Bagenstos, “Subordination, Stigma, and ‘Disability,’” Virginia Law Review, JSTOR, Vol. 86, No.3, April 2000, pg. 437-443)//jy</w:t>
      </w:r>
    </w:p>
    <w:p w:rsidR="007C5931" w:rsidRPr="000664A0" w:rsidRDefault="00C500B6" w:rsidP="007C5931">
      <w:pPr>
        <w:rPr>
          <w:rFonts w:cs="Calibri"/>
          <w:sz w:val="14"/>
          <w:u w:val="single"/>
        </w:rPr>
      </w:pPr>
      <w:r w:rsidRPr="00F933AF">
        <w:rPr>
          <w:rFonts w:cs="Calibri"/>
          <w:sz w:val="12"/>
        </w:rPr>
        <w:t xml:space="preserve">Erving Goffman's notion of stigma is a useful tool here. Although "stigma" refers colloquially to animus and prejudice, Goffman used the term to refer to a broader problem. He described the condition as an "undesired differentness" from what society deems to be "normal" or expected.153 Under Goffman's approach, the core aspect of stigma occurs when prevailing </w:t>
      </w:r>
      <w:r w:rsidRPr="00F933AF">
        <w:rPr>
          <w:rFonts w:cs="Calibri"/>
          <w:u w:val="single"/>
        </w:rPr>
        <w:t>social practices treat particular "undesirable" traits as universally discred- iting.</w:t>
      </w:r>
      <w:r w:rsidRPr="00F933AF">
        <w:rPr>
          <w:rFonts w:cs="Calibri"/>
          <w:sz w:val="12"/>
        </w:rPr>
        <w:t xml:space="preserve"> As Goffman emphasized, those who deal with stigmatized persons "tend to impute a wide range of imperfections on the basis of the original one."154 </w:t>
      </w:r>
      <w:r w:rsidRPr="00F933AF">
        <w:rPr>
          <w:rFonts w:cs="Calibri"/>
          <w:u w:val="single"/>
        </w:rPr>
        <w:t>As a result, people with stigmatized traits are not considered to be among the "normals" for whom society, and its institutions, are designed</w:t>
      </w:r>
      <w:r w:rsidRPr="00F933AF">
        <w:rPr>
          <w:rFonts w:cs="Calibri"/>
          <w:sz w:val="12"/>
        </w:rPr>
        <w:t xml:space="preserve">.'55 This stigma is as much racial attitudes as about the traits themselves; </w:t>
      </w:r>
      <w:r w:rsidRPr="00F933AF">
        <w:rPr>
          <w:rFonts w:cs="Calibri"/>
          <w:u w:val="single"/>
        </w:rPr>
        <w:t>even if an individual can "cure"~ a stigmatized trait, she may still not be accepted in the community of "normals.",</w:t>
      </w:r>
      <w:r w:rsidRPr="00F933AF">
        <w:rPr>
          <w:rFonts w:cs="Calibri"/>
          <w:sz w:val="12"/>
        </w:rPr>
        <w:t xml:space="preserve">156 Goffman's construct of "stigma" provides a useful tool in giving content to my subordination-based understanding of disability rights law for at least two reasons. First, Goffman's analysis strongly influenced the thoughts of many of the disability rights ac- tivists on whose work I rely.157 </w:t>
      </w:r>
      <w:proofErr w:type="gramStart"/>
      <w:r w:rsidRPr="00F933AF">
        <w:rPr>
          <w:rFonts w:cs="Calibri"/>
          <w:sz w:val="12"/>
        </w:rPr>
        <w:t>Second</w:t>
      </w:r>
      <w:proofErr w:type="gramEnd"/>
      <w:r w:rsidRPr="00F933AF">
        <w:rPr>
          <w:rFonts w:cs="Calibri"/>
          <w:sz w:val="12"/>
        </w:rPr>
        <w:t xml:space="preserve">, that analysis provides a way of connecting the animus- and stereotype-based discrimination ex- perienced by many people with disabilities with their more systemic neglect in the design of the environment. It therefore pro- vides a way of treating the three basic manifestations of disability discrimination under a single rubric, and it provides a way of predicting which types of impairments are likely to be associated with systematic deprivation of opportunities. Because Goffman wrote primarily about individual interactions between "the nor- mals" and "the stigmatized," his notion of stigma most directly helps to describe the prejudice and stereotypes people with dis- abilities experience in such interactions.158 It is especially useful in explaining the "spread effect," under which an impairment to a particular life function is seen as universally disabling.'59 But Goff- man's analysis of stigma helps to describe the society-wide neglect of people with disabilities as well.l" In particular, it helps to people with disabilities as well.1" In particular, it helps to explain why people with some impairments are likely to be systematically neglected by social decisions, and why those people are likely to be the same people as those who experience animus and stereotyp- ing."' </w:t>
      </w:r>
      <w:r w:rsidRPr="00F933AF">
        <w:rPr>
          <w:rFonts w:cs="Calibri"/>
          <w:u w:val="single"/>
        </w:rPr>
        <w:t>If stigma means that an individual is not considered to be one of "the normals," then people with stigmatized impairments are likely not to be a part of the social "norm" considered by those who design the social and physical environment. Even if the envi- ronment's "designers" do not harbor prejudiced or stereotyped thoughts about people with stigmatized conditions, they are likely not to consider their needs in the same way that they consider the needs of those who are "normal</w:t>
      </w:r>
      <w:r w:rsidRPr="00F933AF">
        <w:rPr>
          <w:rFonts w:cs="Calibri"/>
          <w:sz w:val="12"/>
        </w:rPr>
        <w:t>." Disability rights advocates have long made this precise point about "disability."'62 They have argued that "</w:t>
      </w:r>
      <w:r w:rsidRPr="00F933AF">
        <w:rPr>
          <w:rFonts w:cs="Calibri"/>
          <w:u w:val="single"/>
        </w:rPr>
        <w:t>the entire physical and social organization of life" is frequently structured as though</w:t>
      </w:r>
      <w:r w:rsidRPr="00F933AF">
        <w:rPr>
          <w:rFonts w:cs="Calibri"/>
          <w:sz w:val="12"/>
        </w:rPr>
        <w:t xml:space="preserve"> everyone were physically strong, as </w:t>
      </w:r>
      <w:r w:rsidRPr="00F933AF">
        <w:rPr>
          <w:rFonts w:cs="Calibri"/>
          <w:u w:val="single"/>
        </w:rPr>
        <w:t>though all bodies were shaped the same, as though everyone could walk, hear, and see well, as though everyone could work and play at a pace that is not com- patible with any kind of illness or pain,</w:t>
      </w:r>
      <w:r w:rsidRPr="00F933AF">
        <w:rPr>
          <w:rFonts w:cs="Calibri"/>
          <w:sz w:val="12"/>
        </w:rPr>
        <w:t xml:space="preserve"> as though no one were ever dizzy or incontinent or simply needed to sit or lie down.163 This phenomenon is most obvious in the built environment. Ar- chitects design structures with a model of the "normal" user in mind, and that model has typically been a person without any dis- cernible impairments.l" </w:t>
      </w:r>
      <w:r w:rsidRPr="00F933AF">
        <w:rPr>
          <w:rFonts w:cs="Calibri"/>
          <w:u w:val="single"/>
        </w:rPr>
        <w:t>This "assumption of able-bodiedness as the norm''</w:t>
      </w:r>
      <w:r w:rsidRPr="00F933AF">
        <w:rPr>
          <w:rFonts w:cs="Calibri"/>
          <w:sz w:val="12"/>
        </w:rPr>
        <w:t xml:space="preserve"> 65 </w:t>
      </w:r>
      <w:r w:rsidRPr="00F933AF">
        <w:rPr>
          <w:rFonts w:cs="Calibri"/>
          <w:u w:val="single"/>
        </w:rPr>
        <w:t>can be seen in buildings with unnecessary stairs, doorways that are too narrow to accommodate wheelchairs, and entrances that fail to provide any detectable warning for people with visual impairments. But the phenomenon of neglect</w:t>
      </w:r>
      <w:r w:rsidRPr="00F933AF">
        <w:rPr>
          <w:rFonts w:cs="Calibri"/>
          <w:sz w:val="12"/>
        </w:rPr>
        <w:t xml:space="preserve"> extends beyond the decisions that have constructed our physical architecture. It </w:t>
      </w:r>
      <w:r w:rsidRPr="00F933AF">
        <w:rPr>
          <w:rFonts w:cs="Calibri"/>
          <w:u w:val="single"/>
        </w:rPr>
        <w:t>affects our patterns of social organization as well</w:t>
      </w:r>
      <w:r w:rsidRPr="00F933AF">
        <w:rPr>
          <w:rFonts w:cs="Calibri"/>
          <w:sz w:val="12"/>
        </w:rPr>
        <w:t xml:space="preserve">. Among other things, it affects the structure of jobs and the means by which businesses and governments deliver services." Why have those who constructed our social and physical envi- ronment failed to consider people with disabilities as among the "normal" users? One explanation might look to the very history of prejudice and stereotypes noted by Congress. </w:t>
      </w:r>
      <w:r w:rsidRPr="00F933AF">
        <w:rPr>
          <w:rFonts w:cs="Calibri"/>
          <w:u w:val="single"/>
        </w:rPr>
        <w:t xml:space="preserve">For much of </w:t>
      </w:r>
      <w:proofErr w:type="gramStart"/>
      <w:r w:rsidRPr="00F933AF">
        <w:rPr>
          <w:rFonts w:cs="Calibri"/>
          <w:u w:val="single"/>
        </w:rPr>
        <w:t>our his</w:t>
      </w:r>
      <w:proofErr w:type="gramEnd"/>
      <w:r w:rsidRPr="00F933AF">
        <w:rPr>
          <w:rFonts w:cs="Calibri"/>
          <w:u w:val="single"/>
        </w:rPr>
        <w:t>- tory, people with a variety of physical and mental disabilities were "shunted aside, hidden, and</w:t>
      </w:r>
      <w:r w:rsidRPr="00F933AF">
        <w:rPr>
          <w:rFonts w:cs="Calibri"/>
          <w:sz w:val="12"/>
        </w:rPr>
        <w:t xml:space="preserve"> ignored."'67 People with impairments ranging from epilepsy to blindness to mental retardation were </w:t>
      </w:r>
      <w:r w:rsidRPr="00F933AF">
        <w:rPr>
          <w:rFonts w:cs="Calibri"/>
          <w:u w:val="single"/>
        </w:rPr>
        <w:t>segre-gated from the community in a collection of congregate institutions</w:t>
      </w:r>
      <w:r w:rsidRPr="00F933AF">
        <w:rPr>
          <w:rFonts w:cs="Calibri"/>
          <w:sz w:val="12"/>
        </w:rPr>
        <w:t>."</w:t>
      </w:r>
      <w:r w:rsidRPr="00F933AF">
        <w:rPr>
          <w:rFonts w:cs="Calibri"/>
          <w:u w:val="single"/>
        </w:rPr>
        <w:t>6 Such segregation "perpetuate[d] unwarranted assumptions that per- sons so isolated are incapable or unworthy of participating in community life</w:t>
      </w:r>
      <w:r w:rsidRPr="00F933AF">
        <w:rPr>
          <w:rFonts w:cs="Calibri"/>
          <w:sz w:val="12"/>
        </w:rPr>
        <w:t xml:space="preserve">."'69 </w:t>
      </w:r>
      <w:proofErr w:type="gramStart"/>
      <w:r w:rsidRPr="00F933AF">
        <w:rPr>
          <w:rFonts w:cs="Calibri"/>
          <w:sz w:val="12"/>
        </w:rPr>
        <w:t>Even</w:t>
      </w:r>
      <w:proofErr w:type="gramEnd"/>
      <w:r w:rsidRPr="00F933AF">
        <w:rPr>
          <w:rFonts w:cs="Calibri"/>
          <w:sz w:val="12"/>
        </w:rPr>
        <w:t xml:space="preserve"> among those who were not institutional- ized, people with disabilities frequently did not work, patronize businesses, or use government services outside of the home."70 (In some cases, they were required by law to stay at home; as late as 1974, some major American jurisdictions still maintained "ugly laws" that prohibited "unsightly" people-a category that encom- passed people with disabilities-from appearing in public.171) A person designing a particular building, production process, or job description could thus be forgiven for failing to think of people with disabilities as potential customers or workers. The designer might have had no particular negative attitudes toward "the dis- abled." Indeed, it might never have entered her mind that people with disabilities might wish to use her building or work in her busi- ness; she might simply have had no available model of people with disabilities as ordinary people with ordinary needs and tastes </w:t>
      </w:r>
      <w:r w:rsidRPr="00F933AF">
        <w:rPr>
          <w:rFonts w:cs="Calibri"/>
          <w:u w:val="single"/>
        </w:rPr>
        <w:t>though people with disabilities have become more and more inte- grated into society at large in the last two decades, the history of exclusion may have a particularly long "tail."</w:t>
      </w:r>
      <w:r w:rsidRPr="00F933AF">
        <w:rPr>
          <w:rFonts w:cs="Calibri"/>
          <w:sz w:val="12"/>
        </w:rPr>
        <w:t xml:space="preserve"> Buildings and proc- esses designed without people with disabilities in mind may be used for many years to come. And prejudice and stereotypes- which have themselves been fed by the absence of people with dis- abilities from the larger community'3-may linger even longer."'4 </w:t>
      </w:r>
      <w:r w:rsidRPr="00F933AF">
        <w:rPr>
          <w:rFonts w:cs="Calibri"/>
          <w:u w:val="single"/>
        </w:rPr>
        <w:t>The historic exclusion of people with disabilities from "normal" society has interacted in complex and reciprocal ways with broader ideological currents</w:t>
      </w:r>
      <w:r w:rsidRPr="00F933AF">
        <w:rPr>
          <w:rFonts w:cs="Calibri"/>
          <w:sz w:val="12"/>
        </w:rPr>
        <w:t xml:space="preserve">. Lennard Davis has argued that the notion of "norms" dates only to the development of a science of statistics in the early nineteenth century. 15 Until then, Davis contends, the place now occupied by the "norm" was held by the notion of an "ideal," which was understood to be unattainable by any human.176 But </w:t>
      </w:r>
      <w:r w:rsidRPr="00F933AF">
        <w:rPr>
          <w:rFonts w:cs="Calibri"/>
          <w:u w:val="single"/>
        </w:rPr>
        <w:t>the newfound "concept of a norm, unlike that of an ideal, implie[d] that the majority of the population must or should somehow be part of the norm</w:t>
      </w:r>
      <w:r w:rsidRPr="00F933AF">
        <w:rPr>
          <w:rFonts w:cs="Calibri"/>
          <w:sz w:val="12"/>
        </w:rPr>
        <w:t xml:space="preserve">."'77 Early statisticians made this point expressly: They argued that social institutions should be built around the broad middle group of persons who fit the social norm.178 As Davis demonstrates, </w:t>
      </w:r>
      <w:r w:rsidRPr="00F933AF">
        <w:rPr>
          <w:rFonts w:cs="Calibri"/>
          <w:u w:val="single"/>
        </w:rPr>
        <w:t>their arguments</w:t>
      </w:r>
      <w:r w:rsidRPr="00F933AF">
        <w:rPr>
          <w:rFonts w:cs="Calibri"/>
          <w:sz w:val="12"/>
        </w:rPr>
        <w:t xml:space="preserve"> both provided justification for, and drew strength from, an ideology that accorded a morally privileged position to the middle class.'79 More darkly, they </w:t>
      </w:r>
      <w:r w:rsidRPr="00F933AF">
        <w:rPr>
          <w:rFonts w:cs="Calibri"/>
          <w:u w:val="single"/>
        </w:rPr>
        <w:t>fed the eugenic ideology that led to the institutionalization and sterilization of many people whom we now label "disabled</w:t>
      </w:r>
      <w:r w:rsidRPr="00F933AF">
        <w:rPr>
          <w:rFonts w:cs="Calibri"/>
          <w:sz w:val="12"/>
        </w:rPr>
        <w:t xml:space="preserve">."" The nineteenth-century notion that institutions should be de- signed for the "norm" persists. But </w:t>
      </w:r>
      <w:r w:rsidRPr="00F933AF">
        <w:rPr>
          <w:rFonts w:cs="Calibri"/>
          <w:u w:val="single"/>
        </w:rPr>
        <w:t>our vision of "normal" human attributes has become increasingly idealized</w:t>
      </w:r>
      <w:r w:rsidRPr="00F933AF">
        <w:rPr>
          <w:rFonts w:cs="Calibri"/>
          <w:sz w:val="12"/>
        </w:rPr>
        <w:t xml:space="preserve">, as the eugenics movement (which sought "to norm the nonstandard""8') may have been the first to demonstrate. Rob Imrie's account of modernist architecture points out the effect that such an ideology of the "norm" has had on our built environment. In seeking to make form follow function, and to "tie buildings back to the scale of the hu- man being," </w:t>
      </w:r>
      <w:r w:rsidRPr="00F933AF">
        <w:rPr>
          <w:rFonts w:cs="Calibri"/>
          <w:u w:val="single"/>
        </w:rPr>
        <w:t>modernists harbored a particularly able-bodied vision of who "the human being" was</w:t>
      </w:r>
      <w:r w:rsidRPr="00F933AF">
        <w:rPr>
          <w:rFonts w:cs="Calibri"/>
          <w:sz w:val="12"/>
        </w:rPr>
        <w:t>."8 Imrie illustrates this vision by pointing to Le Corbusier's "Modular," which "utilized the propor- tions of the (able) body to enable the architect to create the built spaces.""</w:t>
      </w:r>
      <w:proofErr w:type="gramStart"/>
      <w:r w:rsidRPr="00F933AF">
        <w:rPr>
          <w:rFonts w:cs="Calibri"/>
          <w:sz w:val="12"/>
        </w:rPr>
        <w:t>l</w:t>
      </w:r>
      <w:proofErr w:type="gramEnd"/>
      <w:r w:rsidRPr="00F933AF">
        <w:rPr>
          <w:rFonts w:cs="Calibri"/>
          <w:sz w:val="12"/>
        </w:rPr>
        <w:t xml:space="preserve"> The "Modular," a diagram of a muscular six-foot tall man, was "the person for whom functionality in building design and form was being defined."'84 Many inaccessible features of today's build- ings, Imrie argues, trace directly to modernism's exclusion of people with disabilities from its idealized version of the "norm.As we move to a new millennium, we seem to believe as strongly as ever that everyone should fit an "ideal" body type. Although there are surely a variety of reasons for this development, the most notable are a consumer/advertising culture that idealizes beauty and a widespread belief in the ability of modem medicine to en- hance our mental and physical lives.1" As a result, </w:t>
      </w:r>
      <w:r w:rsidRPr="00F933AF">
        <w:rPr>
          <w:rFonts w:cs="Calibri"/>
          <w:u w:val="single"/>
        </w:rPr>
        <w:t>the ideological currents that exclude people with disabilities from our notion of the "norm" stubbornly remain with us. The stigma attached to "disability" thus both represents the leg- acy of a history of exclusion and reflects a series of broader ideological developments</w:t>
      </w:r>
      <w:r w:rsidRPr="00F933AF">
        <w:rPr>
          <w:rFonts w:cs="Calibri"/>
          <w:sz w:val="12"/>
        </w:rPr>
        <w:t xml:space="preserve">. Whatever the underlying reason for its persistence, however, that stigma can help us to understand the means by which disability-based subordination is transmitted. More importantly, stigma can serve an evidentiary function: It can help us identify cases where impairments are likely to be associated with systematic deprivation of opportunities. Seen in this light, </w:t>
      </w:r>
      <w:r w:rsidRPr="00F933AF">
        <w:rPr>
          <w:rFonts w:cs="Calibri"/>
          <w:u w:val="single"/>
        </w:rPr>
        <w:t>the "disability" category embraces those people who experience im- pairment-based stigma-that is, those people who, because of present, past, or perceived impairments, are considered by society to be outside of the "norm."</w:t>
      </w:r>
      <w:r w:rsidRPr="00F933AF">
        <w:rPr>
          <w:rFonts w:cs="Calibri"/>
          <w:sz w:val="12"/>
        </w:rPr>
        <w:t xml:space="preserve"> As Carol Gill puts it, "</w:t>
      </w:r>
      <w:r w:rsidRPr="00F933AF">
        <w:rPr>
          <w:rFonts w:cs="Calibri"/>
          <w:u w:val="single"/>
        </w:rPr>
        <w:t>disability is a marginalized status that society assigns to people who are different enough from majority cultural standards to be judged abnormal or defective in mind or body</w:t>
      </w:r>
      <w:r w:rsidRPr="00F933AF">
        <w:rPr>
          <w:rFonts w:cs="Calibri"/>
          <w:sz w:val="12"/>
        </w:rPr>
        <w:t xml:space="preserve">.""87 Although I would argue that stigma identifies and explains-but does not necessarily define-disability- based subordination, Gill's analysis substantially overlaps my own. In this view, "disability" is a group status, but it is not one de- fined by anything inherent in the members of the group. Rather, the attitudes and practices that exclude people with "disabilities" from many opportunities to participate in society are the very ones that create the "disability" category. Although individuals braced by the category have vastly different impairments and limi- tations (indeed, some have no impairment or limitation at all), what is crucial is that society treats them as essentially similar."8 In Wendell's words, "[w]idespread perceptions that people with dis- abilities are similar in very significant ways create the category, 'people with disabilities."'"89 </w:t>
      </w:r>
      <w:r w:rsidRPr="00F933AF">
        <w:rPr>
          <w:rFonts w:cs="Calibri"/>
          <w:u w:val="single"/>
        </w:rPr>
        <w:t>The widespread acts of "discrimina- tion, segregation, and denial of equal opportunity" directed at people with disabilities have effectively marked that group as a "dependent caste.”</w:t>
      </w:r>
    </w:p>
    <w:p w:rsidR="007C5931" w:rsidRPr="00F933AF" w:rsidRDefault="007C5931" w:rsidP="007C5931">
      <w:pPr>
        <w:pStyle w:val="Heading4"/>
        <w:rPr>
          <w:rFonts w:cs="Calibri"/>
        </w:rPr>
      </w:pPr>
      <w:r w:rsidRPr="00F933AF">
        <w:rPr>
          <w:rFonts w:cs="Calibri"/>
        </w:rPr>
        <w:t>Disability creates a master trope of disqualification that allows society to discriminate against certain identities based on aesthetics – this perpetuates all other forms of structural oppression</w:t>
      </w:r>
    </w:p>
    <w:p w:rsidR="007C5931" w:rsidRPr="00F933AF" w:rsidRDefault="007C5931" w:rsidP="007C5931">
      <w:pPr>
        <w:rPr>
          <w:rFonts w:cs="Calibri"/>
        </w:rPr>
      </w:pPr>
      <w:r w:rsidRPr="00F933AF">
        <w:rPr>
          <w:rStyle w:val="Style13ptBold"/>
          <w:rFonts w:cs="Calibri"/>
        </w:rPr>
        <w:t xml:space="preserve">Siebers 09 </w:t>
      </w:r>
      <w:r w:rsidRPr="00F933AF">
        <w:rPr>
          <w:rFonts w:cs="Calibri"/>
        </w:rPr>
        <w:t>(Tobin Siebers, co-chair of the Michigan University's Initiative on Disability Studies and V. L. Parrington Collegiate Professor and professor of English language and literature, and art and design, “The Aesthetics of Human Disqualification,” October 28</w:t>
      </w:r>
      <w:r w:rsidRPr="00F933AF">
        <w:rPr>
          <w:rFonts w:cs="Calibri"/>
          <w:vertAlign w:val="superscript"/>
        </w:rPr>
        <w:t>th</w:t>
      </w:r>
      <w:r w:rsidRPr="00F933AF">
        <w:rPr>
          <w:rFonts w:cs="Calibri"/>
        </w:rPr>
        <w:t xml:space="preserve"> 2009, accessed: 7/11/18, Pages 3-10)//DCai</w:t>
      </w:r>
    </w:p>
    <w:p w:rsidR="00C500B6" w:rsidRDefault="007C5931" w:rsidP="00C500B6">
      <w:pPr>
        <w:rPr>
          <w:rStyle w:val="StyleUnderline"/>
          <w:rFonts w:cs="Calibri"/>
        </w:rPr>
      </w:pPr>
      <w:r w:rsidRPr="00F933AF">
        <w:rPr>
          <w:rStyle w:val="StyleUnderline"/>
          <w:rFonts w:cs="Calibri"/>
        </w:rPr>
        <w:t>Disqualification as a symbolic process removes individuals from the ranks of quality human beings, putting them at risk of unequal treatment, bodily harm, and death</w:t>
      </w:r>
      <w:r w:rsidRPr="00F933AF">
        <w:rPr>
          <w:rFonts w:cs="Calibri"/>
          <w:sz w:val="16"/>
        </w:rPr>
        <w:t xml:space="preserve">. That </w:t>
      </w:r>
      <w:r w:rsidRPr="00F933AF">
        <w:rPr>
          <w:rStyle w:val="Emphasis"/>
          <w:rFonts w:cs="Calibri"/>
        </w:rPr>
        <w:t>people may be subjected to violence if they do not achieve a prescribed level of quality is an injustice rarely questioned</w:t>
      </w:r>
      <w:r w:rsidRPr="00F933AF">
        <w:rPr>
          <w:rFonts w:cs="Calibri"/>
          <w:sz w:val="16"/>
        </w:rPr>
        <w:t xml:space="preserve">. In fact, </w:t>
      </w:r>
      <w:r w:rsidRPr="00F933AF">
        <w:rPr>
          <w:rStyle w:val="StyleUnderline"/>
          <w:rFonts w:cs="Calibri"/>
        </w:rPr>
        <w:t>even though we may redefine what we mean by quality people, for example as historical minorities are allowed to move into their ranks, we have not yet ceased to believe that nonquality human beings do exist and that they should be treated differently from people of quality</w:t>
      </w:r>
      <w:r w:rsidRPr="00F933AF">
        <w:rPr>
          <w:rFonts w:cs="Calibri"/>
          <w:sz w:val="16"/>
        </w:rPr>
        <w:t xml:space="preserve">. Harriet McBryde Johnson’s debate with Peter Singer provides a recent example of the widespread belief in the existence of nonquality human beings (Johnson). Johnson, a disability activist, argues that all disabled people qualify as persons who have the same rights as everyone else. Singer, a moral philosopher at Princeton University, claims to the contrary that people with certain disabilities should be euthanized, especially if they are thought to be in pain, because they do not qualify as persons. Similarly, Martha Nussbaum, the University of Chicago moral philosopher, establishes a threshold below which “a fully human life, a life worthy of human dignity,” is not possible (181). In particular, she notes that the onset of certain disabilities may reduce a person to the status of former human being: “we may say of some conditions of a being, let us say a permanent vegetative state of a (former) human being, </w:t>
      </w:r>
      <w:proofErr w:type="gramStart"/>
      <w:r w:rsidRPr="00F933AF">
        <w:rPr>
          <w:rFonts w:cs="Calibri"/>
          <w:sz w:val="16"/>
        </w:rPr>
        <w:t>that</w:t>
      </w:r>
      <w:proofErr w:type="gramEnd"/>
      <w:r w:rsidRPr="00F933AF">
        <w:rPr>
          <w:rFonts w:cs="Calibri"/>
          <w:sz w:val="16"/>
        </w:rPr>
        <w:t xml:space="preserve"> this just is not a human life at all” (181). Surprisingly </w:t>
      </w:r>
      <w:r w:rsidRPr="00F933AF">
        <w:rPr>
          <w:rStyle w:val="StyleUnderline"/>
          <w:rFonts w:cs="Calibri"/>
        </w:rPr>
        <w:t>little thought and energy have been given to disputing the belief that nonquality human beings do exist.</w:t>
      </w:r>
      <w:r w:rsidRPr="00F933AF">
        <w:rPr>
          <w:rFonts w:cs="Calibri"/>
          <w:sz w:val="16"/>
        </w:rPr>
        <w:t xml:space="preserve"> This belief is so robust that it supports the most serious and characteristic injustices of our day. </w:t>
      </w:r>
      <w:r w:rsidRPr="00F933AF">
        <w:rPr>
          <w:rStyle w:val="StyleUnderline"/>
          <w:rFonts w:cs="Calibri"/>
        </w:rPr>
        <w:t>Disqualification at this moment in time justifies discrimination, servitude, imprisonment, involuntary institutionalization, euthanasia, human and civil rights violations, military intervention, compulsory sterilization, police actions, assisted suicide, capital punishment, and murder.</w:t>
      </w:r>
      <w:r w:rsidRPr="00F933AF">
        <w:rPr>
          <w:rFonts w:cs="Calibri"/>
          <w:sz w:val="16"/>
        </w:rPr>
        <w:t xml:space="preserve"> It is my contention that </w:t>
      </w:r>
      <w:r w:rsidRPr="00F933AF">
        <w:rPr>
          <w:rStyle w:val="Emphasis"/>
          <w:rFonts w:cs="Calibri"/>
        </w:rPr>
        <w:t xml:space="preserve">disqualification finds support in the way that bodies appear and in their specific appearances—that is, disqualification is justified through the accusation of mental or physical inferiority based on aesthetic principles. </w:t>
      </w:r>
      <w:r w:rsidRPr="00F933AF">
        <w:rPr>
          <w:rStyle w:val="StyleUnderline"/>
          <w:rFonts w:cs="Calibri"/>
        </w:rPr>
        <w:t>Disqualification is produced by naturalizing inferiority as the justification for unequal treatment, violence, and oppression.</w:t>
      </w:r>
      <w:r w:rsidRPr="00F933AF">
        <w:rPr>
          <w:rFonts w:cs="Calibri"/>
          <w:sz w:val="16"/>
        </w:rPr>
        <w:t xml:space="preserve"> According to Snyder and Mitchell, </w:t>
      </w:r>
      <w:r w:rsidRPr="00F933AF">
        <w:rPr>
          <w:rStyle w:val="Emphasis"/>
          <w:rFonts w:cs="Calibri"/>
        </w:rPr>
        <w:t>disability serves in the modern period as “the master trope of human disqualification.”</w:t>
      </w:r>
      <w:r w:rsidRPr="00F933AF">
        <w:rPr>
          <w:rFonts w:cs="Calibri"/>
          <w:sz w:val="16"/>
        </w:rPr>
        <w:t xml:space="preserve"> They argue that </w:t>
      </w:r>
      <w:r w:rsidRPr="00F933AF">
        <w:rPr>
          <w:rStyle w:val="StyleUnderline"/>
          <w:rFonts w:cs="Calibri"/>
        </w:rPr>
        <w:t>disability represents a marker of otherness that establishes differences between human beings not as acceptable or valuable variations but as dangerous deviations</w:t>
      </w:r>
      <w:r w:rsidRPr="00F933AF">
        <w:rPr>
          <w:rFonts w:cs="Calibri"/>
          <w:sz w:val="16"/>
        </w:rPr>
        <w:t xml:space="preserve">. Douglas Baynton provides compelling examples from the modern era, explaining that during the late nineteenth and early twentieth centuries </w:t>
      </w:r>
      <w:r w:rsidRPr="00F933AF">
        <w:rPr>
          <w:rStyle w:val="Emphasis"/>
          <w:rFonts w:cs="Calibri"/>
        </w:rPr>
        <w:t xml:space="preserve">in the United States disability identity disqualified other identities defined by gender, race, class, and nationality. </w:t>
      </w:r>
      <w:r w:rsidRPr="00F933AF">
        <w:rPr>
          <w:rStyle w:val="StyleUnderline"/>
          <w:rFonts w:cs="Calibri"/>
        </w:rPr>
        <w:t xml:space="preserve">Women were deemed inferior because they were said to have mental and physical disabilities. People of color had fewer rights than other persons based on accusations of biological inferiority. </w:t>
      </w:r>
      <w:r w:rsidRPr="00F933AF">
        <w:rPr>
          <w:rStyle w:val="Emphasis"/>
          <w:rFonts w:cs="Calibri"/>
        </w:rPr>
        <w:t>Immigrants were excluded from entry into the United States when they were poor, sick, or failed standardized tests, even though the populations already living there were poor, sick, and failed standardized tests</w:t>
      </w:r>
      <w:r w:rsidRPr="00F933AF">
        <w:rPr>
          <w:rStyle w:val="StyleUnderline"/>
          <w:rFonts w:cs="Calibri"/>
        </w:rPr>
        <w:t>.</w:t>
      </w:r>
      <w:r w:rsidRPr="00F933AF">
        <w:rPr>
          <w:rFonts w:cs="Calibri"/>
          <w:sz w:val="16"/>
        </w:rPr>
        <w:t xml:space="preserve"> In every case, </w:t>
      </w:r>
      <w:r w:rsidRPr="00F933AF">
        <w:rPr>
          <w:rStyle w:val="StyleUnderline"/>
          <w:rFonts w:cs="Calibri"/>
        </w:rPr>
        <w:t xml:space="preserve">disability identity served to justify oppression by amplifying ideas about inferiority already attached to other minority identities. Disability is the trope by which the assumed inferiority of these other minority identities achieved expression. The appearance of lesser mental and physical abilities disqualifies people as inferior and justifies their oppression. </w:t>
      </w:r>
      <w:r w:rsidRPr="00F933AF">
        <w:rPr>
          <w:rFonts w:cs="Calibri"/>
          <w:sz w:val="16"/>
        </w:rPr>
        <w:t xml:space="preserve">It is now possible to recognize disability as a trope used to posit the inferiority of certain minority populations, but it remains extremely difficult to understand that mental and physical markers of inferiority are also tropes placed in the service of disability oppression. Before disability can be used as a disqualifier, disability, too, has to be disqualified. </w:t>
      </w:r>
      <w:r w:rsidRPr="00F933AF">
        <w:rPr>
          <w:rStyle w:val="StyleUnderline"/>
          <w:rFonts w:cs="Calibri"/>
        </w:rPr>
        <w:t>Beneath the troping of blackness as inbuilt inferiority</w:t>
      </w:r>
      <w:r w:rsidRPr="00F933AF">
        <w:rPr>
          <w:rFonts w:cs="Calibri"/>
          <w:sz w:val="16"/>
        </w:rPr>
        <w:t xml:space="preserve">, for example, </w:t>
      </w:r>
      <w:r w:rsidRPr="00F933AF">
        <w:rPr>
          <w:rStyle w:val="StyleUnderline"/>
          <w:rFonts w:cs="Calibri"/>
        </w:rPr>
        <w:t xml:space="preserve">lies the troping of disability as inferior. Beneath the troping of femininity as biological deficiency lies the troping of disability as deficiency. The mental and physical properties of bodies become the natural symbols of inferiority via a process of disqualification that seems biological, not cultural—which is why disability discrimination seems to be a medical rather than a social problem. </w:t>
      </w:r>
      <w:r w:rsidRPr="00F933AF">
        <w:rPr>
          <w:rFonts w:cs="Calibri"/>
          <w:sz w:val="16"/>
        </w:rPr>
        <w:t xml:space="preserve">If we consider how difficult it is at this moment to disqualify people as inferior on the basis of their racial, sexual, gender, or class characteristics, we may come to recognize the ground that we must cover in the future before we experience the same difficulty disqualifying people as inferior on the basis of disability. We might also recognize the work that disability performs at present in situations where race, sexuality, gender, and class are used to disqualify people as physically or mentally inferior. </w:t>
      </w:r>
      <w:r w:rsidRPr="00F933AF">
        <w:rPr>
          <w:rStyle w:val="StyleUnderline"/>
          <w:rFonts w:cs="Calibri"/>
        </w:rPr>
        <w:t>Aesthetics studies the way that some bodies make other bodies feel. Bodies, minimally defined, are what appear in the world. They involve manifestations of physical appearance, whether this appearance is defined as the physical manifestation itself or as the particular appearance of a given physical manifestation.</w:t>
      </w:r>
      <w:r w:rsidRPr="00F933AF">
        <w:rPr>
          <w:rFonts w:cs="Calibri"/>
          <w:sz w:val="16"/>
        </w:rPr>
        <w:t xml:space="preserve"> Bodies include in my definition human bodies, paintings, sculpture, buildings, the entire range of human artifacts as well as animals and objects in the natural world. </w:t>
      </w:r>
      <w:r w:rsidRPr="00F933AF">
        <w:rPr>
          <w:rStyle w:val="StyleUnderline"/>
          <w:rFonts w:cs="Calibri"/>
        </w:rPr>
        <w:t>Aesthetics</w:t>
      </w:r>
      <w:r w:rsidRPr="00F933AF">
        <w:rPr>
          <w:rFonts w:cs="Calibri"/>
          <w:sz w:val="16"/>
        </w:rPr>
        <w:t xml:space="preserve">, moreover, </w:t>
      </w:r>
      <w:r w:rsidRPr="00F933AF">
        <w:rPr>
          <w:rStyle w:val="StyleUnderline"/>
          <w:rFonts w:cs="Calibri"/>
        </w:rPr>
        <w:t>has always stressed that feelings produced in bodies by other bodies are involuntary, as if they represented a form of unconscious communication between bodies, a contagious possession of one body by another.</w:t>
      </w:r>
      <w:r w:rsidRPr="00F933AF">
        <w:rPr>
          <w:rFonts w:cs="Calibri"/>
          <w:sz w:val="16"/>
        </w:rPr>
        <w:t xml:space="preserve"> </w:t>
      </w:r>
      <w:r w:rsidRPr="00F933AF">
        <w:rPr>
          <w:rStyle w:val="StyleUnderline"/>
          <w:rFonts w:cs="Calibri"/>
        </w:rPr>
        <w:t>Aesthetics is the domain in which the sensation of otherness is felt at its most powerful, strange, and frightening</w:t>
      </w:r>
      <w:r w:rsidRPr="00F933AF">
        <w:rPr>
          <w:rFonts w:cs="Calibri"/>
          <w:sz w:val="16"/>
        </w:rPr>
        <w:t xml:space="preserve">. Whether the effect is beauty and pleasure, ugliness and pain, or sublimity and terror, the emotional impact of one body on another is experienced as an assault on autonomy and a testament to the power of otherness. Aesthetics is the human science most concerned with invitations to think and feel otherwise about our own influence, interests, and imagination. Of course, </w:t>
      </w:r>
      <w:r w:rsidRPr="00F933AF">
        <w:rPr>
          <w:rStyle w:val="StyleUnderline"/>
          <w:rFonts w:cs="Calibri"/>
        </w:rPr>
        <w:t>when bodies produce feelings of pleasure or pain, they also invite judgments about whether they should be accepted or rejected in the human community.</w:t>
      </w:r>
      <w:r w:rsidRPr="00F933AF">
        <w:rPr>
          <w:rFonts w:cs="Calibri"/>
          <w:sz w:val="16"/>
        </w:rPr>
        <w:t xml:space="preserve"> </w:t>
      </w:r>
      <w:r w:rsidRPr="00F933AF">
        <w:rPr>
          <w:rStyle w:val="StyleUnderline"/>
          <w:rFonts w:cs="Calibri"/>
        </w:rPr>
        <w:t>People thought to experience more pleasure or pain than others or to produce unusual levels of pleasure and pain in other bodies are among the bodies most discriminated against, actively excluded, and violated on the current scene, be they disabled, sexed, gendered, or racialized bodies.</w:t>
      </w:r>
      <w:r w:rsidRPr="00F933AF">
        <w:rPr>
          <w:rFonts w:cs="Calibri"/>
          <w:sz w:val="16"/>
        </w:rPr>
        <w:t xml:space="preserve"> Disabled people, but also sex workers, gay, lesbian, bisexual, and transgendered people, and people of color, are tortured and killed because of beliefs about their relationship to pain and pleasure (Siebers 2009). This is why aesthetic disqualification is not merely a matter for art critics or museum directors but a political process of concern to us all. An understanding of aesthetics is crucial because it reveals the operative principles of disqualification used in minority oppression. </w:t>
      </w:r>
      <w:r w:rsidRPr="00F933AF">
        <w:rPr>
          <w:rStyle w:val="StyleUnderline"/>
          <w:rFonts w:cs="Calibri"/>
        </w:rPr>
        <w:t>Oppression is the systematic victimization of one group by another.</w:t>
      </w:r>
      <w:r w:rsidRPr="00F933AF">
        <w:rPr>
          <w:rFonts w:cs="Calibri"/>
          <w:sz w:val="16"/>
        </w:rPr>
        <w:t xml:space="preserve"> It is a form of intergroup violence. </w:t>
      </w:r>
      <w:r w:rsidRPr="00F933AF">
        <w:rPr>
          <w:rStyle w:val="StyleUnderline"/>
          <w:rFonts w:cs="Calibri"/>
        </w:rPr>
        <w:t>That oppression involves “groups,” and not “individuals,” means that it concerns identities, and this means, furthermore, that oppression always focuses on how the body appears, both on how it appears as a public and physical presence and on its specific and various appearances. Oppression is justified most often by the attribution of natural inferiority—what some call “in-built” or “biological” inferiority.</w:t>
      </w:r>
      <w:r w:rsidRPr="00F933AF">
        <w:rPr>
          <w:rFonts w:cs="Calibri"/>
          <w:sz w:val="16"/>
        </w:rPr>
        <w:t xml:space="preserve"> Natural inferiority is always somatic, focusing on the mental and physical features of the group, and it figures as disability. The prototype of biological inferiority is disability. The representation of inferiority always comes back to the appearance of the body and the way the body makes other bodies feel. This is why the study of oppression requires an understanding of aesthetics—not only because oppression uses aesthetic judgments for its violence but also because the signposts of how oppression works are visible in the history of art, where aesthetic judgments about the creation and appreciation of bodies are openly discussed. One additional thought must be noted before I treat some analytic examples from the historical record. First, despite my statement that </w:t>
      </w:r>
      <w:r w:rsidRPr="00F933AF">
        <w:rPr>
          <w:rStyle w:val="StyleUnderline"/>
          <w:rFonts w:cs="Calibri"/>
        </w:rPr>
        <w:t>disability now serves as the master trope of human disqualification, it is not a matter of reducing other minority identities to disability identity</w:t>
      </w:r>
      <w:r w:rsidRPr="00F933AF">
        <w:rPr>
          <w:rFonts w:cs="Calibri"/>
          <w:sz w:val="16"/>
        </w:rPr>
        <w:t xml:space="preserve">. Rather, it is a matter of understanding the work done by disability in oppressive systems. </w:t>
      </w:r>
      <w:r w:rsidRPr="00F933AF">
        <w:rPr>
          <w:rStyle w:val="StyleUnderline"/>
          <w:rFonts w:cs="Calibri"/>
        </w:rPr>
        <w:t xml:space="preserve">In disability oppression, </w:t>
      </w:r>
      <w:r w:rsidRPr="00F933AF">
        <w:rPr>
          <w:rStyle w:val="Emphasis"/>
          <w:rFonts w:cs="Calibri"/>
        </w:rPr>
        <w:t>the physical and mental properties of the body are socially constructed as disqualifying defects, but this specific type of social construction happens to be integral at the present moment to the symbolic requirements of oppression in general</w:t>
      </w:r>
      <w:r w:rsidRPr="00F933AF">
        <w:rPr>
          <w:rFonts w:cs="Calibri"/>
          <w:sz w:val="16"/>
        </w:rPr>
        <w:t xml:space="preserve">. In every oppressive system of our day, I want to claim, </w:t>
      </w:r>
      <w:r w:rsidRPr="00F933AF">
        <w:rPr>
          <w:rStyle w:val="StyleUnderline"/>
          <w:rFonts w:cs="Calibri"/>
        </w:rPr>
        <w:t>the oppressed identity is represented in some way as disabled, and although it is hard to understand, the same process obtains when disability is the oppressed identity. “Racism” disqualifies on the basis of race, providing justification for the inferiority of certain skin colors, bloodlines, and physical features. “Sexism” disqualifies on the basis of sex/gender as a direct representation of mental and physical inferiority. “Classism” disqualifies on the basis of family lineage and socioeconomic power as proof of inferior genealogical status. “Ableism” disqualifies on the basis of mental and physical differences, first selecting and then stigmatizing them as disabilities</w:t>
      </w:r>
      <w:r w:rsidRPr="00F933AF">
        <w:rPr>
          <w:rFonts w:cs="Calibri"/>
          <w:sz w:val="16"/>
        </w:rPr>
        <w:t xml:space="preserve">. </w:t>
      </w:r>
      <w:r w:rsidRPr="00F933AF">
        <w:rPr>
          <w:rStyle w:val="Emphasis"/>
          <w:rFonts w:cs="Calibri"/>
        </w:rPr>
        <w:t xml:space="preserve">The oppressive system occults in each case the fact that the disqualified identity is socially constructed, a mere convention, representing signs of incompetence, weakness, or inferiority as undeniable facts of nature. </w:t>
      </w:r>
      <w:r w:rsidRPr="00F933AF">
        <w:rPr>
          <w:rFonts w:cs="Calibri"/>
          <w:sz w:val="16"/>
        </w:rPr>
        <w:t xml:space="preserve">As racism, sexism, and classism fall away slowly as justifications for human inferiority—and the critiques of these prejudices prove powerful examples of how to fight oppression—the prejudice against disability remains in full force, providing seemingly credible reasons for the belief in human inferiority and the oppressive systems built upon it. This usage will continue, I expect, until we reach a historical moment when we know as much about the social construction of disability as we now know about the social construction of race, class, gender, and sexuality. </w:t>
      </w:r>
      <w:r w:rsidRPr="00F933AF">
        <w:rPr>
          <w:rStyle w:val="StyleUnderline"/>
          <w:rFonts w:cs="Calibri"/>
        </w:rPr>
        <w:t>Disability represents at this moment in time the final frontier of justifiable human inferiority.</w:t>
      </w:r>
    </w:p>
    <w:p w:rsidR="000664A0" w:rsidRPr="00F933AF" w:rsidRDefault="000664A0" w:rsidP="000664A0">
      <w:pPr>
        <w:pStyle w:val="Heading4"/>
        <w:rPr>
          <w:rFonts w:cs="Calibri"/>
        </w:rPr>
      </w:pPr>
      <w:r w:rsidRPr="00F933AF">
        <w:rPr>
          <w:rFonts w:cs="Calibri"/>
        </w:rPr>
        <w:t>Public charge rule continues historical ableism and sexism in immigration inspection</w:t>
      </w:r>
    </w:p>
    <w:p w:rsidR="000664A0" w:rsidRPr="00F933AF" w:rsidRDefault="000664A0" w:rsidP="000664A0">
      <w:pPr>
        <w:rPr>
          <w:rFonts w:cs="Calibri"/>
        </w:rPr>
      </w:pPr>
      <w:r w:rsidRPr="00F933AF">
        <w:rPr>
          <w:rStyle w:val="Style13ptBold"/>
          <w:rFonts w:cs="Calibri"/>
        </w:rPr>
        <w:t>Galusca 9</w:t>
      </w:r>
      <w:r w:rsidRPr="00F933AF">
        <w:rPr>
          <w:rFonts w:cs="Calibri"/>
        </w:rPr>
        <w:t xml:space="preserve"> (Roxana Galusca, PhD in media and cultural studies from the University of Michigan, </w:t>
      </w:r>
      <w:proofErr w:type="gramStart"/>
      <w:r w:rsidRPr="00F933AF">
        <w:rPr>
          <w:rFonts w:cs="Calibri"/>
        </w:rPr>
        <w:t>Spring</w:t>
      </w:r>
      <w:proofErr w:type="gramEnd"/>
      <w:r w:rsidRPr="00F933AF">
        <w:rPr>
          <w:rFonts w:cs="Calibri"/>
        </w:rPr>
        <w:t xml:space="preserve"> 2009, “From Fictive Ability to National Identity: Disability, Medical Inspection, and Public Health Regulations on Ellis Island”, Cultural Critique, No. 72, University of Minnesota Press, JSOTR)/CWB</w:t>
      </w:r>
    </w:p>
    <w:p w:rsidR="000664A0" w:rsidRPr="000664A0" w:rsidRDefault="000664A0" w:rsidP="00C500B6">
      <w:pPr>
        <w:rPr>
          <w:rStyle w:val="Style13ptBold"/>
          <w:rFonts w:cs="Calibri"/>
          <w:b w:val="0"/>
          <w:sz w:val="16"/>
        </w:rPr>
      </w:pPr>
      <w:r w:rsidRPr="00F933AF">
        <w:rPr>
          <w:rStyle w:val="StyleUnderline"/>
          <w:rFonts w:cs="Calibri"/>
        </w:rPr>
        <w:t>The assimilation of immigrants according to the ideology of able bodiedness gained renewed force</w:t>
      </w:r>
      <w:r w:rsidRPr="00F933AF">
        <w:rPr>
          <w:rFonts w:cs="Calibri"/>
          <w:sz w:val="16"/>
        </w:rPr>
        <w:t xml:space="preserve"> in the aftermath of the Immigration Act of 1907, a </w:t>
      </w:r>
      <w:r w:rsidRPr="00F933AF">
        <w:rPr>
          <w:rStyle w:val="StyleUnderline"/>
          <w:rFonts w:cs="Calibri"/>
        </w:rPr>
        <w:t xml:space="preserve">statute that expanded the class of deportable chronic disabilities to comprise any impairment likely to make the immigrant reliant on the nation's socio-economic resources </w:t>
      </w:r>
      <w:r w:rsidRPr="00F933AF">
        <w:rPr>
          <w:rFonts w:cs="Calibri"/>
          <w:sz w:val="16"/>
        </w:rPr>
        <w:t xml:space="preserve">(Markel and Stern, 1319). In the early years of the twentieth century, as Markel and Stern demonstrate, </w:t>
      </w:r>
      <w:r w:rsidRPr="00F933AF">
        <w:rPr>
          <w:rStyle w:val="StyleUnderline"/>
          <w:rFonts w:cs="Calibri"/>
        </w:rPr>
        <w:t>epidemics no longer represent the main reason for rejection at ports of entry; with the advent of technology, a new set of physical and cognitive "impairments" mushrooms on the medical charts, from feeblemindedness and illiteracy to constitutional weakness and an endless list of other conditions that fall under the label of chronic disabilities and render those affected "public charges"</w:t>
      </w:r>
      <w:r w:rsidRPr="00F933AF">
        <w:rPr>
          <w:rFonts w:cs="Calibri"/>
          <w:sz w:val="16"/>
        </w:rPr>
        <w:t xml:space="preserve"> (1316). Under these circumstances, previous epidemic taxonomies change shape and meaning and are rearticulated to fit the newly </w:t>
      </w:r>
      <w:r w:rsidRPr="00F933AF">
        <w:rPr>
          <w:rStyle w:val="StyleUnderline"/>
          <w:rFonts w:cs="Calibri"/>
        </w:rPr>
        <w:t>ratified category of "liable to become a public charge" a dependency rhetoric, deployed at ports of entry to reject anyone unable to lead an independent existence and purportedly to earn a living. According to a disability-informed social critique, the rejection of dependency not only misunderstands the inherently dependent nature of all social relations but also imagines independence based on ableist conceptions of the mind and body, thereby insinuating an exaggerated and untenable ideal of individual autonomy into citizenship norms and healthcare practices</w:t>
      </w:r>
      <w:r w:rsidRPr="00F933AF">
        <w:rPr>
          <w:rFonts w:cs="Calibri"/>
          <w:sz w:val="16"/>
        </w:rPr>
        <w:t xml:space="preserve">.6 Because of its insistence on autonomy and self-sufficiency, the Ellis Island dependency </w:t>
      </w:r>
      <w:r w:rsidRPr="00F933AF">
        <w:rPr>
          <w:rStyle w:val="StyleUnderline"/>
          <w:rFonts w:cs="Calibri"/>
        </w:rPr>
        <w:t>rhetoric enforced an ableist approach to civic participation and rendered immigrants ineligible for landing</w:t>
      </w:r>
      <w:r w:rsidRPr="00F933AF">
        <w:rPr>
          <w:rFonts w:cs="Calibri"/>
          <w:sz w:val="16"/>
        </w:rPr>
        <w:t xml:space="preserve"> even when family already in the United States testified on their behalf and promised financial support. </w:t>
      </w:r>
      <w:r w:rsidRPr="00F933AF">
        <w:rPr>
          <w:rStyle w:val="StyleUnderline"/>
          <w:rFonts w:cs="Calibri"/>
        </w:rPr>
        <w:t>The effects</w:t>
      </w:r>
      <w:r w:rsidRPr="00F933AF">
        <w:rPr>
          <w:rFonts w:cs="Calibri"/>
          <w:sz w:val="16"/>
        </w:rPr>
        <w:t xml:space="preserve"> of the Immigration Act of 1907 </w:t>
      </w:r>
      <w:r w:rsidRPr="00F933AF">
        <w:rPr>
          <w:rStyle w:val="StyleUnderline"/>
          <w:rFonts w:cs="Calibri"/>
        </w:rPr>
        <w:t>were immediate and devastating</w:t>
      </w:r>
      <w:r w:rsidRPr="00F933AF">
        <w:rPr>
          <w:rFonts w:cs="Calibri"/>
          <w:sz w:val="16"/>
        </w:rPr>
        <w:t xml:space="preserve">. The percentage of those excluded based on medical criteria increased from 2 percent in 1898 to 57 percent in 1913 and 69 per cent in 1915, </w:t>
      </w:r>
      <w:r w:rsidRPr="00F933AF">
        <w:rPr>
          <w:rStyle w:val="StyleUnderline"/>
          <w:rFonts w:cs="Calibri"/>
        </w:rPr>
        <w:t>elevating the dependency rhetoric to the religiosity of a mantra</w:t>
      </w:r>
      <w:r w:rsidRPr="00F933AF">
        <w:rPr>
          <w:rFonts w:cs="Calibri"/>
          <w:sz w:val="16"/>
        </w:rPr>
        <w:t xml:space="preserve"> on Ellis Island (Markel and Stern, 1319). </w:t>
      </w:r>
      <w:r w:rsidRPr="00F933AF">
        <w:rPr>
          <w:rStyle w:val="StyleUnderline"/>
          <w:rFonts w:cs="Calibri"/>
        </w:rPr>
        <w:t>The problem, however, did not lie in the inspectors' frequent recourse to the discourse of individual autonomy; in effect, it was the equivocal formulation of a verdict such as "liable to become a public charge" that enabled inspectors to use it randomly and invent diagnoses at a quick glance. The vague articulation of the dependency casuistry transformed the medical inspection into a flexible and contingent process whose production of new diagnoses sprang from sociopolitical circumstances and was inflected by inspectors' prejudices. The inspectors' vulgar epistemologies operated to reduce the heterogeneous masses of immigrants to the category of the "alien disabled other" and therefore "a public charge" and deportable, reinforcing a seamless dogma of normalcy. Under these circumstances, pregnancy, in particular, posed a series of problems for immigration inspectors because the alleged dependency of women in general and of pregnant women in particular dubbed them "liable to become a public charge" before landing.</w:t>
      </w:r>
      <w:r w:rsidRPr="00F933AF">
        <w:rPr>
          <w:rFonts w:cs="Calibri"/>
          <w:sz w:val="16"/>
        </w:rPr>
        <w:t xml:space="preserve"> In addition, a pregnancy occurring outside marriage </w:t>
      </w:r>
      <w:r w:rsidRPr="00F933AF">
        <w:rPr>
          <w:rStyle w:val="StyleUnderline"/>
          <w:rFonts w:cs="Calibri"/>
        </w:rPr>
        <w:t>placed pregnant women in the category of morally corrupt outlaws.</w:t>
      </w:r>
      <w:r w:rsidRPr="00F933AF">
        <w:rPr>
          <w:rFonts w:cs="Calibri"/>
          <w:sz w:val="16"/>
        </w:rPr>
        <w:t xml:space="preserve"> </w:t>
      </w:r>
      <w:r w:rsidRPr="00F933AF">
        <w:rPr>
          <w:rStyle w:val="StyleUnderline"/>
          <w:rFonts w:cs="Calibri"/>
        </w:rPr>
        <w:t>National fears of dependent newcomers circumscribed women's bodies within a national discourse on healthy mothers and pure wives. In the process, women's reproduction and sexuality entered an imaginary social contract with the receiving nation-state, their own bodies and gender coded identities becoming public property that could be openly negotiated and exchanged within the sociopolitical agenda of the state. In the words of Floya Anthias and Nira Yuval-Davis, "the nation becomes gendered, and women's sexuality becomes nationalized. Nation is equated with the male subject position, and women's sexuality is reified as the property of the male nation"</w:t>
      </w:r>
      <w:r w:rsidRPr="00F933AF">
        <w:rPr>
          <w:rFonts w:cs="Calibri"/>
          <w:sz w:val="16"/>
        </w:rPr>
        <w:t xml:space="preserve"> (Luibheid, xix). It is not surprising, then, that </w:t>
      </w:r>
      <w:r w:rsidRPr="00F933AF">
        <w:rPr>
          <w:rStyle w:val="StyleUnderline"/>
          <w:rFonts w:cs="Calibri"/>
        </w:rPr>
        <w:t>Catherine Dolan, a pregnant unmarried woman, found herself deported on charges of being "liable to become a public charge," guilty of both pregnancy and unguarded sexuality</w:t>
      </w:r>
      <w:r w:rsidRPr="00F933AF">
        <w:rPr>
          <w:rFonts w:cs="Calibri"/>
          <w:sz w:val="16"/>
        </w:rPr>
        <w:t xml:space="preserve"> (3-6). Even less extraordinary is immigration officials' response to the case of Mexican immigrant Alejandra Veles, who arrived in New York by steamship. Alejandra's male costume and boyish appearance proved to be a ruse when inspectors discovered that she was a young woman. As a consequence of her scandalous act and appearance, they ordered her immediately deported (11-12). More significantly, the ultimate goal of Ellis Island inspectors, in close relation to the freshly invented </w:t>
      </w:r>
      <w:r w:rsidRPr="00F933AF">
        <w:rPr>
          <w:rStyle w:val="StyleUnderline"/>
          <w:rFonts w:cs="Calibri"/>
        </w:rPr>
        <w:t>dependency rhetoric</w:t>
      </w:r>
      <w:r w:rsidRPr="00F933AF">
        <w:rPr>
          <w:rFonts w:cs="Calibri"/>
          <w:sz w:val="16"/>
        </w:rPr>
        <w:t xml:space="preserve">, was to make visible the invisible. If, during the initial years of Ellis Island, visibility </w:t>
      </w:r>
      <w:r w:rsidRPr="00F933AF">
        <w:rPr>
          <w:rStyle w:val="StyleUnderline"/>
          <w:rFonts w:cs="Calibri"/>
        </w:rPr>
        <w:t xml:space="preserve">characterized most immigrants' conditions, with the rising concern for immigrants' dependent status, </w:t>
      </w:r>
      <w:r w:rsidRPr="00F933AF">
        <w:rPr>
          <w:rFonts w:cs="Calibri"/>
          <w:sz w:val="16"/>
        </w:rPr>
        <w:t xml:space="preserve">Ellis Island doctors began to </w:t>
      </w:r>
      <w:r w:rsidRPr="00F933AF">
        <w:rPr>
          <w:rStyle w:val="StyleUnderline"/>
          <w:rFonts w:cs="Calibri"/>
        </w:rPr>
        <w:t>focus on the inconspicuous aspects of diseases and disabilities. The main strategy was to gaze at immigrants for imperceptible flaws, peer into immigrants' past lives, and watch intently for any sign of impairment otherwise not easily noticeable. At the end of this thorough investigation, the invisible was brought to light, and more often than not, imagined and invented by inspectors, despite immigrants' apparent healthiness and "normality."</w:t>
      </w:r>
      <w:r w:rsidRPr="00F933AF">
        <w:rPr>
          <w:rFonts w:cs="Calibri"/>
          <w:sz w:val="16"/>
        </w:rPr>
        <w:t xml:space="preserve"> From the moment they set foot on the island, the immigrants were under constant scrutiny, secretly watched by inspectors' well-trained eyes for any sign of physical or cognitive impairment. According to Alan Kraut, the U.S. Marine Hospital Service physician was "anxious to scrutinize the new-comer under conditions of physical stress such as that produced by carrying luggage up a flight of stairs. Hands, eyes, and throat were observed. The heart of an immigrant who had toted even light baggage up the stairs could be easily judged strong or weak, and the exertion would reveal deformities and defective postures" (54). Sometimes, one could be pulled aside only for looking absent-minded (Ellis Island). The 1913 regulation on the "Immigrant Examination Procedure at Ellis Island" established the medical gaze as the final authority in deciding the immigrants' destinies. The document read as a forceful statement that legitimated the medical gaze and </w:t>
      </w:r>
      <w:r w:rsidRPr="00F933AF">
        <w:rPr>
          <w:rStyle w:val="StyleUnderline"/>
          <w:rFonts w:cs="Calibri"/>
        </w:rPr>
        <w:t>transformed the immigrant into an experimental immobile site</w:t>
      </w:r>
      <w:r w:rsidRPr="00F933AF">
        <w:rPr>
          <w:rFonts w:cs="Calibri"/>
          <w:sz w:val="16"/>
        </w:rPr>
        <w:t xml:space="preserve">. According to this guide, at the immigrants' approach, the doctors begin to size up each immigrant. First they survey him as a whole. If the general impression is favourable they cast their eyes at his feet, to see if they are all right. Then come his legs, his body, his hands, his arms, his face, his eyes, and his head. While the immigrant has been walking the twenty feet the doctors have asked and answered in their own minds several hundred questions. If the immigrant reveals any intimation of any disease, if he has any deformity, even down to a crooked finger, the fact is noticed. (Unrau, 548) The medical </w:t>
      </w:r>
      <w:r w:rsidRPr="00F933AF">
        <w:rPr>
          <w:rStyle w:val="StyleUnderline"/>
          <w:rFonts w:cs="Calibri"/>
        </w:rPr>
        <w:t>inspections</w:t>
      </w:r>
      <w:r w:rsidRPr="00F933AF">
        <w:rPr>
          <w:rFonts w:cs="Calibri"/>
          <w:sz w:val="16"/>
        </w:rPr>
        <w:t xml:space="preserve"> on the island, and their </w:t>
      </w:r>
      <w:r w:rsidRPr="00F933AF">
        <w:rPr>
          <w:rStyle w:val="StyleUnderline"/>
          <w:rFonts w:cs="Calibri"/>
        </w:rPr>
        <w:t>promot</w:t>
      </w:r>
      <w:r w:rsidRPr="00F933AF">
        <w:rPr>
          <w:rFonts w:cs="Calibri"/>
          <w:sz w:val="16"/>
        </w:rPr>
        <w:t xml:space="preserve">ion of </w:t>
      </w:r>
      <w:r w:rsidRPr="00F933AF">
        <w:rPr>
          <w:rStyle w:val="StyleUnderline"/>
          <w:rFonts w:cs="Calibri"/>
        </w:rPr>
        <w:t>able bodiedness</w:t>
      </w:r>
      <w:r w:rsidRPr="00F933AF">
        <w:rPr>
          <w:rFonts w:cs="Calibri"/>
          <w:sz w:val="16"/>
        </w:rPr>
        <w:t xml:space="preserve">, illustrate what Rosemarie Garland-Thomson names, in a different context, </w:t>
      </w:r>
      <w:r w:rsidRPr="00F933AF">
        <w:rPr>
          <w:rStyle w:val="StyleUnderline"/>
          <w:rFonts w:cs="Calibri"/>
        </w:rPr>
        <w:t>the "ability/disability system."</w:t>
      </w:r>
      <w:r w:rsidRPr="00F933AF">
        <w:rPr>
          <w:rFonts w:cs="Calibri"/>
          <w:sz w:val="16"/>
        </w:rPr>
        <w:t xml:space="preserve"> This system </w:t>
      </w:r>
      <w:r w:rsidRPr="00F933AF">
        <w:rPr>
          <w:rStyle w:val="StyleUnderline"/>
          <w:rFonts w:cs="Calibri"/>
        </w:rPr>
        <w:t>"produces subjects by differentiating and marking bodies," limiting in turn the access to resources and power</w:t>
      </w:r>
      <w:r w:rsidRPr="00F933AF">
        <w:rPr>
          <w:rFonts w:cs="Calibri"/>
          <w:sz w:val="16"/>
        </w:rPr>
        <w:t xml:space="preserve"> ("Integrating Disability," 5). </w:t>
      </w:r>
      <w:r w:rsidRPr="00F933AF">
        <w:rPr>
          <w:rStyle w:val="StyleUnderline"/>
          <w:rFonts w:cs="Calibri"/>
        </w:rPr>
        <w:t>Nonetheless, rather than representing a symmetrical power structure,</w:t>
      </w:r>
      <w:r w:rsidRPr="00F933AF">
        <w:rPr>
          <w:rFonts w:cs="Calibri"/>
          <w:sz w:val="16"/>
        </w:rPr>
        <w:t xml:space="preserve"> the Ellis Island </w:t>
      </w:r>
      <w:r w:rsidRPr="00F933AF">
        <w:rPr>
          <w:rStyle w:val="StyleUnderline"/>
          <w:rFonts w:cs="Calibri"/>
        </w:rPr>
        <w:t>encounters between immigrants and physicians replicated a dynamic and asymmetrical network of power relations, with the immigrant discourses challenging at times their dominant counter parts.</w:t>
      </w:r>
      <w:r w:rsidRPr="00F933AF">
        <w:rPr>
          <w:rFonts w:cs="Calibri"/>
          <w:sz w:val="16"/>
        </w:rPr>
        <w:t xml:space="preserve"> Because the notoriety of the medical inspections had reached immigrants in their own countries, travelers came prepared to face the medical investigations and deceived the physicians whenever possible. Many times they would rub the chalk marks off their coats. At other times, they would turn their coats inside out to hide the chalk marks and thus eschew further inspection (Pegler-Gordon, 203). In their turn, the inspectors were well aware that "the nonchalant individual with an overcoat over his arm" was "probably concealing an artificial arm," and that "a case of favus may be so skillfully prepared for inspection that close scrutiny [was] required to detect the evidences of recent cleansing" (203). Moreover, The Book of Instructions for the Medical Inspection of Immigrants made it the inspector's duty to divulge any attempt at hiding paraplegia in children by taking them from their parents' arms and making them stand on their feet to see whether they could walk, underscoring the responsibility of the inspector to bring to light any flaw or impairment in the immigrant (Unrau, 659). </w:t>
      </w:r>
      <w:r w:rsidRPr="00F933AF">
        <w:rPr>
          <w:rStyle w:val="StyleUnderline"/>
          <w:rFonts w:cs="Calibri"/>
        </w:rPr>
        <w:t xml:space="preserve">The immigration inspection functioned to erase immigrants' individuality, collapsing personal lives and feelings onto scientific measurements and questionnaires. Inspired by the phrenological studies of earlier centuries and prodded by the eugenic focus on healthy bodies, the inspectors </w:t>
      </w:r>
      <w:r w:rsidRPr="00F933AF">
        <w:rPr>
          <w:rFonts w:cs="Calibri"/>
          <w:sz w:val="16"/>
        </w:rPr>
        <w:t xml:space="preserve">and doctors on the island </w:t>
      </w:r>
      <w:r w:rsidRPr="00F933AF">
        <w:rPr>
          <w:rStyle w:val="StyleUnderline"/>
          <w:rFonts w:cs="Calibri"/>
        </w:rPr>
        <w:t xml:space="preserve">believed that they could decode immigrants' bodies as one could decipher some mechanism. </w:t>
      </w:r>
      <w:r w:rsidRPr="00F933AF">
        <w:rPr>
          <w:rFonts w:cs="Calibri"/>
          <w:sz w:val="16"/>
        </w:rPr>
        <w:t xml:space="preserve">They often boasted great expertise in noticing any signs of invisible impairment. Surgeon Howard Knox </w:t>
      </w:r>
      <w:r w:rsidRPr="00F933AF">
        <w:rPr>
          <w:rStyle w:val="StyleUnderline"/>
          <w:rFonts w:cs="Calibri"/>
        </w:rPr>
        <w:t>shared the belief</w:t>
      </w:r>
      <w:r w:rsidRPr="00F933AF">
        <w:rPr>
          <w:rFonts w:cs="Calibri"/>
          <w:sz w:val="16"/>
        </w:rPr>
        <w:t xml:space="preserve"> with some of his colleagues </w:t>
      </w:r>
      <w:r w:rsidRPr="00F933AF">
        <w:rPr>
          <w:rStyle w:val="StyleUnderline"/>
          <w:rFonts w:cs="Calibri"/>
        </w:rPr>
        <w:t>that the facial characteristics of immigrants could reveal</w:t>
      </w:r>
      <w:r w:rsidRPr="00F933AF">
        <w:rPr>
          <w:rFonts w:cs="Calibri"/>
          <w:sz w:val="16"/>
        </w:rPr>
        <w:t xml:space="preserve"> important information about their "nationality, temperament, occupation, </w:t>
      </w:r>
      <w:r w:rsidRPr="00F933AF">
        <w:rPr>
          <w:rStyle w:val="StyleUnderline"/>
          <w:rFonts w:cs="Calibri"/>
        </w:rPr>
        <w:t>sexual relations and</w:t>
      </w:r>
      <w:r w:rsidRPr="00F933AF">
        <w:rPr>
          <w:rFonts w:cs="Calibri"/>
          <w:sz w:val="16"/>
        </w:rPr>
        <w:t xml:space="preserve"> habits, sensuality, drug addictions . . . and such diseases as brain tumor . . . melancholia, manic depressive insanity, chorea, hydrocephalus, idiocy, imbecility, feeblemindedness, higher </w:t>
      </w:r>
      <w:r w:rsidRPr="00F933AF">
        <w:rPr>
          <w:rStyle w:val="StyleUnderline"/>
          <w:rFonts w:cs="Calibri"/>
        </w:rPr>
        <w:t>feeblemindedness</w:t>
      </w:r>
      <w:r w:rsidRPr="00F933AF">
        <w:rPr>
          <w:rFonts w:cs="Calibri"/>
          <w:sz w:val="16"/>
        </w:rPr>
        <w:t xml:space="preserve"> (moron), moral obliquity, local and other paralyses and atrophies . . . renal disease, appendicitis . . . and </w:t>
      </w:r>
      <w:r w:rsidRPr="00F933AF">
        <w:rPr>
          <w:rStyle w:val="StyleUnderline"/>
          <w:rFonts w:cs="Calibri"/>
        </w:rPr>
        <w:t>impending death</w:t>
      </w:r>
      <w:r w:rsidRPr="00F933AF">
        <w:rPr>
          <w:rFonts w:cs="Calibri"/>
          <w:sz w:val="16"/>
        </w:rPr>
        <w:t xml:space="preserve">" (Kraut, 62). The temptation to interpret corporeal signs as relevant for immigrants' medical conditions was so high that physicians turned such judgments into scientific truths. One Ellis Island physician relied heavily on his personal "invention" to identify pregnant women. According to his method, if the lock of hair on the left side of an immigrant woman's head "hung dull and lifeless over her ear, it marked her at once as possibly pregnant" (Luibheid, 9). Victor Safford, another Ellis Island doctor, underscored the importance of the inspector's trained gaze during the medical </w:t>
      </w:r>
      <w:r w:rsidRPr="00F933AF">
        <w:rPr>
          <w:rStyle w:val="StyleUnderline"/>
          <w:rFonts w:cs="Calibri"/>
        </w:rPr>
        <w:t>inspection</w:t>
      </w:r>
      <w:r w:rsidRPr="00F933AF">
        <w:rPr>
          <w:rFonts w:cs="Calibri"/>
          <w:sz w:val="16"/>
        </w:rPr>
        <w:t xml:space="preserve"> and, in graphic descriptions, </w:t>
      </w:r>
      <w:r w:rsidRPr="00F933AF">
        <w:rPr>
          <w:rStyle w:val="StyleUnderline"/>
          <w:rFonts w:cs="Calibri"/>
        </w:rPr>
        <w:t>compared the immigrant to a worn-out automobile</w:t>
      </w:r>
      <w:r w:rsidRPr="00F933AF">
        <w:rPr>
          <w:rFonts w:cs="Calibri"/>
          <w:sz w:val="16"/>
        </w:rPr>
        <w:t>: As one can see on glancing at an automobile at rest that the paint is damaged or a headlight broken or by closer examination obtain much information regarding the functioning of the carbureter [sic] or the working of the engine, so one may tell without even troubling to secure good conditions for an inspection that an immigrant has a skin disease or has lost an eye or on closer examination learn something about the condition of his heart or lungs, but the wise man who really wants to find out all he can about an automobile, or an immigrant, will want to see both in action, performing as well as the rest, and to watch both at a distance as well as to scrutinize them close at hand. (244-45)</w:t>
      </w:r>
    </w:p>
    <w:p w:rsidR="00C500B6" w:rsidRPr="00F933AF" w:rsidRDefault="00C500B6" w:rsidP="00C500B6">
      <w:pPr>
        <w:pStyle w:val="Heading4"/>
        <w:rPr>
          <w:rStyle w:val="Style13ptBold"/>
          <w:rFonts w:cs="Calibri"/>
          <w:b/>
        </w:rPr>
      </w:pPr>
      <w:r w:rsidRPr="00F933AF">
        <w:rPr>
          <w:rStyle w:val="Style13ptBold"/>
          <w:rFonts w:cs="Calibri"/>
          <w:b/>
        </w:rPr>
        <w:t xml:space="preserve">And…voting negative only feeds into the eugenic gaze that has undergirded American immigration law writ large – only the plan can provide an effective stepping stone to dismantle the status quo’s politics of eugenics </w:t>
      </w:r>
    </w:p>
    <w:p w:rsidR="00C500B6" w:rsidRPr="00F933AF" w:rsidRDefault="00C500B6" w:rsidP="00C500B6">
      <w:pPr>
        <w:rPr>
          <w:rStyle w:val="Style13ptBold"/>
          <w:rFonts w:cs="Calibri"/>
          <w:b w:val="0"/>
          <w:sz w:val="24"/>
        </w:rPr>
      </w:pPr>
      <w:r w:rsidRPr="00F933AF">
        <w:rPr>
          <w:rStyle w:val="Style13ptBold"/>
          <w:rFonts w:cs="Calibri"/>
        </w:rPr>
        <w:t>Wheeler 14</w:t>
      </w:r>
      <w:r w:rsidRPr="00F933AF">
        <w:rPr>
          <w:rStyle w:val="Style13ptBold"/>
          <w:rFonts w:cs="Calibri"/>
          <w:sz w:val="18"/>
          <w:szCs w:val="18"/>
        </w:rPr>
        <w:t xml:space="preserve"> (</w:t>
      </w:r>
      <w:r w:rsidRPr="00F933AF">
        <w:rPr>
          <w:rStyle w:val="Style13ptBold"/>
          <w:rFonts w:cs="Calibri"/>
          <w:b w:val="0"/>
          <w:sz w:val="18"/>
          <w:szCs w:val="18"/>
        </w:rPr>
        <w:t xml:space="preserve">Stephanie Kristen – Doctor of Philosophy - </w:t>
      </w:r>
      <w:r w:rsidRPr="00F933AF">
        <w:rPr>
          <w:rFonts w:cs="Calibri"/>
          <w:sz w:val="18"/>
          <w:szCs w:val="18"/>
        </w:rPr>
        <w:t>Submitted to the Office of Graduate and Professional Studies of Texas A&amp;M University “The Enfreakment of Language: Disability, Eugenics, and Rhetoric” May 2014 http://oaktrust.library.tamu.edu/bitstream/handle/1969.1/152544/WHEELER-DISSERTATION-2014.pdf?sequence=1)mr</w:t>
      </w:r>
    </w:p>
    <w:p w:rsidR="00C500B6" w:rsidRPr="007E3C82" w:rsidRDefault="00C500B6" w:rsidP="00C500B6">
      <w:pPr>
        <w:rPr>
          <w:rFonts w:cs="Calibri"/>
          <w:u w:val="single"/>
        </w:rPr>
      </w:pPr>
      <w:r w:rsidRPr="00F933AF">
        <w:rPr>
          <w:rFonts w:cs="Calibri"/>
          <w:u w:val="single"/>
        </w:rPr>
        <w:t>These concepts of “abnormality” that are rooted in ideas of recognizing “civilized” and “acceptable” bodies carried through to</w:t>
      </w:r>
      <w:r w:rsidRPr="00F933AF">
        <w:rPr>
          <w:rFonts w:cs="Calibri"/>
          <w:sz w:val="16"/>
        </w:rPr>
        <w:t xml:space="preserve"> early twentieth century </w:t>
      </w:r>
      <w:r w:rsidRPr="00F933AF">
        <w:rPr>
          <w:rFonts w:cs="Calibri"/>
          <w:u w:val="single"/>
        </w:rPr>
        <w:t>American ideas of immigration</w:t>
      </w:r>
      <w:r w:rsidRPr="00F933AF">
        <w:rPr>
          <w:rFonts w:cs="Calibri"/>
          <w:sz w:val="16"/>
        </w:rPr>
        <w:t xml:space="preserve">. </w:t>
      </w:r>
      <w:r w:rsidRPr="00F933AF">
        <w:rPr>
          <w:rFonts w:cs="Calibri"/>
          <w:u w:val="single"/>
        </w:rPr>
        <w:t>Whiteness, American, and civilized are largely formed by the logics of eugenics.</w:t>
      </w:r>
      <w:r w:rsidRPr="00F933AF">
        <w:rPr>
          <w:rFonts w:cs="Calibri"/>
          <w:sz w:val="16"/>
        </w:rPr>
        <w:t xml:space="preserve"> </w:t>
      </w:r>
      <w:r w:rsidRPr="00F933AF">
        <w:rPr>
          <w:rFonts w:cs="Calibri"/>
          <w:u w:val="single"/>
        </w:rPr>
        <w:t>In attempting to create and maintain a normality that would be distinctly “American,” systems of power were designed to identify difference through the enforcement of designated norms, and then remove those differences</w:t>
      </w:r>
      <w:r w:rsidRPr="00F933AF">
        <w:rPr>
          <w:rFonts w:cs="Calibri"/>
          <w:sz w:val="16"/>
        </w:rPr>
        <w:t xml:space="preserve">. In short, the nationalism of the United States was directly tied to what Étienne Balibar calls “the obsessional quest for a ‘core’ authenticity that cannot be found’ (60). The eugenicist logic that formed this imaginary authenticity relied on imagining what the nation was, how it was threatened, and what it could be. By creating an imagined appearance or phenotype based on genetics and environment to characterize the citizens of the United States, </w:t>
      </w:r>
      <w:r w:rsidRPr="00F933AF">
        <w:rPr>
          <w:rFonts w:cs="Calibri"/>
          <w:u w:val="single"/>
        </w:rPr>
        <w:t>this example of eugenicist logic formed the “ideal American.”</w:t>
      </w:r>
      <w:r w:rsidRPr="00F933AF">
        <w:rPr>
          <w:rFonts w:cs="Calibri"/>
          <w:sz w:val="16"/>
        </w:rPr>
        <w:t xml:space="preserve"> </w:t>
      </w:r>
      <w:r w:rsidRPr="00F933AF">
        <w:rPr>
          <w:rFonts w:cs="Calibri"/>
          <w:u w:val="single"/>
        </w:rPr>
        <w:t>Immigrants and other undesirable people threatened this imagined appearance, and from the standpoint of eugenicist logic, threatened the future of the nation by multiplying that which halted the progress and future of the United States.</w:t>
      </w:r>
      <w:r w:rsidRPr="00F933AF">
        <w:rPr>
          <w:rFonts w:cs="Calibri"/>
          <w:sz w:val="16"/>
        </w:rPr>
        <w:t xml:space="preserve"> Measures were taken to protect what was believed to be the existence of an ideal American citizen. For example, </w:t>
      </w:r>
      <w:r w:rsidRPr="00F933AF">
        <w:rPr>
          <w:rFonts w:cs="Calibri"/>
          <w:u w:val="single"/>
        </w:rPr>
        <w:t>the 1891 Immigration Act pronounced certain groups unfit to become American citizens, specifically those who risked becoming a public charge</w:t>
      </w:r>
      <w:r w:rsidRPr="00F933AF">
        <w:rPr>
          <w:rFonts w:cs="Calibri"/>
          <w:sz w:val="16"/>
        </w:rPr>
        <w:t xml:space="preserve">: Be it enacted by the Senate and House of Representatives of the United States of America in Congress assembled, </w:t>
      </w:r>
      <w:r w:rsidRPr="00F933AF">
        <w:rPr>
          <w:rFonts w:cs="Calibri"/>
          <w:u w:val="single"/>
        </w:rPr>
        <w:t>That the following classes of aliens shall be excluded from admission into the United States, in accordance with the existing acts regulating immigration</w:t>
      </w:r>
      <w:r w:rsidRPr="00F933AF">
        <w:rPr>
          <w:rFonts w:cs="Calibri"/>
          <w:sz w:val="16"/>
        </w:rPr>
        <w:t xml:space="preserve">, other than those concerning Chinese laborers: </w:t>
      </w:r>
      <w:r w:rsidRPr="00F933AF">
        <w:rPr>
          <w:rFonts w:cs="Calibri"/>
          <w:u w:val="single"/>
        </w:rPr>
        <w:t>All idiots, insane persons, paupers or persons likely to become a public charge</w:t>
      </w:r>
      <w:r w:rsidRPr="00F933AF">
        <w:rPr>
          <w:rFonts w:cs="Calibri"/>
          <w:sz w:val="16"/>
        </w:rPr>
        <w:t xml:space="preserve">, persons suffering from a 42 loathsome or a dangerous contagious disease, persons who have been convicted of a felony or other infamous crime or misdemeanor involving moral turpitude, polygamists, and also any person whose ticket or passage is paid for with the money of another or who is assisted by others to come, unless it is affirmatively and satisfactorily shown on special inquiry that such person does not belong to one of the foregoing excluded classes…(Chap. 551, Section 1) </w:t>
      </w:r>
      <w:r w:rsidRPr="00F933AF">
        <w:rPr>
          <w:rFonts w:cs="Calibri"/>
          <w:u w:val="single"/>
        </w:rPr>
        <w:t>What this law outlines is a type of eugenicist system, privileging the productive and healthy bodies, and limiting the existence of unwanted bodies in the name of producing a healthier and more industrious nation.</w:t>
      </w:r>
      <w:r w:rsidRPr="00F933AF">
        <w:rPr>
          <w:rFonts w:cs="Calibri"/>
          <w:sz w:val="16"/>
        </w:rPr>
        <w:t xml:space="preserve"> To begin, the law identifies difference through classes. The use of this term is highly suggestive of a product of what Diane B. Paul and James Moore call “the Darwinian Context.” First published in 1859, Darwin’s On the Origin of the Species argued that individuals more suited to the environment would be more likely to survive and reproduce, leaving inheritable traits to future generations. This, in turn, would lead to the process of natural selection. Distinguishing those that would be more suitable, then, depended on the methods of classification developed by naturalists. Arguing the relationship between classification and physical similarities, Darwin uses an example of the physical similarities between the Hottentot people and the “Negro race,” implying that all races of human beings are evolutionarily linked (424). The consequence of this implication is that of evolutionary human hierarchy, wherein those more suited for their environments – or for survival – would have progressed further evolutionarily than those who are unfit for survival. </w:t>
      </w:r>
      <w:r w:rsidRPr="00F933AF">
        <w:rPr>
          <w:rFonts w:cs="Calibri"/>
          <w:u w:val="single"/>
        </w:rPr>
        <w:t>To use the term classes within the context of this immigration law suggests that eugenicist logic determined how to define who was wanted and who was unwanted.</w:t>
      </w:r>
      <w:r w:rsidRPr="00F933AF">
        <w:rPr>
          <w:rFonts w:cs="Calibri"/>
          <w:sz w:val="16"/>
        </w:rPr>
        <w:t xml:space="preserve"> Furthermore, </w:t>
      </w:r>
      <w:r w:rsidRPr="00F933AF">
        <w:rPr>
          <w:rFonts w:cs="Calibri"/>
          <w:u w:val="single"/>
        </w:rPr>
        <w:t>the word itself creates a context specific to eugenicst motivation: to say that “the following classes of aliens shall be excluded admission into the United States</w:t>
      </w:r>
      <w:r w:rsidRPr="00F933AF">
        <w:rPr>
          <w:rFonts w:cs="Calibri"/>
          <w:sz w:val="16"/>
        </w:rPr>
        <w:t xml:space="preserve">,” is to say that those people who are classed are those who are unwelcome. In other words, those whose difference is recognized and designated “unwanted” are those who are denied admission into the United States.4 This law also forbade entrance to “all idiots, insane persons, paupers, or persons likely to become a public charge, [and] persons suffering from a loathsome or dangerous contagious disease.” </w:t>
      </w:r>
      <w:r w:rsidRPr="00F933AF">
        <w:rPr>
          <w:rFonts w:cs="Calibri"/>
          <w:u w:val="single"/>
        </w:rPr>
        <w:t>This discrimination of persons with disabilities is coded in medical language: idiots, insane, disease. The context of this medical language suggests that people with disabilities are people who are, and should be, feared: loathsome, dangerous, and contagious all signal the fear of disability, and relate it directly to the health of the nation and its people. To code ableism in this way is to say that persons with disabilities should be feared on the grounds that they prevent the evolutionary progress of both the nation, but of the people themselves.</w:t>
      </w:r>
      <w:r w:rsidRPr="00F933AF">
        <w:rPr>
          <w:rFonts w:cs="Calibri"/>
          <w:sz w:val="16"/>
        </w:rPr>
        <w:t xml:space="preserve"> Furthermore, </w:t>
      </w:r>
      <w:r w:rsidRPr="00F933AF">
        <w:rPr>
          <w:rFonts w:cs="Calibri"/>
          <w:u w:val="single"/>
        </w:rPr>
        <w:t>to associate disability and disease within the context of immigration is to also put those same labels onto the bodies of the immigrants themselves.</w:t>
      </w:r>
      <w:r w:rsidRPr="00F933AF">
        <w:rPr>
          <w:rFonts w:cs="Calibri"/>
          <w:sz w:val="16"/>
        </w:rPr>
        <w:t xml:space="preserve"> In other words, because the Immigration Act describes of what is not wanted and what is considered unhealthy to the nation, it is 4 Chinese laborers were excluded from this law because the Chinese Exclusion Act of 1882 explicitly forbade Chinese peoples from migrating to the United States between 1882 and 1892, on the grounds that Chinese laborers were a threat to order in certain localities. This law was extended to another ten years in 1892 under the Geary Act. 44 not insignificant that it opens up with a description of disabled bodies. </w:t>
      </w:r>
      <w:r w:rsidRPr="00F933AF">
        <w:rPr>
          <w:rFonts w:cs="Calibri"/>
          <w:u w:val="single"/>
        </w:rPr>
        <w:t>By situating what is unhealthy to the nation within the context of immigration, this act is very clearly implying that the bodies of immigrants are diseased and unhealthy.</w:t>
      </w:r>
      <w:r w:rsidRPr="00F933AF">
        <w:rPr>
          <w:rFonts w:cs="Calibri"/>
          <w:sz w:val="16"/>
        </w:rPr>
        <w:t xml:space="preserve"> </w:t>
      </w:r>
      <w:r w:rsidRPr="00F933AF">
        <w:rPr>
          <w:rFonts w:cs="Calibri"/>
          <w:u w:val="single"/>
        </w:rPr>
        <w:t>The description of who is excluded continues</w:t>
      </w:r>
      <w:r w:rsidRPr="00F933AF">
        <w:rPr>
          <w:rFonts w:cs="Calibri"/>
          <w:sz w:val="16"/>
        </w:rPr>
        <w:t xml:space="preserve">, denying entrance to those charged with a felony, misdemeanor, or any activity considered in opposition to the beliefs and standards of society, as well as those whose ticket was paid for by another – </w:t>
      </w:r>
      <w:r w:rsidRPr="00F933AF">
        <w:rPr>
          <w:rFonts w:cs="Calibri"/>
          <w:u w:val="single"/>
        </w:rPr>
        <w:t>suggesting that they could not care for themselves, or depended on the assistance of others to survive. The attempt to maintain and protect the “American norm” surfaces in the law, creating a context specific to ideas of what it means to look, think, and act like an “American.”</w:t>
      </w:r>
      <w:r w:rsidRPr="00F933AF">
        <w:rPr>
          <w:rFonts w:cs="Calibri"/>
          <w:sz w:val="16"/>
        </w:rPr>
        <w:t xml:space="preserve"> This requirement to fulfill the role of the ideal American was extended to the body. Snyder and Mitchell argue that “</w:t>
      </w:r>
      <w:r w:rsidRPr="00F933AF">
        <w:rPr>
          <w:rFonts w:cs="Calibri"/>
          <w:b/>
          <w:u w:val="single"/>
        </w:rPr>
        <w:t>this period in American history is the first to introduce disability as disruptive to rationales of national citizenship”</w:t>
      </w:r>
      <w:r w:rsidRPr="00F933AF">
        <w:rPr>
          <w:rFonts w:cs="Calibri"/>
          <w:sz w:val="16"/>
        </w:rPr>
        <w:t xml:space="preserve"> (39). Further, in an analysis of Ellis Island as a rhetorical space, specific to disability, race, and immigration, Jay Dolmage argues that “the social processing that Ellis Island engendered was all about identifying and sometimes manufacturing abnormal bodies: these elements are out of place; these bodies are disordered. Ellis Island created a physical space in which abnormality could be arrested or deposited” (26). Ellis Island – the gateway to the United States for millions of immigrants – served as a type of designating station, wherein bodies were subjected to a normalizing gaze that determined their level of difference and its relationship to the development of “the norm” in the United States. Victor Safford, a medical doctor stationed at Ellis Island describes in his memoir the motivation behind the medical inspection: 45 The scheme as it was maintained in actual operation at Ellis Island during my time there provided an opportunity for an observer to inspect an immigrant systematically both at rest and in motion at a distance of about twenty or twenty-five feet; for an observer to inspect or scrutinize the immigrant as he approached the observer, and finally after the immigrant came close at hand. Somewhere in this inspection process provision was to be made for the close examination of hands, eyes, and, if deemed advisable, of throat. No attempt was to be made on such an inspection to determine what was wrong. Suspicion that something might be wrong was alone sufficient justification for turning a person aside. (246) Part of this “scheme” of identifying “deficiencies” that Safford describes is dependent on bodily ability. From a distance, Safford and others could determine mobility impairments by observing how an immigrant carries his or her bags, causing him or her to make two right hand turns to determine muscular coordination, and stamping cards to observe how the immigrant looked at it, signaling any kind of defective vision (247-49). Once again, </w:t>
      </w:r>
      <w:r w:rsidRPr="00F933AF">
        <w:rPr>
          <w:rFonts w:cs="Calibri"/>
          <w:u w:val="single"/>
        </w:rPr>
        <w:t>eugenicist logic operates here as the logic that determines the acceptability of bodies within the context of American nationalism.</w:t>
      </w:r>
      <w:r w:rsidRPr="00F933AF">
        <w:rPr>
          <w:rFonts w:cs="Calibri"/>
          <w:sz w:val="16"/>
        </w:rPr>
        <w:t xml:space="preserve"> Indeed, Dolmage calls Ellis Island “the key laboratory and operating theater for American eugenics, the scientific racism that can be seen to define a unique era of Western era of Western history, the effects of which can still be felt today” (27). These effects highlight the fears of difference and aberration, yet the existence of this threat is precisely what maintained the idealized image of the desired American citizen. 46 The existence of terms to guide and determine the recognition of aberrance or deviance existed only because of the standard of normalcy attributed to those closest to the ideal citizen. Those deemed unworthy or unable to achieve citizenship or social participation were cast aside, but done so in a way to exhibit what the “acceptable” citizens were not. This is not unlike the logics of a freak show, wherein those deemed different or undesirable were put on display for purposes of maintaining ideas of normalcy. Eli Clare writes that “the freak show tells the story of an elaborate and calculated social construction that utilized performance and fabrication as well as deeply held cultural beliefs” (86). Indeed, as evidenced by Safford’s description of the medical examination, the bodies of immigrants were subject to a gaze that reduced them to a social construction that represented cultural beliefs about the future of the country. In The Birth of the Clinic, Foucault writes, “</w:t>
      </w:r>
      <w:r w:rsidRPr="00F933AF">
        <w:rPr>
          <w:rFonts w:cs="Calibri"/>
          <w:u w:val="single"/>
        </w:rPr>
        <w:t>the gaze is passively linked to the primary passivity that dedicates it to the endless task of absorbing experience in its entirety, and of mastering it…The gaze is no longer reductive, it is, rather, that which establishes the individual in his irreducible quality. And thus it becomes possible to organize a rational language around it</w:t>
      </w:r>
      <w:r w:rsidRPr="00F933AF">
        <w:rPr>
          <w:rFonts w:cs="Calibri"/>
          <w:sz w:val="16"/>
        </w:rPr>
        <w:t xml:space="preserve">” (xiv). The gaze of the doctor onto the bodies of immigrant peoples rendered them undesirable and unwanted. Once designated undesirable, the language of deviance was written onto their bodies, and once named, </w:t>
      </w:r>
      <w:r w:rsidRPr="00F933AF">
        <w:rPr>
          <w:rFonts w:cs="Calibri"/>
          <w:u w:val="single"/>
        </w:rPr>
        <w:t xml:space="preserve">this medical model of deviance provided the rationale for the eugenicist acts initiated by eugenicist logic. </w:t>
      </w:r>
    </w:p>
    <w:p w:rsidR="00E5343F" w:rsidRDefault="005823B6" w:rsidP="00B63751">
      <w:pPr>
        <w:pStyle w:val="Heading2"/>
      </w:pPr>
      <w:r>
        <w:t>Plan</w:t>
      </w:r>
    </w:p>
    <w:p w:rsidR="00B11F15" w:rsidRPr="00B11F15" w:rsidRDefault="00B11F15" w:rsidP="00B11F15"/>
    <w:p w:rsidR="00266AB6" w:rsidRDefault="00266AB6" w:rsidP="00266AB6">
      <w:r>
        <w:t xml:space="preserve">The United States federal government should substantially reduce public charge restrictions on legal immigration </w:t>
      </w:r>
      <w:r w:rsidR="00B11F15">
        <w:t>(</w:t>
      </w:r>
      <w:r>
        <w:t>to the United States</w:t>
      </w:r>
      <w:r w:rsidR="00B11F15">
        <w:t>)</w:t>
      </w:r>
      <w:r>
        <w:t>.</w:t>
      </w:r>
    </w:p>
    <w:p w:rsidR="00B11F15" w:rsidRDefault="00B11F15" w:rsidP="00266AB6">
      <w:bookmarkStart w:id="7" w:name="_GoBack"/>
      <w:bookmarkEnd w:id="7"/>
    </w:p>
    <w:p w:rsidR="00266AB6" w:rsidRDefault="00266AB6" w:rsidP="00266AB6">
      <w:r>
        <w:t xml:space="preserve">The United States federal government should remove/eliminate public charge restrictions on legal immigration </w:t>
      </w:r>
      <w:r w:rsidR="00B11F15">
        <w:t>(</w:t>
      </w:r>
      <w:r>
        <w:t>to the United States</w:t>
      </w:r>
      <w:r w:rsidR="00B11F15">
        <w:t>)</w:t>
      </w:r>
      <w:r>
        <w:t>.</w:t>
      </w:r>
    </w:p>
    <w:p w:rsidR="005823B6" w:rsidRPr="005823B6" w:rsidRDefault="005823B6" w:rsidP="00266AB6">
      <w:r>
        <w:t xml:space="preserve"> </w:t>
      </w:r>
    </w:p>
    <w:p w:rsidR="0067262B" w:rsidRDefault="00E5343F" w:rsidP="0067262B">
      <w:pPr>
        <w:pStyle w:val="Heading2"/>
      </w:pPr>
      <w:r w:rsidRPr="00F933AF">
        <w:t xml:space="preserve">Solvency </w:t>
      </w:r>
    </w:p>
    <w:p w:rsidR="0067262B" w:rsidRPr="0067262B" w:rsidRDefault="0067262B" w:rsidP="0067262B">
      <w:pPr>
        <w:pStyle w:val="Heading3"/>
      </w:pPr>
      <w:r>
        <w:t>Top Level</w:t>
      </w:r>
    </w:p>
    <w:p w:rsidR="007E3C82" w:rsidRPr="00F933AF" w:rsidRDefault="007E3C82" w:rsidP="007E3C82">
      <w:pPr>
        <w:pStyle w:val="Heading4"/>
        <w:rPr>
          <w:rFonts w:cs="Calibri"/>
        </w:rPr>
      </w:pPr>
      <w:r w:rsidRPr="00F933AF">
        <w:rPr>
          <w:rFonts w:cs="Calibri"/>
        </w:rPr>
        <w:t xml:space="preserve">Congressional action is necessary to preempt Trump overreach on public charge </w:t>
      </w:r>
    </w:p>
    <w:p w:rsidR="007E3C82" w:rsidRPr="00F933AF" w:rsidRDefault="00266AB6" w:rsidP="007E3C82">
      <w:pPr>
        <w:rPr>
          <w:rStyle w:val="Style13ptBold"/>
          <w:rFonts w:cs="Calibri"/>
          <w:b w:val="0"/>
        </w:rPr>
      </w:pPr>
      <w:r>
        <w:rPr>
          <w:rStyle w:val="Style13ptBold"/>
          <w:rFonts w:cs="Calibri"/>
        </w:rPr>
        <w:t xml:space="preserve">De </w:t>
      </w:r>
      <w:r w:rsidR="007E3C82" w:rsidRPr="00F933AF">
        <w:rPr>
          <w:rStyle w:val="Style13ptBold"/>
          <w:rFonts w:cs="Calibri"/>
        </w:rPr>
        <w:t xml:space="preserve">Pena and Hammond 18 </w:t>
      </w:r>
      <w:r w:rsidR="007E3C82" w:rsidRPr="007E3C82">
        <w:rPr>
          <w:rStyle w:val="Style13ptBold"/>
          <w:rFonts w:cs="Calibri"/>
          <w:b w:val="0"/>
          <w:sz w:val="18"/>
          <w:szCs w:val="18"/>
        </w:rPr>
        <w:t xml:space="preserve">(Kristine and Samuel – opinion contributors for </w:t>
      </w:r>
      <w:r w:rsidR="007E3C82" w:rsidRPr="007E3C82">
        <w:rPr>
          <w:rStyle w:val="Style13ptBold"/>
          <w:rFonts w:cs="Calibri"/>
          <w:b w:val="0"/>
          <w:i/>
          <w:sz w:val="18"/>
          <w:szCs w:val="18"/>
        </w:rPr>
        <w:t>The Hill</w:t>
      </w:r>
      <w:r w:rsidR="007E3C82" w:rsidRPr="007E3C82">
        <w:rPr>
          <w:rStyle w:val="Style13ptBold"/>
          <w:rFonts w:cs="Calibri"/>
          <w:b w:val="0"/>
          <w:sz w:val="18"/>
          <w:szCs w:val="18"/>
        </w:rPr>
        <w:t xml:space="preserve"> “Congress Can and Should Stop Trump’s Plan to Banish More Immigrants” http://thehill.com/opinion/immigration/373686-congress-can-and-should-stop-trumps-plan-to-banish-more-immigrants)mr</w:t>
      </w:r>
    </w:p>
    <w:p w:rsidR="0067262B" w:rsidRPr="0067262B" w:rsidRDefault="007E3C82" w:rsidP="0067262B">
      <w:pPr>
        <w:shd w:val="clear" w:color="auto" w:fill="FFFFFF"/>
        <w:spacing w:after="300"/>
        <w:rPr>
          <w:rFonts w:cs="Calibri"/>
          <w:color w:val="000000" w:themeColor="text1"/>
          <w:u w:val="single"/>
        </w:rPr>
      </w:pPr>
      <w:r w:rsidRPr="00F933AF">
        <w:rPr>
          <w:rFonts w:cs="Calibri"/>
          <w:color w:val="000000" w:themeColor="text1"/>
          <w:u w:val="single"/>
        </w:rPr>
        <w:t>Unless Congress intervenes, the Department of Homeland Security (DHS) is preparing to cause a massive disruption to current U.S. immigration policy in the guise of protecting the American taxpayer</w:t>
      </w:r>
      <w:r w:rsidRPr="00F933AF">
        <w:rPr>
          <w:rFonts w:cs="Calibri"/>
          <w:color w:val="000000" w:themeColor="text1"/>
          <w:sz w:val="16"/>
        </w:rPr>
        <w:t xml:space="preserve">, according to a newly leaked </w:t>
      </w:r>
      <w:hyperlink r:id="rId92" w:history="1">
        <w:r w:rsidRPr="00F933AF">
          <w:rPr>
            <w:rFonts w:cs="Calibri"/>
            <w:color w:val="000000" w:themeColor="text1"/>
            <w:sz w:val="16"/>
          </w:rPr>
          <w:t>draft</w:t>
        </w:r>
      </w:hyperlink>
      <w:r w:rsidRPr="00F933AF">
        <w:rPr>
          <w:rFonts w:cs="Calibri"/>
          <w:color w:val="000000" w:themeColor="text1"/>
          <w:sz w:val="16"/>
        </w:rPr>
        <w:t xml:space="preserve"> regulation. </w:t>
      </w:r>
      <w:r w:rsidRPr="00F933AF">
        <w:rPr>
          <w:rFonts w:cs="Calibri"/>
          <w:color w:val="000000" w:themeColor="text1"/>
          <w:u w:val="single"/>
        </w:rPr>
        <w:t>Under current law, the U.S. government reserves the right to deport or deny admission to lawful immigrants who are, or are at of risk becoming, a “public charge.”</w:t>
      </w:r>
      <w:r w:rsidRPr="00F933AF">
        <w:rPr>
          <w:rFonts w:cs="Calibri"/>
          <w:color w:val="000000" w:themeColor="text1"/>
          <w:sz w:val="16"/>
        </w:rPr>
        <w:t xml:space="preserve"> Historically, a public charge refers to a noncitizen who is “primarily dependent” on programs like cash assistance or long-term care for subsistence. </w:t>
      </w:r>
      <w:r w:rsidRPr="00F933AF">
        <w:rPr>
          <w:rFonts w:cs="Calibri"/>
          <w:color w:val="000000" w:themeColor="text1"/>
          <w:u w:val="single"/>
        </w:rPr>
        <w:t>DHS plans to issue new regulations expanding the definition of public charge to include non-citizens who are receiving, or likely eligible to receive, one of any number of means-tested public benefits.</w:t>
      </w:r>
      <w:r w:rsidRPr="00F933AF">
        <w:rPr>
          <w:rFonts w:cs="Calibri"/>
          <w:color w:val="000000" w:themeColor="text1"/>
          <w:sz w:val="16"/>
        </w:rPr>
        <w:t xml:space="preserve"> Although the regulation primarily purports to address individuals trying to come to the United States or become U.S. citizens, </w:t>
      </w:r>
      <w:r w:rsidRPr="00F933AF">
        <w:rPr>
          <w:rFonts w:cs="Calibri"/>
          <w:color w:val="000000" w:themeColor="text1"/>
          <w:u w:val="single"/>
        </w:rPr>
        <w:t xml:space="preserve">the guidance will </w:t>
      </w:r>
      <w:hyperlink r:id="rId93" w:history="1">
        <w:r w:rsidRPr="00F933AF">
          <w:rPr>
            <w:rFonts w:cs="Calibri"/>
            <w:color w:val="000000" w:themeColor="text1"/>
            <w:u w:val="single"/>
          </w:rPr>
          <w:t>likely guide</w:t>
        </w:r>
      </w:hyperlink>
      <w:r w:rsidRPr="00F933AF">
        <w:rPr>
          <w:rFonts w:cs="Calibri"/>
          <w:color w:val="000000" w:themeColor="text1"/>
          <w:u w:val="single"/>
        </w:rPr>
        <w:t xml:space="preserve"> deportability standards</w:t>
      </w:r>
      <w:r w:rsidRPr="00F933AF">
        <w:rPr>
          <w:rFonts w:cs="Calibri"/>
          <w:color w:val="000000" w:themeColor="text1"/>
          <w:sz w:val="16"/>
        </w:rPr>
        <w:t xml:space="preserve"> (reasons someone can be kicked out) as well. DHS spokesman Tyler Houlton </w:t>
      </w:r>
      <w:hyperlink r:id="rId94" w:history="1">
        <w:r w:rsidRPr="00F933AF">
          <w:rPr>
            <w:rFonts w:cs="Calibri"/>
            <w:color w:val="000000" w:themeColor="text1"/>
            <w:sz w:val="16"/>
          </w:rPr>
          <w:t>asserts</w:t>
        </w:r>
      </w:hyperlink>
      <w:r w:rsidRPr="00F933AF">
        <w:rPr>
          <w:rFonts w:cs="Calibri"/>
          <w:color w:val="000000" w:themeColor="text1"/>
          <w:sz w:val="16"/>
        </w:rPr>
        <w:t xml:space="preserve"> that the administration is concerned about taxpayer dollars, but that is a difficult proposition to swallow. Ever since the 1996 welfare reform, legal immigrants have been prohibited from receiving public benefits for at least five years after their arrival. And when non-citizens finally do become fully eligible for programs like SNAP or Medicaid, they </w:t>
      </w:r>
      <w:hyperlink r:id="rId95" w:history="1">
        <w:r w:rsidRPr="00F933AF">
          <w:rPr>
            <w:rFonts w:cs="Calibri"/>
            <w:color w:val="000000" w:themeColor="text1"/>
            <w:sz w:val="16"/>
          </w:rPr>
          <w:t>use them at substantially lower rates</w:t>
        </w:r>
      </w:hyperlink>
      <w:r w:rsidRPr="00F933AF">
        <w:rPr>
          <w:rFonts w:cs="Calibri"/>
          <w:color w:val="000000" w:themeColor="text1"/>
          <w:sz w:val="16"/>
        </w:rPr>
        <w:t xml:space="preserve">, and in significantly smaller amounts, than their native-born counterparts. According to </w:t>
      </w:r>
      <w:hyperlink r:id="rId96" w:history="1">
        <w:r w:rsidRPr="00F933AF">
          <w:rPr>
            <w:rFonts w:cs="Calibri"/>
            <w:color w:val="000000" w:themeColor="text1"/>
            <w:sz w:val="16"/>
          </w:rPr>
          <w:t>our analysis</w:t>
        </w:r>
      </w:hyperlink>
      <w:r w:rsidRPr="00F933AF">
        <w:rPr>
          <w:rFonts w:cs="Calibri"/>
          <w:color w:val="000000" w:themeColor="text1"/>
          <w:sz w:val="16"/>
        </w:rPr>
        <w:t xml:space="preserve">, the new proposal would expose as many as 1.9 million legal resident immigrants to deportation risk when they try to become U.S. citizens, merely for having accessed Medicaid or Supplemental Nutrition Assistance Program (SNAP) within the five year window under one of the exemptions mentioned below. If anything, past administrations have been more worried about immigrants declining important public benefits for which they’re eligible. Following the enactment of the five-year waiting period for public benefits, for example, U.S. regulators issued clarifying guidance to put non-citizen’s anxieties at ease, lest they avoid walking into a public hospital for fear of violating the law. There are also some exceptions to the five-year ban, added over the years to address unique state and local needs. </w:t>
      </w:r>
      <w:r w:rsidRPr="00F933AF">
        <w:rPr>
          <w:rFonts w:cs="Calibri"/>
          <w:color w:val="000000" w:themeColor="text1"/>
          <w:u w:val="single"/>
        </w:rPr>
        <w:t>Following the reauthorization of the Children’s Health Insurance Program (CHIP) in 2009, for example, Congress decided to give states the option of providing temporary Medicaid coverage to non-citizen pregnant women and children, regardless of their date of entry</w:t>
      </w:r>
      <w:r w:rsidRPr="00F933AF">
        <w:rPr>
          <w:rFonts w:cs="Calibri"/>
          <w:color w:val="000000" w:themeColor="text1"/>
          <w:sz w:val="16"/>
        </w:rPr>
        <w:t xml:space="preserve">. As of 2016, the average cost of non-citizens in Medicaid remains far below the cost for natives. </w:t>
      </w:r>
      <w:r w:rsidRPr="00F933AF">
        <w:rPr>
          <w:rFonts w:cs="Calibri"/>
          <w:color w:val="000000" w:themeColor="text1"/>
          <w:u w:val="single"/>
        </w:rPr>
        <w:t>A similar exception was made in SNAP for immigrant households with children under the age of 18, and for individuals with 40 qualifying quarters</w:t>
      </w:r>
      <w:r w:rsidRPr="00F933AF">
        <w:rPr>
          <w:rFonts w:cs="Calibri"/>
          <w:color w:val="000000" w:themeColor="text1"/>
          <w:sz w:val="16"/>
        </w:rPr>
        <w:t xml:space="preserve"> (10 years) of work history. Low-income noncitizen adults and children, including those outside the five-year waiting period, nonetheless </w:t>
      </w:r>
      <w:hyperlink r:id="rId97" w:history="1">
        <w:r w:rsidRPr="00F933AF">
          <w:rPr>
            <w:rFonts w:cs="Calibri"/>
            <w:color w:val="000000" w:themeColor="text1"/>
            <w:sz w:val="16"/>
          </w:rPr>
          <w:t>receive much less</w:t>
        </w:r>
      </w:hyperlink>
      <w:r w:rsidRPr="00F933AF">
        <w:rPr>
          <w:rFonts w:cs="Calibri"/>
          <w:color w:val="000000" w:themeColor="text1"/>
          <w:sz w:val="16"/>
        </w:rPr>
        <w:t xml:space="preserve"> in average annual SNAP benefits compared to low-income naturalized citizens and the native-born. Even citizen children of noncitizen adults receive nearly 20 percent less in nutritional assistance on average. However the new definition of public charge will be applied, we can be certain that its impact will fall disproportionately on women and children. Even benefits to U.S. citizen children would be threatened — if they are the children of immigrants. </w:t>
      </w:r>
      <w:r w:rsidRPr="00F933AF">
        <w:rPr>
          <w:rFonts w:cs="Calibri"/>
          <w:color w:val="000000" w:themeColor="text1"/>
          <w:u w:val="single"/>
        </w:rPr>
        <w:t>Across 20 years and four administrations, it has been the position of the U.S. government that any benefit used for determining a public charge must be considered in connection with the program’s broader goals.</w:t>
      </w:r>
      <w:r w:rsidRPr="00F933AF">
        <w:rPr>
          <w:rFonts w:cs="Calibri"/>
          <w:color w:val="000000" w:themeColor="text1"/>
          <w:sz w:val="16"/>
        </w:rPr>
        <w:t xml:space="preserve"> This is because educational, nutritional, and healthcare programs are seen as serving the interests of the nation as a whole — not leading the recipient to a state of </w:t>
      </w:r>
      <w:hyperlink r:id="rId98" w:history="1">
        <w:r w:rsidRPr="00F933AF">
          <w:rPr>
            <w:rFonts w:cs="Calibri"/>
            <w:color w:val="000000" w:themeColor="text1"/>
            <w:sz w:val="16"/>
          </w:rPr>
          <w:t>primary dependence</w:t>
        </w:r>
      </w:hyperlink>
      <w:r w:rsidRPr="00F933AF">
        <w:rPr>
          <w:rFonts w:cs="Calibri"/>
          <w:color w:val="000000" w:themeColor="text1"/>
          <w:sz w:val="16"/>
        </w:rPr>
        <w:t xml:space="preserve">. Rather, provision of these temporary services are often essential to helping low-income families become self-sufficient. </w:t>
      </w:r>
      <w:r w:rsidRPr="00F933AF">
        <w:rPr>
          <w:rFonts w:cs="Calibri"/>
          <w:color w:val="000000" w:themeColor="text1"/>
          <w:u w:val="single"/>
        </w:rPr>
        <w:t xml:space="preserve">Immigrants, acting legally and in good faith, already feel enormous anxiety and uncertainty living under this administration. Fortunately, this is a clear case where </w:t>
      </w:r>
      <w:r w:rsidRPr="00F933AF">
        <w:rPr>
          <w:rFonts w:cs="Calibri"/>
          <w:b/>
          <w:color w:val="000000" w:themeColor="text1"/>
          <w:u w:val="single"/>
        </w:rPr>
        <w:t>Congress can act, and should act given their legislative prerogative</w:t>
      </w:r>
      <w:r w:rsidRPr="00F933AF">
        <w:rPr>
          <w:rFonts w:cs="Calibri"/>
          <w:color w:val="000000" w:themeColor="text1"/>
          <w:u w:val="single"/>
        </w:rPr>
        <w:t>.</w:t>
      </w:r>
      <w:r w:rsidRPr="00F933AF">
        <w:rPr>
          <w:rFonts w:cs="Calibri"/>
          <w:color w:val="000000" w:themeColor="text1"/>
          <w:sz w:val="16"/>
        </w:rPr>
        <w:t xml:space="preserve"> By codifying a more complete definition of public charge into law, </w:t>
      </w:r>
      <w:r w:rsidRPr="00F933AF">
        <w:rPr>
          <w:rFonts w:cs="Calibri"/>
          <w:b/>
          <w:color w:val="000000" w:themeColor="text1"/>
          <w:u w:val="single"/>
        </w:rPr>
        <w:t>lawmakers can preempt the Trump administration’s</w:t>
      </w:r>
      <w:r w:rsidRPr="00F933AF">
        <w:rPr>
          <w:rFonts w:cs="Calibri"/>
          <w:color w:val="000000" w:themeColor="text1"/>
          <w:u w:val="single"/>
        </w:rPr>
        <w:t xml:space="preserve"> </w:t>
      </w:r>
      <w:r w:rsidRPr="00F933AF">
        <w:rPr>
          <w:rFonts w:cs="Calibri"/>
          <w:b/>
          <w:color w:val="000000" w:themeColor="text1"/>
          <w:u w:val="single"/>
        </w:rPr>
        <w:t>overreach before it leaves draft form</w:t>
      </w:r>
      <w:r w:rsidRPr="00F933AF">
        <w:rPr>
          <w:rFonts w:cs="Calibri"/>
          <w:color w:val="000000" w:themeColor="text1"/>
          <w:u w:val="single"/>
        </w:rPr>
        <w:t>, and we’re forced to amend the Statue of Liberty inscription to say, “Give me your tired, your poor, your huddled masses...” so that they may be sent back from whence they came.</w:t>
      </w:r>
    </w:p>
    <w:p w:rsidR="00A00B43" w:rsidRDefault="00A00B43" w:rsidP="00A00B43">
      <w:pPr>
        <w:pStyle w:val="Heading4"/>
      </w:pPr>
      <w:r>
        <w:t>Public charge MUST be eliminated to prevent ableist discrimination</w:t>
      </w:r>
    </w:p>
    <w:p w:rsidR="00A00B43" w:rsidRPr="001253BC" w:rsidRDefault="00A00B43" w:rsidP="00A00B43">
      <w:r w:rsidRPr="00F933AF">
        <w:rPr>
          <w:rStyle w:val="Style13ptBold"/>
        </w:rPr>
        <w:t>Gomez and Sanchez 13</w:t>
      </w:r>
      <w:r w:rsidRPr="00F933AF">
        <w:t xml:space="preserve"> (Dayana and Jose, reporters for Living Hope Wheelchair Association &amp; Houston United. Report, January 2013, “Public Charge and Disabilities: Toward a More Inclusive Immigration Policy”</w:t>
      </w:r>
      <w:r>
        <w:t xml:space="preserve"> Academia</w:t>
      </w:r>
      <w:r w:rsidRPr="00F933AF">
        <w:t>) NREM/Lil’ GBN</w:t>
      </w:r>
    </w:p>
    <w:p w:rsidR="00A00B43" w:rsidRPr="001253BC" w:rsidRDefault="00A00B43" w:rsidP="00A00B43">
      <w:pPr>
        <w:rPr>
          <w:rStyle w:val="StyleUnderline"/>
        </w:rPr>
      </w:pPr>
      <w:r w:rsidRPr="001253BC">
        <w:rPr>
          <w:sz w:val="10"/>
        </w:rPr>
        <w:t xml:space="preserve">The </w:t>
      </w:r>
      <w:r w:rsidRPr="00F17D3C">
        <w:rPr>
          <w:rStyle w:val="Emphasis"/>
        </w:rPr>
        <w:t>Public Charge Relevance in Immigration Policy</w:t>
      </w:r>
      <w:r w:rsidRPr="001253BC">
        <w:rPr>
          <w:sz w:val="10"/>
        </w:rPr>
        <w:t xml:space="preserve"> As previously stated, </w:t>
      </w:r>
      <w:r w:rsidRPr="00F17D3C">
        <w:rPr>
          <w:rStyle w:val="StyleUnderline"/>
        </w:rPr>
        <w:t>public charge provisions have a longstanding history of being attached to immigration policies</w:t>
      </w:r>
      <w:r w:rsidRPr="001253BC">
        <w:rPr>
          <w:sz w:val="10"/>
        </w:rPr>
        <w:t xml:space="preserve"> in order </w:t>
      </w:r>
      <w:r w:rsidRPr="00F17D3C">
        <w:rPr>
          <w:rStyle w:val="Emphasis"/>
        </w:rPr>
        <w:t xml:space="preserve">to safeguard public resources and exclude </w:t>
      </w:r>
      <w:r w:rsidRPr="001253BC">
        <w:rPr>
          <w:sz w:val="10"/>
        </w:rPr>
        <w:t xml:space="preserve">certain types of </w:t>
      </w:r>
      <w:r w:rsidRPr="00F17D3C">
        <w:rPr>
          <w:rStyle w:val="Emphasis"/>
        </w:rPr>
        <w:t>immigrants</w:t>
      </w:r>
      <w:r w:rsidRPr="001253BC">
        <w:rPr>
          <w:sz w:val="10"/>
        </w:rPr>
        <w:t xml:space="preserve"> from a path to legalization. However, </w:t>
      </w:r>
      <w:r w:rsidRPr="00F17D3C">
        <w:rPr>
          <w:rStyle w:val="StyleUnderline"/>
        </w:rPr>
        <w:t>these</w:t>
      </w:r>
      <w:r w:rsidRPr="001253BC">
        <w:rPr>
          <w:sz w:val="10"/>
        </w:rPr>
        <w:t xml:space="preserve"> types of provisions </w:t>
      </w:r>
      <w:r w:rsidRPr="00F17D3C">
        <w:rPr>
          <w:rStyle w:val="StyleUnderline"/>
        </w:rPr>
        <w:t>have not kept up with the developments in U.S. social policy</w:t>
      </w:r>
      <w:r w:rsidRPr="001253BC">
        <w:rPr>
          <w:sz w:val="10"/>
        </w:rPr>
        <w:t xml:space="preserve">, which has evolved to address these issues through Welfare Reform, Health Care Reform, among others. Arguably, public charge provisions in immigration policy have become irrelevant, especially </w:t>
      </w:r>
      <w:r w:rsidRPr="00F17D3C">
        <w:rPr>
          <w:rStyle w:val="StyleUnderline"/>
        </w:rPr>
        <w:t>concerning individuals with physical or mental disabilities</w:t>
      </w:r>
      <w:r w:rsidRPr="001253BC">
        <w:rPr>
          <w:sz w:val="10"/>
        </w:rPr>
        <w:t xml:space="preserve">. Within the immigration debate one of the most common </w:t>
      </w:r>
      <w:r w:rsidRPr="00F17D3C">
        <w:rPr>
          <w:rStyle w:val="StyleUnderline"/>
        </w:rPr>
        <w:t>misconceptions is the idea that immigrants are or will become a public burden taking advantage of public assistance programs</w:t>
      </w:r>
      <w:r w:rsidRPr="001253BC">
        <w:rPr>
          <w:sz w:val="10"/>
        </w:rPr>
        <w:t xml:space="preserve">. However, it is important to note that in 1996 with the passage of the Personal Responsibility and Work Opportunity Reconciliation Act (PRWORA), provisions are already established to reduce and </w:t>
      </w:r>
      <w:r w:rsidRPr="0097164B">
        <w:rPr>
          <w:rStyle w:val="StyleUnderline"/>
        </w:rPr>
        <w:t>limit</w:t>
      </w:r>
      <w:r w:rsidRPr="001253BC">
        <w:rPr>
          <w:sz w:val="10"/>
        </w:rPr>
        <w:t xml:space="preserve"> the </w:t>
      </w:r>
      <w:r w:rsidRPr="0097164B">
        <w:rPr>
          <w:rStyle w:val="StyleUnderline"/>
        </w:rPr>
        <w:t>availability of welfare programs</w:t>
      </w:r>
      <w:r w:rsidRPr="001253BC">
        <w:rPr>
          <w:sz w:val="10"/>
        </w:rPr>
        <w:t xml:space="preserve"> to undocumented individuals. According to the National Association of Social Workers’ summary on the PRWORA , this law cuts approximately $55 billion that comes from reductions in the Food Stamp program, the Supplemental Security Income (SSI) program that undocumented immigrants would not qualify for.10 Similarly, the estimated 11.2 million undocumented immigrants residing in the U.S. are also ineligible for Medicaid and other means-tested federal benefits due to PRWORA.11 Although these are just a few examples of the social policies already in place to prevent individuals, especially undocumented immigrants, from becoming a “public charge” on the state, these </w:t>
      </w:r>
      <w:r w:rsidRPr="001253BC">
        <w:rPr>
          <w:rStyle w:val="StyleUnderline"/>
        </w:rPr>
        <w:t>outdated provisions</w:t>
      </w:r>
      <w:r w:rsidRPr="001253BC">
        <w:rPr>
          <w:sz w:val="10"/>
        </w:rPr>
        <w:t xml:space="preserve"> also have impacts on the community at large. In its 1999 proposed rule and field guidance on the public charge, INS noted that “immigrants’ fears of obtaining these necessary medical and other benefits </w:t>
      </w:r>
      <w:r w:rsidRPr="001253BC">
        <w:rPr>
          <w:rStyle w:val="StyleUnderline"/>
        </w:rPr>
        <w:t>are</w:t>
      </w:r>
      <w:r w:rsidRPr="001253BC">
        <w:rPr>
          <w:sz w:val="10"/>
        </w:rPr>
        <w:t xml:space="preserve"> not only </w:t>
      </w:r>
      <w:r w:rsidRPr="001253BC">
        <w:rPr>
          <w:rStyle w:val="StyleUnderline"/>
        </w:rPr>
        <w:t>causing</w:t>
      </w:r>
      <w:r w:rsidRPr="001253BC">
        <w:rPr>
          <w:sz w:val="10"/>
        </w:rPr>
        <w:t xml:space="preserve"> them considerable </w:t>
      </w:r>
      <w:r w:rsidRPr="001253BC">
        <w:rPr>
          <w:rStyle w:val="StyleUnderline"/>
        </w:rPr>
        <w:t>harm</w:t>
      </w:r>
      <w:r w:rsidRPr="001253BC">
        <w:rPr>
          <w:sz w:val="10"/>
        </w:rPr>
        <w:t xml:space="preserve">, but are also </w:t>
      </w:r>
      <w:r w:rsidRPr="001253BC">
        <w:rPr>
          <w:rStyle w:val="StyleUnderline"/>
        </w:rPr>
        <w:t>jeopardizing the general</w:t>
      </w:r>
      <w:r w:rsidRPr="001253BC">
        <w:rPr>
          <w:sz w:val="10"/>
        </w:rPr>
        <w:t xml:space="preserve"> public.”12 Furthermore, </w:t>
      </w:r>
      <w:r w:rsidRPr="001253BC">
        <w:rPr>
          <w:rStyle w:val="StyleUnderline"/>
        </w:rPr>
        <w:t xml:space="preserve">immigration and welfare policies also heavily restrict access to federal and state assistance programs even after an immigrant has gained </w:t>
      </w:r>
      <w:r w:rsidRPr="001253BC">
        <w:rPr>
          <w:rStyle w:val="Emphasis"/>
        </w:rPr>
        <w:t>l</w:t>
      </w:r>
      <w:r w:rsidRPr="001253BC">
        <w:rPr>
          <w:rStyle w:val="StyleUnderline"/>
        </w:rPr>
        <w:t xml:space="preserve">egal </w:t>
      </w:r>
      <w:r w:rsidRPr="001253BC">
        <w:rPr>
          <w:rStyle w:val="Emphasis"/>
        </w:rPr>
        <w:t>p</w:t>
      </w:r>
      <w:r w:rsidRPr="001253BC">
        <w:rPr>
          <w:rStyle w:val="StyleUnderline"/>
        </w:rPr>
        <w:t xml:space="preserve">ermanent </w:t>
      </w:r>
      <w:r w:rsidRPr="001253BC">
        <w:rPr>
          <w:rStyle w:val="Emphasis"/>
        </w:rPr>
        <w:t>r</w:t>
      </w:r>
      <w:r w:rsidRPr="001253BC">
        <w:rPr>
          <w:rStyle w:val="StyleUnderline"/>
        </w:rPr>
        <w:t>esidency</w:t>
      </w:r>
      <w:r w:rsidRPr="001253BC">
        <w:rPr>
          <w:sz w:val="10"/>
        </w:rPr>
        <w:t xml:space="preserve">. The passage of PRWORA and IIRIRA in 1996 ushered in a new era of unprecedented restrictionism, especially for immigrant communities. Even where eligibility for immigrants was preserved by the 1996 laws or restored by subsequent legislation, many immigrant families hesitate to enroll in critical health care, job-training, nutrition, and cash assistance programs due to fear and confusion caused by the laws’ chilling effects. As a result, </w:t>
      </w:r>
      <w:r w:rsidRPr="001253BC">
        <w:rPr>
          <w:rStyle w:val="StyleUnderline"/>
        </w:rPr>
        <w:t>the participation of immigrants in public benefit programs has decreased sharply</w:t>
      </w:r>
      <w:r w:rsidRPr="001253BC">
        <w:rPr>
          <w:sz w:val="10"/>
        </w:rPr>
        <w:t xml:space="preserve"> after passage of the 1996 law.13 10 National Association of Social Workers, “Personal responsibility and work opportunity reconciliation act of 1996”. http://www.naswdc.org/advocacy/welfare/legislation/summary.pdf 11 Trends, 2010, Pew Hispanic Center, Washington, D.C., February 1, 2011, p. 25. 12 64 Fed. Reg. 28676 (May 26, 1999), http://www.gpo.gov/fdsys/pkg/FR-1999-05-26/html/99-13188.htm (accessed on Jan. 10, 2013). 13 Michael Fix and Jeffrey Passel, “The Scope and Impact of Welfare Reform’s Immigrant Provisions” (Discussion Paper No. 02- 03), </w:t>
      </w:r>
      <w:proofErr w:type="gramStart"/>
      <w:r w:rsidRPr="001253BC">
        <w:rPr>
          <w:sz w:val="10"/>
        </w:rPr>
        <w:t>Assessing</w:t>
      </w:r>
      <w:proofErr w:type="gramEnd"/>
      <w:r w:rsidRPr="001253BC">
        <w:rPr>
          <w:sz w:val="10"/>
        </w:rPr>
        <w:t xml:space="preserve"> the New Federalism, Washington, DC: The Urban Institute, Jan. 2002. 6 </w:t>
      </w:r>
      <w:r w:rsidRPr="001253BC">
        <w:rPr>
          <w:rStyle w:val="StyleUnderline"/>
        </w:rPr>
        <w:t>Impacts on Immigrants with Disabilities</w:t>
      </w:r>
      <w:r w:rsidRPr="001253BC">
        <w:rPr>
          <w:sz w:val="10"/>
        </w:rPr>
        <w:t xml:space="preserve"> In the year 2008 </w:t>
      </w:r>
      <w:r w:rsidRPr="001253BC">
        <w:rPr>
          <w:rStyle w:val="StyleUnderline"/>
        </w:rPr>
        <w:t>there was at least an estimated 15 percent of individuals in immigration proceedings</w:t>
      </w:r>
      <w:r w:rsidRPr="001253BC">
        <w:rPr>
          <w:sz w:val="10"/>
        </w:rPr>
        <w:t xml:space="preserve"> </w:t>
      </w:r>
      <w:r w:rsidRPr="001253BC">
        <w:rPr>
          <w:rStyle w:val="Emphasis"/>
        </w:rPr>
        <w:t>with existing mental disorders/disabilities</w:t>
      </w:r>
      <w:r w:rsidRPr="001253BC">
        <w:rPr>
          <w:sz w:val="10"/>
        </w:rPr>
        <w:t xml:space="preserve">.14 </w:t>
      </w:r>
      <w:proofErr w:type="gramStart"/>
      <w:r w:rsidRPr="001253BC">
        <w:rPr>
          <w:sz w:val="10"/>
        </w:rPr>
        <w:t>This</w:t>
      </w:r>
      <w:proofErr w:type="gramEnd"/>
      <w:r w:rsidRPr="001253BC">
        <w:rPr>
          <w:sz w:val="10"/>
        </w:rPr>
        <w:t xml:space="preserve"> significant percentage would account for </w:t>
      </w:r>
      <w:r w:rsidRPr="001253BC">
        <w:rPr>
          <w:rStyle w:val="StyleUnderline"/>
        </w:rPr>
        <w:t>approximately 57,000 individuals</w:t>
      </w:r>
      <w:r w:rsidRPr="001253BC">
        <w:rPr>
          <w:sz w:val="10"/>
        </w:rPr>
        <w:t xml:space="preserve">. We can infer that with the increased rates of deportation under the Obama administration the percentage of individuals with disabilities in immigration proceedings has also increased. In the recent years there has been more attention towards the inhumane treatment of individuals within ICE detention facilities and the lack of representation in the immigration court process for individuals with disabilities. Initial screening is inadequate, the quality of care suffers, and the lack of an electronic records system further exacerbates these problems.15 The report by Travis Packer indicates that when individuals are in custody of immigration there is a screening process and standards to identify mental disorders, however it is not administered to every single individual.16 Unfortunately, the undiagnosed or lack of treatment of certain disorder within the immigration detention center cannot only affect negatively the individual’s physical and psychological health, but also the outcome of the immigration </w:t>
      </w:r>
      <w:r w:rsidRPr="001253BC">
        <w:rPr>
          <w:rStyle w:val="StyleUnderline"/>
        </w:rPr>
        <w:t xml:space="preserve">case. One of the victories out of exposing the </w:t>
      </w:r>
      <w:r w:rsidRPr="001253BC">
        <w:rPr>
          <w:rStyle w:val="Emphasis"/>
        </w:rPr>
        <w:t>maltreatment of individuals with disabilities</w:t>
      </w:r>
      <w:r w:rsidRPr="001253BC">
        <w:rPr>
          <w:rStyle w:val="StyleUnderline"/>
        </w:rPr>
        <w:t xml:space="preserve"> is the initiative</w:t>
      </w:r>
      <w:r w:rsidRPr="001253BC">
        <w:rPr>
          <w:sz w:val="10"/>
        </w:rPr>
        <w:t xml:space="preserve"> ICE has undergone to develop a “risk assessment tool” that will help identify mental disorders and who should be detained and the conditions under which that individual should be detained. 17 While little is known about the assessment tool, it sets a positive precedent and is a step in the right direction to uphold human rights of people with disabilities within the immigration context. </w:t>
      </w:r>
      <w:r w:rsidRPr="001253BC">
        <w:rPr>
          <w:rStyle w:val="StyleUnderline"/>
        </w:rPr>
        <w:t>Discrimination Under the Law Since the passage of the Americans with Disabilities Act</w:t>
      </w:r>
      <w:r w:rsidRPr="001253BC">
        <w:rPr>
          <w:sz w:val="10"/>
        </w:rPr>
        <w:t xml:space="preserve"> more than 20 years ago – a landmark civil rights victory thanks to the struggle of disability rights groups – there have been many improvements against discrimination and towards a more inclusive environment for people with disabilities in the U.S. The U.S. government is justifiably proud of the progress it has made in protecting the rights of people with disabilities in the workplace, healthcare, education and public accommodations .In the immigration sphere, however, the U.S. has yet to provide similar substantive protections through U.S. constitutional law and international human rights standards. </w:t>
      </w:r>
      <w:r w:rsidRPr="001253BC">
        <w:rPr>
          <w:rStyle w:val="StyleUnderline"/>
        </w:rPr>
        <w:t>Public charge provisions are</w:t>
      </w:r>
      <w:r w:rsidRPr="001253BC">
        <w:rPr>
          <w:sz w:val="10"/>
        </w:rPr>
        <w:t xml:space="preserve"> inherently </w:t>
      </w:r>
      <w:r w:rsidRPr="001253BC">
        <w:rPr>
          <w:rStyle w:val="StyleUnderline"/>
        </w:rPr>
        <w:t>discriminatory and fundamentally against the principles of the Americans with disabilities Act</w:t>
      </w:r>
      <w:r w:rsidRPr="001253BC">
        <w:rPr>
          <w:sz w:val="10"/>
        </w:rPr>
        <w:t xml:space="preserve"> and the struggle of the organizations and individuals who fought for this civil rights victory. Although this legislation was approved four years after the Immigration Reform and Control Act, little effort has been made from the U.S. government to update immigration law within this context – further demonstrating the public charge’s irrelevance. 14Human Rights Watch, Deportation by default: mental disability, unfair hearings, and indefinite detention in the US immigration system, July 2010 http://www.aclu.org/files/assets/usdeportation0710_0.pdf 15. Packer, T. Esq. (2010). Non-citizens with mental disabilities the need for better care in detention and in court. Immigration Policy Center, American Immigrant council. http://www.immigrationpolicy.org/sites/default/files/docs/NonCitizens_with_Mental_Disabilities_112310.pdf 16 Packer, T. Esq. (2010). Non-citizens with mental disabilities the need for better care in detention and in court. Immigration Policy Center, American Immigrant council. http://www.immigrationpolicy.org/sites/default/files/docs/NonCitizens_with_Mental_Disabilities_112310.pdf 17 Human Rights Watch, Deportation by default: mental disability, unfair hearings, and indefinite detention in the US immigration system, July 2010 http://www.aclu.org/files/assets/usdeportation0710_0.pdf 7 Assessing “Public Charge” and Other Discretionary Procedures The current restrictions on public charges have changed little since the beginning of the twentieth century. Section 212(a</w:t>
      </w:r>
      <w:proofErr w:type="gramStart"/>
      <w:r w:rsidRPr="001253BC">
        <w:rPr>
          <w:sz w:val="10"/>
        </w:rPr>
        <w:t>)(</w:t>
      </w:r>
      <w:proofErr w:type="gramEnd"/>
      <w:r w:rsidRPr="001253BC">
        <w:rPr>
          <w:sz w:val="10"/>
        </w:rPr>
        <w:t>4) of the Immigration and Nationality Act declares that: "Any alien who, in the opinion of the consular officer at the time of application for a visa, or in the opinion of the Attorney General at the time of application for admission or adjustment of status, is likely at any time to become a public charge is inadmissible."18 The legislation specifies that the factors to be taken into account in determining whether an alien is excludable include age, health, family status, assets, financial status, and education and skills. However, it is important to note that there has to be a clear definition of public charge as well as specific criteria that would make someone inadmissible. It is also troubling that the assessment and determination of inadmissibility under public charge is placed on the opinion of one individual that might have special consideration on one case over the other. In addition, Section 237(5) states that: "Any alien who, within five years after the date of entry, has become a public charge from causes not affirmatively shown to have arisen since entry is deportable."19 While the Immigration and Nationality Act excludes individuals with physical and mental disabilities, all applicants under immigration proceeding may also qualify for a special rule cancellation of removal under section 309 (f</w:t>
      </w:r>
      <w:proofErr w:type="gramStart"/>
      <w:r w:rsidRPr="001253BC">
        <w:rPr>
          <w:sz w:val="10"/>
        </w:rPr>
        <w:t>)(</w:t>
      </w:r>
      <w:proofErr w:type="gramEnd"/>
      <w:r w:rsidRPr="001253BC">
        <w:rPr>
          <w:sz w:val="10"/>
        </w:rPr>
        <w:t xml:space="preserve">10)(A) of IIRIRA if they can establish that their deportation would result in “extreme hardship”. [For a list of “extreme hardship” contributing factors, see Appendix A] While there is a list of what would qualify for “extreme hardship”, every case must be reviewed on an individual basis in review of all the circumstances that the individual and family might face. The individual must present evidence that the deportation would cause extreme hardship beyond that associated with the deportation. Limitations of Waivers and Other Discretionary Procedures Each of the above mentioned policies includes “waivers” of inadmissibility which could potentially </w:t>
      </w:r>
      <w:r w:rsidRPr="001253BC">
        <w:rPr>
          <w:rStyle w:val="StyleUnderline"/>
        </w:rPr>
        <w:t>address some of the exclusions due to “public charge” determination or other grounds for inadmissibility. At the same time, the determination of “public charge” and other exclusions often rests on the discretion of either the Secretary of Homeland Security,</w:t>
      </w:r>
      <w:r w:rsidRPr="001253BC">
        <w:rPr>
          <w:sz w:val="10"/>
        </w:rPr>
        <w:t xml:space="preserve"> Attorney General, or other consular level official handling the individual application. However, these types of waivers and discretionary provisions tend to be reactive and come into play only after individual cases have been identified. The issue with these types of reactive policies is that they create an inconsistent, and arguably less effective, process for reviewing cases (variance depends on individual consular staff or administrator in power) and also create an increased burden on already vulnerable individuals - having already expended their resources in time and monetary fees throughout the application process. 18 “INA: act 212 – General Classes of aliens ineligible to receive visas and ineligible for admission; waivers of inadmissibility” (USCIS webpage). http://www.uscis.gov/portal/site/uscis/menuitem.f6da51a2342135be7e9d7a10e0dc91a0/?vgnextoid=fa7e539dc4bed010VgnVCM100 0000ecd190aRCRD&amp;vgnextchannel=fa7e539dc4bed010VgnVCM1000000ecd190aRCRD&amp;CH=act (last visited January 21, 2013). 19 “INA: act 237 – general classes of deportable aliens” (USCIS webpage). http://www.uscis.gov/portal/site/uscis/menuitem.f6da51a2342135be7e9d7a10e0dc91a0/?vgnextoid=fa7e539dc4bed010VgnVCM100 0000ecd190aRCRD&amp;vgnextchannel=fa7e539dc4bed010VgnVCM1000000ecd190aRCRD&amp;CH=act 8 Policy Recommendations The following is a list of initial policy recommendation that </w:t>
      </w:r>
      <w:r w:rsidRPr="001253BC">
        <w:rPr>
          <w:rStyle w:val="StyleUnderline"/>
        </w:rPr>
        <w:t>federal legislators should consider in any discussion of a truly comprehensive immigration policy rooted in the dignity of immigrants communities</w:t>
      </w:r>
      <w:r w:rsidRPr="001253BC">
        <w:rPr>
          <w:sz w:val="10"/>
        </w:rPr>
        <w:t xml:space="preserve">. As previously mentioned, this is a preliminary document which includes recommendations based only on existing immigration policies. However, it is of utmost importance that </w:t>
      </w:r>
      <w:r w:rsidRPr="001253BC">
        <w:rPr>
          <w:rStyle w:val="Emphasis"/>
        </w:rPr>
        <w:t xml:space="preserve">immigrants with disabilities </w:t>
      </w:r>
      <w:r w:rsidRPr="001253BC">
        <w:rPr>
          <w:sz w:val="10"/>
        </w:rPr>
        <w:t xml:space="preserve">and other communities </w:t>
      </w:r>
      <w:r w:rsidRPr="001253BC">
        <w:rPr>
          <w:rStyle w:val="StyleUnderline"/>
        </w:rPr>
        <w:t xml:space="preserve">directly affected continue to be part of this discussion </w:t>
      </w:r>
      <w:r w:rsidRPr="001253BC">
        <w:rPr>
          <w:sz w:val="10"/>
        </w:rPr>
        <w:t xml:space="preserve">and are able to provide their assessment and input into upcoming immigration legislation. Our initial recommendations include </w:t>
      </w:r>
      <w:r w:rsidRPr="001253BC">
        <w:rPr>
          <w:rStyle w:val="Emphasis"/>
        </w:rPr>
        <w:t>: Eliminating the “Public Charge” Provision</w:t>
      </w:r>
      <w:r w:rsidRPr="001253BC">
        <w:rPr>
          <w:sz w:val="10"/>
        </w:rPr>
        <w:t xml:space="preserve"> </w:t>
      </w:r>
      <w:r w:rsidRPr="001253BC">
        <w:rPr>
          <w:rStyle w:val="StyleUnderline"/>
        </w:rPr>
        <w:t>Given the expanded explanation of “public charge” under the Clinton administration coupled with the approval of the 1996 Welfare Reform Act, any future comprehensive immigration policy which includes a path to legalization and status adjustment should exclude any “public charge” provision, and instead, enumerate ways in which individuals with mental or physical disabilities may apply for status adjustment, given the same considerations as other “able-bodied” individuals</w:t>
      </w:r>
    </w:p>
    <w:p w:rsidR="0067262B" w:rsidRPr="00F933AF" w:rsidRDefault="0067262B" w:rsidP="007E3C82">
      <w:pPr>
        <w:shd w:val="clear" w:color="auto" w:fill="FFFFFF"/>
        <w:spacing w:after="300"/>
        <w:rPr>
          <w:rFonts w:cs="Calibri"/>
          <w:color w:val="000000" w:themeColor="text1"/>
          <w:u w:val="single"/>
        </w:rPr>
      </w:pPr>
    </w:p>
    <w:p w:rsidR="008C5D52" w:rsidRPr="00F933AF" w:rsidRDefault="0067262B" w:rsidP="0067262B">
      <w:pPr>
        <w:pStyle w:val="Heading3"/>
      </w:pPr>
      <w:r>
        <w:t>Health</w:t>
      </w:r>
    </w:p>
    <w:p w:rsidR="008C5D52" w:rsidRPr="00F933AF" w:rsidRDefault="008C5D52" w:rsidP="008C5D52">
      <w:pPr>
        <w:pStyle w:val="Heading4"/>
        <w:rPr>
          <w:rFonts w:cs="Calibri"/>
        </w:rPr>
      </w:pPr>
      <w:r w:rsidRPr="00F933AF">
        <w:rPr>
          <w:rFonts w:cs="Calibri"/>
        </w:rPr>
        <w:t>The plan solves – it saves money and resolves uncertainty</w:t>
      </w:r>
    </w:p>
    <w:p w:rsidR="008C5D52" w:rsidRPr="00F933AF" w:rsidRDefault="008C5D52" w:rsidP="008C5D52">
      <w:pPr>
        <w:spacing w:after="0"/>
        <w:rPr>
          <w:rFonts w:cs="Calibri"/>
        </w:rPr>
      </w:pPr>
      <w:r w:rsidRPr="00F933AF">
        <w:rPr>
          <w:rStyle w:val="Style13ptBold"/>
          <w:rFonts w:cs="Calibri"/>
        </w:rPr>
        <w:t>Bier 4-19</w:t>
      </w:r>
      <w:r w:rsidRPr="00F933AF">
        <w:rPr>
          <w:rFonts w:cs="Calibri"/>
        </w:rPr>
        <w:t xml:space="preserve"> (David, immigration policy analyst at the Cato Institute’s Center for Global Liberty and Prosperity. CATO INSTITUTE, 4-19-2018, “The $1/Day Standard &amp; Other Problems with DHS’s Public Charge Rule”) NREM/Lil’ GBN</w:t>
      </w:r>
    </w:p>
    <w:p w:rsidR="008C5D52" w:rsidRPr="00F933AF" w:rsidRDefault="00266AB6" w:rsidP="008C5D52">
      <w:pPr>
        <w:spacing w:after="0"/>
        <w:rPr>
          <w:rFonts w:cs="Calibri"/>
        </w:rPr>
      </w:pPr>
      <w:hyperlink r:id="rId99" w:history="1">
        <w:r w:rsidR="008C5D52" w:rsidRPr="00F933AF">
          <w:rPr>
            <w:rStyle w:val="Hyperlink"/>
            <w:rFonts w:cs="Calibri"/>
          </w:rPr>
          <w:t>https://www.cato.org/blog/1day-standard-other-problems-dhss-public-charge-rule</w:t>
        </w:r>
      </w:hyperlink>
    </w:p>
    <w:p w:rsidR="008C5D52" w:rsidRPr="00F933AF" w:rsidRDefault="008C5D52" w:rsidP="008C5D52">
      <w:pPr>
        <w:spacing w:after="0"/>
        <w:rPr>
          <w:rStyle w:val="StyleUnderline"/>
          <w:rFonts w:cs="Calibri"/>
        </w:rPr>
      </w:pPr>
      <w:r w:rsidRPr="00F933AF">
        <w:rPr>
          <w:rFonts w:cs="Calibri"/>
          <w:sz w:val="16"/>
        </w:rPr>
        <w:t xml:space="preserve">First, its </w:t>
      </w:r>
      <w:r w:rsidRPr="00F933AF">
        <w:rPr>
          <w:rStyle w:val="StyleUnderline"/>
          <w:rFonts w:cs="Calibri"/>
        </w:rPr>
        <w:t>public charge definition</w:t>
      </w:r>
      <w:r w:rsidRPr="00F933AF">
        <w:rPr>
          <w:rFonts w:cs="Calibri"/>
          <w:sz w:val="16"/>
        </w:rPr>
        <w:t xml:space="preserve"> </w:t>
      </w:r>
      <w:r w:rsidRPr="00F933AF">
        <w:rPr>
          <w:rStyle w:val="StyleUnderline"/>
          <w:rFonts w:cs="Calibri"/>
        </w:rPr>
        <w:t>of a $1 per day is overbroad</w:t>
      </w:r>
      <w:r w:rsidRPr="00F933AF">
        <w:rPr>
          <w:rFonts w:cs="Calibri"/>
          <w:sz w:val="16"/>
        </w:rPr>
        <w:t xml:space="preserve">. </w:t>
      </w:r>
      <w:r w:rsidRPr="00F933AF">
        <w:rPr>
          <w:rStyle w:val="StyleUnderline"/>
          <w:rFonts w:cs="Calibri"/>
        </w:rPr>
        <w:t>Public charge</w:t>
      </w:r>
      <w:r w:rsidRPr="00F933AF">
        <w:rPr>
          <w:rFonts w:cs="Calibri"/>
          <w:sz w:val="16"/>
        </w:rPr>
        <w:t xml:space="preserve"> has always </w:t>
      </w:r>
      <w:r w:rsidRPr="00F933AF">
        <w:rPr>
          <w:rStyle w:val="StyleUnderline"/>
          <w:rFonts w:cs="Calibri"/>
        </w:rPr>
        <w:t>meant a level of support substantially higher than $1 per day</w:t>
      </w:r>
      <w:r w:rsidRPr="00F933AF">
        <w:rPr>
          <w:rFonts w:cs="Calibri"/>
          <w:sz w:val="16"/>
        </w:rPr>
        <w:t xml:space="preserve"> (not to mention 50 cents for families). </w:t>
      </w:r>
      <w:r w:rsidRPr="00F933AF">
        <w:rPr>
          <w:rStyle w:val="StyleUnderline"/>
          <w:rFonts w:cs="Calibri"/>
        </w:rPr>
        <w:t xml:space="preserve">Because the large majority of immigrants have </w:t>
      </w:r>
      <w:r w:rsidRPr="00F933AF">
        <w:rPr>
          <w:rStyle w:val="Emphasis"/>
          <w:rFonts w:cs="Calibri"/>
        </w:rPr>
        <w:t>net positive lifetime effects</w:t>
      </w:r>
      <w:r w:rsidRPr="00F933AF">
        <w:rPr>
          <w:rStyle w:val="StyleUnderline"/>
          <w:rFonts w:cs="Calibri"/>
        </w:rPr>
        <w:t xml:space="preserve"> on government budgets</w:t>
      </w:r>
      <w:r w:rsidRPr="00F933AF">
        <w:rPr>
          <w:rFonts w:cs="Calibri"/>
          <w:sz w:val="16"/>
        </w:rPr>
        <w:t xml:space="preserve">, </w:t>
      </w:r>
      <w:r w:rsidRPr="00F933AF">
        <w:rPr>
          <w:rStyle w:val="StyleUnderline"/>
          <w:rFonts w:cs="Calibri"/>
        </w:rPr>
        <w:t xml:space="preserve">keeping out immigrants based on such a low level of predicted support </w:t>
      </w:r>
      <w:r w:rsidRPr="00F933AF">
        <w:rPr>
          <w:rStyle w:val="Emphasis"/>
          <w:rFonts w:cs="Calibri"/>
        </w:rPr>
        <w:t>makes little fiscal sense</w:t>
      </w:r>
      <w:r w:rsidRPr="00F933AF">
        <w:rPr>
          <w:rStyle w:val="StyleUnderline"/>
          <w:rFonts w:cs="Calibri"/>
        </w:rPr>
        <w:t>. It will inevitably end up excluding many immigrants who will contribute to the U.S. Treasury and economy</w:t>
      </w:r>
      <w:r w:rsidRPr="00F933AF">
        <w:rPr>
          <w:rFonts w:cs="Calibri"/>
          <w:sz w:val="16"/>
        </w:rPr>
        <w:t xml:space="preserve">. </w:t>
      </w:r>
      <w:r w:rsidRPr="00F933AF">
        <w:rPr>
          <w:rStyle w:val="Emphasis"/>
          <w:rFonts w:cs="Calibri"/>
        </w:rPr>
        <w:t>DHS should narrow its redefinition to “significantly dependent” on public benefits</w:t>
      </w:r>
      <w:r w:rsidRPr="00F933AF">
        <w:rPr>
          <w:rFonts w:cs="Calibri"/>
          <w:sz w:val="16"/>
        </w:rPr>
        <w:t>—</w:t>
      </w:r>
      <w:r w:rsidRPr="00F933AF">
        <w:rPr>
          <w:rStyle w:val="StyleUnderline"/>
          <w:rFonts w:cs="Calibri"/>
        </w:rPr>
        <w:t>cash or otherwise</w:t>
      </w:r>
      <w:r w:rsidRPr="00F933AF">
        <w:rPr>
          <w:rFonts w:cs="Calibri"/>
          <w:sz w:val="16"/>
        </w:rPr>
        <w:t xml:space="preserve">. Second, </w:t>
      </w:r>
      <w:r w:rsidRPr="00F933AF">
        <w:rPr>
          <w:rStyle w:val="StyleUnderline"/>
          <w:rFonts w:cs="Calibri"/>
        </w:rPr>
        <w:t>DHS’s standard of a $1 per day entirely ignores the degree to which immigrants support themselves</w:t>
      </w:r>
      <w:r w:rsidRPr="00F933AF">
        <w:rPr>
          <w:rFonts w:cs="Calibri"/>
          <w:sz w:val="16"/>
        </w:rPr>
        <w:t>. Historically, “p</w:t>
      </w:r>
      <w:r w:rsidRPr="00F933AF">
        <w:rPr>
          <w:rStyle w:val="StyleUnderline"/>
          <w:rFonts w:cs="Calibri"/>
        </w:rPr>
        <w:t xml:space="preserve">ublic charge” has always had two elements: 1) receipt of benefits and 2) inability to support oneself apart from the support. </w:t>
      </w:r>
      <w:r w:rsidRPr="00F933AF">
        <w:rPr>
          <w:rFonts w:cs="Calibri"/>
          <w:sz w:val="16"/>
        </w:rPr>
        <w:t xml:space="preserve">Yet </w:t>
      </w:r>
      <w:r w:rsidRPr="00F933AF">
        <w:rPr>
          <w:rStyle w:val="StyleUnderline"/>
          <w:rFonts w:cs="Calibri"/>
        </w:rPr>
        <w:t>DHS defines public charge as an absolute amount of benefits</w:t>
      </w:r>
      <w:r w:rsidRPr="00F933AF">
        <w:rPr>
          <w:rFonts w:cs="Calibri"/>
          <w:sz w:val="16"/>
        </w:rPr>
        <w:t>—$1/ per day—</w:t>
      </w:r>
      <w:r w:rsidRPr="00F933AF">
        <w:rPr>
          <w:rStyle w:val="StyleUnderline"/>
          <w:rFonts w:cs="Calibri"/>
        </w:rPr>
        <w:t>which could easily account for less than a percent of a person’s income. This</w:t>
      </w:r>
      <w:r w:rsidRPr="00F933AF">
        <w:rPr>
          <w:rFonts w:cs="Calibri"/>
          <w:sz w:val="16"/>
        </w:rPr>
        <w:t xml:space="preserve"> outcome </w:t>
      </w:r>
      <w:r w:rsidRPr="00F933AF">
        <w:rPr>
          <w:rStyle w:val="StyleUnderline"/>
          <w:rFonts w:cs="Calibri"/>
        </w:rPr>
        <w:t>ignores</w:t>
      </w:r>
      <w:r w:rsidRPr="00F933AF">
        <w:rPr>
          <w:rFonts w:cs="Calibri"/>
          <w:sz w:val="16"/>
        </w:rPr>
        <w:t xml:space="preserve"> the history of </w:t>
      </w:r>
      <w:r w:rsidRPr="00F933AF">
        <w:rPr>
          <w:rStyle w:val="StyleUnderline"/>
          <w:rFonts w:cs="Calibri"/>
        </w:rPr>
        <w:t>the law and lacks fiscal sense because it fails to consider the tax revenue and economic growth foreigners who work create</w:t>
      </w:r>
      <w:r w:rsidRPr="00F933AF">
        <w:rPr>
          <w:rFonts w:cs="Calibri"/>
          <w:sz w:val="16"/>
        </w:rPr>
        <w:t xml:space="preserve">. </w:t>
      </w:r>
      <w:r w:rsidRPr="00F933AF">
        <w:rPr>
          <w:rStyle w:val="Emphasis"/>
          <w:rFonts w:cs="Calibri"/>
        </w:rPr>
        <w:t>DHS should assess “significant dependence” based on the amount of benefits relative to the person’s expected income</w:t>
      </w:r>
      <w:r w:rsidRPr="00F933AF">
        <w:rPr>
          <w:rFonts w:cs="Calibri"/>
          <w:sz w:val="16"/>
        </w:rPr>
        <w:t>—</w:t>
      </w:r>
      <w:r w:rsidRPr="00F933AF">
        <w:rPr>
          <w:rStyle w:val="Emphasis"/>
          <w:rFonts w:cs="Calibri"/>
        </w:rPr>
        <w:t>at least 20 percent of the person’s annual income</w:t>
      </w:r>
      <w:r w:rsidRPr="00F933AF">
        <w:rPr>
          <w:rFonts w:cs="Calibri"/>
          <w:sz w:val="16"/>
        </w:rPr>
        <w:t xml:space="preserve">. Third, </w:t>
      </w:r>
      <w:r w:rsidRPr="00F933AF">
        <w:rPr>
          <w:rStyle w:val="StyleUnderline"/>
          <w:rFonts w:cs="Calibri"/>
        </w:rPr>
        <w:t xml:space="preserve">DHS cannot justify counting welfare use by U.S. citizens in the immigrant’s household against applicants. Not only would the U.S. citizens receive these benefits even if the immigrant receives no legal status, </w:t>
      </w:r>
      <w:r w:rsidRPr="00F933AF">
        <w:rPr>
          <w:rStyle w:val="Emphasis"/>
          <w:rFonts w:cs="Calibri"/>
        </w:rPr>
        <w:t>denying legal status</w:t>
      </w:r>
      <w:r w:rsidRPr="00F933AF">
        <w:rPr>
          <w:rStyle w:val="StyleUnderline"/>
          <w:rFonts w:cs="Calibri"/>
        </w:rPr>
        <w:t xml:space="preserve"> to a dependent of an immigrant would likely increase their use of public benefits.</w:t>
      </w:r>
      <w:r w:rsidRPr="00F933AF">
        <w:rPr>
          <w:rFonts w:cs="Calibri"/>
          <w:sz w:val="16"/>
        </w:rPr>
        <w:t xml:space="preserve"> </w:t>
      </w:r>
      <w:r w:rsidRPr="00F933AF">
        <w:rPr>
          <w:rStyle w:val="StyleUnderline"/>
          <w:rFonts w:cs="Calibri"/>
        </w:rPr>
        <w:t>DHS should only consider benefits used by dependents if they are noncitizens</w:t>
      </w:r>
      <w:r w:rsidRPr="00F933AF">
        <w:rPr>
          <w:rFonts w:cs="Calibri"/>
          <w:sz w:val="16"/>
        </w:rPr>
        <w:t xml:space="preserve"> that they have brought with them to the United States. Fourth, </w:t>
      </w:r>
      <w:r w:rsidRPr="00F933AF">
        <w:rPr>
          <w:rStyle w:val="StyleUnderline"/>
          <w:rFonts w:cs="Calibri"/>
        </w:rPr>
        <w:t xml:space="preserve">the rule fails to define what </w:t>
      </w:r>
      <w:r w:rsidRPr="00F933AF">
        <w:rPr>
          <w:rStyle w:val="Emphasis"/>
          <w:rFonts w:cs="Calibri"/>
        </w:rPr>
        <w:t>DHS means by “likely</w:t>
      </w:r>
      <w:r w:rsidRPr="00F933AF">
        <w:rPr>
          <w:rStyle w:val="StyleUnderline"/>
          <w:rFonts w:cs="Calibri"/>
        </w:rPr>
        <w:t>” to use benefits</w:t>
      </w:r>
      <w:r w:rsidRPr="00F933AF">
        <w:rPr>
          <w:rFonts w:cs="Calibri"/>
          <w:sz w:val="16"/>
        </w:rPr>
        <w:t xml:space="preserve">. </w:t>
      </w:r>
      <w:r w:rsidRPr="00F933AF">
        <w:rPr>
          <w:rStyle w:val="StyleUnderline"/>
          <w:rFonts w:cs="Calibri"/>
        </w:rPr>
        <w:t xml:space="preserve">Likely implies a level of certainty appreciably above 50:50, but </w:t>
      </w:r>
      <w:r w:rsidRPr="00F933AF">
        <w:rPr>
          <w:rStyle w:val="Emphasis"/>
          <w:rFonts w:cs="Calibri"/>
        </w:rPr>
        <w:t>DHS never clarifies</w:t>
      </w:r>
      <w:r w:rsidRPr="00F933AF">
        <w:rPr>
          <w:rStyle w:val="StyleUnderline"/>
          <w:rFonts w:cs="Calibri"/>
        </w:rPr>
        <w:t xml:space="preserve"> this</w:t>
      </w:r>
      <w:r w:rsidRPr="00F933AF">
        <w:rPr>
          <w:rFonts w:cs="Calibri"/>
          <w:sz w:val="16"/>
        </w:rPr>
        <w:t xml:space="preserve">, </w:t>
      </w:r>
      <w:r w:rsidRPr="00F933AF">
        <w:rPr>
          <w:rStyle w:val="StyleUnderline"/>
          <w:rFonts w:cs="Calibri"/>
        </w:rPr>
        <w:t xml:space="preserve">leaving it up to </w:t>
      </w:r>
      <w:r w:rsidRPr="00F933AF">
        <w:rPr>
          <w:rStyle w:val="Emphasis"/>
          <w:rFonts w:cs="Calibri"/>
        </w:rPr>
        <w:t>bureaucrats to decide</w:t>
      </w:r>
      <w:r w:rsidRPr="00F933AF">
        <w:rPr>
          <w:rStyle w:val="StyleUnderline"/>
          <w:rFonts w:cs="Calibri"/>
        </w:rPr>
        <w:t xml:space="preserve"> the threshold on a case-by-case basis. This will lead to inconsistent adjudications and </w:t>
      </w:r>
      <w:r w:rsidRPr="00F933AF">
        <w:rPr>
          <w:rStyle w:val="Emphasis"/>
          <w:rFonts w:cs="Calibri"/>
        </w:rPr>
        <w:t>denials to people who should receive approvals</w:t>
      </w:r>
      <w:r w:rsidRPr="00F933AF">
        <w:rPr>
          <w:rStyle w:val="StyleUnderline"/>
          <w:rFonts w:cs="Calibri"/>
        </w:rPr>
        <w:t>.</w:t>
      </w:r>
      <w:r w:rsidRPr="00F933AF">
        <w:rPr>
          <w:rFonts w:cs="Calibri"/>
          <w:sz w:val="16"/>
        </w:rPr>
        <w:t xml:space="preserve"> </w:t>
      </w:r>
      <w:r w:rsidRPr="00F933AF">
        <w:rPr>
          <w:rStyle w:val="StyleUnderline"/>
          <w:rFonts w:cs="Calibri"/>
        </w:rPr>
        <w:t xml:space="preserve">These false positive could result in </w:t>
      </w:r>
      <w:r w:rsidRPr="00F933AF">
        <w:rPr>
          <w:rStyle w:val="Emphasis"/>
          <w:rFonts w:cs="Calibri"/>
        </w:rPr>
        <w:t>billions of dollars in lost output</w:t>
      </w:r>
      <w:r w:rsidRPr="00F933AF">
        <w:rPr>
          <w:rStyle w:val="StyleUnderline"/>
          <w:rFonts w:cs="Calibri"/>
        </w:rPr>
        <w:t xml:space="preserve"> and federal revenue without offsetting benefits</w:t>
      </w:r>
      <w:r w:rsidRPr="00F933AF">
        <w:rPr>
          <w:rFonts w:cs="Calibri"/>
          <w:sz w:val="16"/>
        </w:rPr>
        <w:t xml:space="preserve">. </w:t>
      </w:r>
      <w:r w:rsidRPr="00F933AF">
        <w:rPr>
          <w:rStyle w:val="StyleUnderline"/>
          <w:rFonts w:cs="Calibri"/>
        </w:rPr>
        <w:t xml:space="preserve">A redrafted rule should </w:t>
      </w:r>
      <w:r w:rsidRPr="00F933AF">
        <w:rPr>
          <w:rStyle w:val="Emphasis"/>
          <w:rFonts w:cs="Calibri"/>
        </w:rPr>
        <w:t>define the meaning</w:t>
      </w:r>
      <w:r w:rsidRPr="00F933AF">
        <w:rPr>
          <w:rFonts w:cs="Calibri"/>
          <w:sz w:val="16"/>
        </w:rPr>
        <w:t xml:space="preserve"> </w:t>
      </w:r>
      <w:r w:rsidRPr="00F933AF">
        <w:rPr>
          <w:rStyle w:val="StyleUnderline"/>
          <w:rFonts w:cs="Calibri"/>
        </w:rPr>
        <w:t>of the word “likely” in accordance with its accepted meaning</w:t>
      </w:r>
      <w:r w:rsidRPr="00F933AF">
        <w:rPr>
          <w:rFonts w:cs="Calibri"/>
          <w:sz w:val="16"/>
        </w:rPr>
        <w:t>—</w:t>
      </w:r>
      <w:r w:rsidRPr="00F933AF">
        <w:rPr>
          <w:rStyle w:val="StyleUnderline"/>
          <w:rFonts w:cs="Calibri"/>
        </w:rPr>
        <w:t>a threshold of 70 percent probability of use</w:t>
      </w:r>
      <w:r w:rsidRPr="00F933AF">
        <w:rPr>
          <w:rFonts w:cs="Calibri"/>
          <w:sz w:val="16"/>
        </w:rPr>
        <w:t xml:space="preserve">—giving clarity to applicants and adjudicators. </w:t>
      </w:r>
      <w:r w:rsidRPr="00F933AF">
        <w:rPr>
          <w:rStyle w:val="StyleUnderline"/>
          <w:rFonts w:cs="Calibri"/>
        </w:rPr>
        <w:t>Fifth, the rule’s complex weighting system for determining likelihood to use benefits is entirely arbitrary.</w:t>
      </w:r>
      <w:r w:rsidRPr="00F933AF">
        <w:rPr>
          <w:rFonts w:cs="Calibri"/>
          <w:sz w:val="16"/>
        </w:rPr>
        <w:t xml:space="preserve"> </w:t>
      </w:r>
      <w:r w:rsidRPr="00F933AF">
        <w:rPr>
          <w:rStyle w:val="StyleUnderline"/>
          <w:rFonts w:cs="Calibri"/>
        </w:rPr>
        <w:t>Bureaucrats would determine how to weight the factors</w:t>
      </w:r>
      <w:r w:rsidRPr="00F933AF">
        <w:rPr>
          <w:rFonts w:cs="Calibri"/>
          <w:sz w:val="16"/>
        </w:rPr>
        <w:t>—</w:t>
      </w:r>
      <w:r w:rsidRPr="00F933AF">
        <w:rPr>
          <w:rStyle w:val="StyleUnderline"/>
          <w:rFonts w:cs="Calibri"/>
        </w:rPr>
        <w:t>such as age, health, and income</w:t>
      </w:r>
      <w:r w:rsidRPr="00F933AF">
        <w:rPr>
          <w:rFonts w:cs="Calibri"/>
          <w:sz w:val="16"/>
        </w:rPr>
        <w:t>—</w:t>
      </w:r>
      <w:r w:rsidRPr="00F933AF">
        <w:rPr>
          <w:rStyle w:val="Emphasis"/>
          <w:rFonts w:cs="Calibri"/>
        </w:rPr>
        <w:t>on an ad hoc basis</w:t>
      </w:r>
      <w:r w:rsidRPr="00F933AF">
        <w:rPr>
          <w:rFonts w:cs="Calibri"/>
          <w:sz w:val="16"/>
        </w:rPr>
        <w:t xml:space="preserve">. </w:t>
      </w:r>
      <w:r w:rsidRPr="00F933AF">
        <w:rPr>
          <w:rStyle w:val="StyleUnderline"/>
          <w:rFonts w:cs="Calibri"/>
        </w:rPr>
        <w:t>The process is equivalent to a “merit-based” points system where applicants do not know the point values, and bureaucrats make them up as they go</w:t>
      </w:r>
      <w:r w:rsidRPr="00F933AF">
        <w:rPr>
          <w:rFonts w:cs="Calibri"/>
          <w:sz w:val="16"/>
        </w:rPr>
        <w:t xml:space="preserve">. </w:t>
      </w:r>
      <w:r w:rsidRPr="00F933AF">
        <w:rPr>
          <w:rStyle w:val="Emphasis"/>
          <w:rFonts w:cs="Calibri"/>
        </w:rPr>
        <w:t>DHS should use careful statistical analysis to create a factor model to estimate the probability of use precisely</w:t>
      </w:r>
      <w:r w:rsidRPr="00F933AF">
        <w:rPr>
          <w:rFonts w:cs="Calibri"/>
          <w:sz w:val="16"/>
        </w:rPr>
        <w:t xml:space="preserve">. </w:t>
      </w:r>
      <w:r w:rsidRPr="00F933AF">
        <w:rPr>
          <w:rStyle w:val="StyleUnderline"/>
          <w:rFonts w:cs="Calibri"/>
        </w:rPr>
        <w:t>This model would allow immigrants to know whether they qualify in advance of applying</w:t>
      </w:r>
      <w:r w:rsidRPr="00F933AF">
        <w:rPr>
          <w:rFonts w:cs="Calibri"/>
          <w:sz w:val="16"/>
        </w:rPr>
        <w:t xml:space="preserve">. Sixth, </w:t>
      </w:r>
      <w:r w:rsidRPr="00F933AF">
        <w:rPr>
          <w:rStyle w:val="StyleUnderline"/>
          <w:rFonts w:cs="Calibri"/>
        </w:rPr>
        <w:t>the administration has failed to harmonize DHS’s new rule with State Department’s separate public charge regulations</w:t>
      </w:r>
      <w:r w:rsidRPr="00F933AF">
        <w:rPr>
          <w:rFonts w:cs="Calibri"/>
          <w:sz w:val="16"/>
        </w:rPr>
        <w:t xml:space="preserve">. This means that </w:t>
      </w:r>
      <w:r w:rsidRPr="00F933AF">
        <w:rPr>
          <w:rStyle w:val="StyleUnderline"/>
          <w:rFonts w:cs="Calibri"/>
        </w:rPr>
        <w:t>immigrants who have received a visa abroad</w:t>
      </w:r>
      <w:r w:rsidRPr="00F933AF">
        <w:rPr>
          <w:rFonts w:cs="Calibri"/>
          <w:sz w:val="16"/>
        </w:rPr>
        <w:t xml:space="preserve">, which authorizes travel to the United States, </w:t>
      </w:r>
      <w:r w:rsidRPr="00F933AF">
        <w:rPr>
          <w:rStyle w:val="StyleUnderline"/>
          <w:rFonts w:cs="Calibri"/>
        </w:rPr>
        <w:t xml:space="preserve">could be evaluated against a completely different standard when they reach a port of entry or, later, when they file additional immigration applications inside the United States. Such discord would create chaos in the </w:t>
      </w:r>
      <w:r w:rsidRPr="00F933AF">
        <w:rPr>
          <w:rStyle w:val="Emphasis"/>
          <w:rFonts w:cs="Calibri"/>
        </w:rPr>
        <w:t>legal immigration system.</w:t>
      </w:r>
      <w:r w:rsidRPr="00F933AF">
        <w:rPr>
          <w:rFonts w:cs="Calibri"/>
          <w:sz w:val="16"/>
        </w:rPr>
        <w:t xml:space="preserve"> </w:t>
      </w:r>
      <w:r w:rsidRPr="00F933AF">
        <w:rPr>
          <w:rStyle w:val="StyleUnderline"/>
          <w:rFonts w:cs="Calibri"/>
        </w:rPr>
        <w:t>DHS should defer to State Department public charge determinations unless a material change has occurred since State Department approved the immigrant</w:t>
      </w:r>
      <w:r w:rsidRPr="00F933AF">
        <w:rPr>
          <w:rFonts w:cs="Calibri"/>
          <w:sz w:val="16"/>
        </w:rPr>
        <w:t xml:space="preserve">. Seventh, </w:t>
      </w:r>
      <w:r w:rsidRPr="00F933AF">
        <w:rPr>
          <w:rStyle w:val="StyleUnderline"/>
          <w:rFonts w:cs="Calibri"/>
        </w:rPr>
        <w:t>DHS failed to estimate the major costs of the rule. They only consider the costs associated with filing forms, not with excluding immigrants from the country or separating U.S. citizens from their families</w:t>
      </w:r>
      <w:r w:rsidRPr="00F933AF">
        <w:rPr>
          <w:rFonts w:cs="Calibri"/>
          <w:sz w:val="16"/>
        </w:rPr>
        <w:t xml:space="preserve">. </w:t>
      </w:r>
      <w:r w:rsidRPr="00F933AF">
        <w:rPr>
          <w:rStyle w:val="Emphasis"/>
          <w:rFonts w:cs="Calibri"/>
        </w:rPr>
        <w:t>DHS needs to calculate the full costs of the rule</w:t>
      </w:r>
      <w:r w:rsidRPr="00F933AF">
        <w:rPr>
          <w:rFonts w:cs="Calibri"/>
          <w:sz w:val="16"/>
        </w:rPr>
        <w:t xml:space="preserve">. </w:t>
      </w:r>
      <w:r w:rsidRPr="00F933AF">
        <w:rPr>
          <w:rStyle w:val="StyleUnderline"/>
          <w:rFonts w:cs="Calibri"/>
        </w:rPr>
        <w:t>To do so, it needs to estimate the number of immigrants the rule would exclude and estimate the direct and indirect effects of these exclusions on tax receipts and economic growth.</w:t>
      </w:r>
      <w:r w:rsidRPr="00F933AF">
        <w:rPr>
          <w:rFonts w:cs="Calibri"/>
          <w:sz w:val="16"/>
        </w:rPr>
        <w:t xml:space="preserve"> </w:t>
      </w:r>
      <w:r w:rsidRPr="00F933AF">
        <w:rPr>
          <w:rStyle w:val="Emphasis"/>
          <w:rFonts w:cs="Calibri"/>
        </w:rPr>
        <w:t>Without these reforms</w:t>
      </w:r>
      <w:r w:rsidRPr="00F933AF">
        <w:rPr>
          <w:rFonts w:cs="Calibri"/>
          <w:sz w:val="16"/>
        </w:rPr>
        <w:t xml:space="preserve">, </w:t>
      </w:r>
      <w:r w:rsidRPr="00F933AF">
        <w:rPr>
          <w:rStyle w:val="StyleUnderline"/>
          <w:rFonts w:cs="Calibri"/>
        </w:rPr>
        <w:t>this rule would exclude far more contributors to the United States than public charges</w:t>
      </w:r>
      <w:r w:rsidRPr="00F933AF">
        <w:rPr>
          <w:rFonts w:cs="Calibri"/>
          <w:sz w:val="16"/>
        </w:rPr>
        <w:t xml:space="preserve">. If Congress wants to prevent immigrants from using any welfare at all, it should amend the law to reflect that goal. Until then, </w:t>
      </w:r>
      <w:r w:rsidRPr="00F933AF">
        <w:rPr>
          <w:rStyle w:val="StyleUnderline"/>
          <w:rFonts w:cs="Calibri"/>
        </w:rPr>
        <w:t>DHS should</w:t>
      </w:r>
      <w:r w:rsidRPr="00F933AF">
        <w:rPr>
          <w:rFonts w:cs="Calibri"/>
          <w:sz w:val="16"/>
        </w:rPr>
        <w:t xml:space="preserve"> return to the drawing board and </w:t>
      </w:r>
      <w:r w:rsidRPr="00F933AF">
        <w:rPr>
          <w:rStyle w:val="StyleUnderline"/>
          <w:rFonts w:cs="Calibri"/>
        </w:rPr>
        <w:t>craft a better rule.</w:t>
      </w:r>
    </w:p>
    <w:p w:rsidR="007E3C82" w:rsidRDefault="007E3C82" w:rsidP="007E3C82"/>
    <w:p w:rsidR="008C5D52" w:rsidRPr="00F933AF" w:rsidRDefault="008C5D52" w:rsidP="008C5D52">
      <w:pPr>
        <w:pStyle w:val="Heading4"/>
        <w:rPr>
          <w:rFonts w:cs="Calibri"/>
        </w:rPr>
      </w:pPr>
      <w:r w:rsidRPr="00F933AF">
        <w:rPr>
          <w:rFonts w:cs="Calibri"/>
        </w:rPr>
        <w:t>The aff clarifies the definition of public charge – creates DHS and DOS harmonization</w:t>
      </w:r>
    </w:p>
    <w:p w:rsidR="008C5D52" w:rsidRPr="00F933AF" w:rsidRDefault="008C5D52" w:rsidP="008C5D52">
      <w:pPr>
        <w:spacing w:after="0"/>
        <w:rPr>
          <w:rFonts w:cs="Calibri"/>
        </w:rPr>
      </w:pPr>
      <w:r w:rsidRPr="00F933AF">
        <w:rPr>
          <w:rStyle w:val="Style13ptBold"/>
          <w:rFonts w:cs="Calibri"/>
        </w:rPr>
        <w:t>CRS 17</w:t>
      </w:r>
      <w:r w:rsidRPr="00F933AF">
        <w:rPr>
          <w:rFonts w:cs="Calibri"/>
        </w:rPr>
        <w:t xml:space="preserve"> (Congressional Research Service, congress’s super dope and qualified think tank that provides information on highly controversial debates. 2-6-2017, EveryCRSReport, “Public Charge Grounds of Inadmissibility and Deportability: Legal Overview”) NREM/Lil’ GBN</w:t>
      </w:r>
    </w:p>
    <w:p w:rsidR="008C5D52" w:rsidRPr="00F933AF" w:rsidRDefault="008C5D52" w:rsidP="008C5D52">
      <w:pPr>
        <w:spacing w:after="0"/>
        <w:rPr>
          <w:rFonts w:cs="Calibri"/>
        </w:rPr>
      </w:pPr>
      <w:r w:rsidRPr="00F933AF">
        <w:rPr>
          <w:rFonts w:cs="Calibri"/>
        </w:rPr>
        <w:t>https://www.everycrsreport.com/reports/R43220.html</w:t>
      </w:r>
    </w:p>
    <w:p w:rsidR="008C5D52" w:rsidRPr="00F933AF" w:rsidRDefault="008C5D52" w:rsidP="008C5D52">
      <w:pPr>
        <w:spacing w:after="0"/>
        <w:rPr>
          <w:rFonts w:cs="Calibri"/>
          <w:sz w:val="16"/>
        </w:rPr>
      </w:pPr>
      <w:r w:rsidRPr="00F933AF">
        <w:rPr>
          <w:rFonts w:cs="Calibri"/>
          <w:sz w:val="16"/>
        </w:rPr>
        <w:t xml:space="preserve">The </w:t>
      </w:r>
      <w:r w:rsidRPr="00F933AF">
        <w:rPr>
          <w:rStyle w:val="StyleUnderline"/>
          <w:rFonts w:cs="Calibri"/>
        </w:rPr>
        <w:t>public charge grounds are</w:t>
      </w:r>
      <w:r w:rsidRPr="00F933AF">
        <w:rPr>
          <w:rFonts w:cs="Calibri"/>
          <w:sz w:val="16"/>
        </w:rPr>
        <w:t xml:space="preserve"> currently </w:t>
      </w:r>
      <w:r w:rsidRPr="00F933AF">
        <w:rPr>
          <w:rStyle w:val="StyleUnderline"/>
          <w:rFonts w:cs="Calibri"/>
        </w:rPr>
        <w:t xml:space="preserve">discussed in </w:t>
      </w:r>
      <w:r w:rsidRPr="00F933AF">
        <w:rPr>
          <w:rFonts w:cs="Calibri"/>
          <w:sz w:val="16"/>
        </w:rPr>
        <w:t>the regulations of both the Departments of Homeland Security (</w:t>
      </w:r>
      <w:r w:rsidRPr="00F933AF">
        <w:rPr>
          <w:rStyle w:val="StyleUnderline"/>
          <w:rFonts w:cs="Calibri"/>
        </w:rPr>
        <w:t>DHS</w:t>
      </w:r>
      <w:r w:rsidRPr="00F933AF">
        <w:rPr>
          <w:rFonts w:cs="Calibri"/>
          <w:sz w:val="16"/>
        </w:rPr>
        <w:t xml:space="preserve">) </w:t>
      </w:r>
      <w:r w:rsidRPr="00F933AF">
        <w:rPr>
          <w:rStyle w:val="StyleUnderline"/>
          <w:rFonts w:cs="Calibri"/>
        </w:rPr>
        <w:t>and</w:t>
      </w:r>
      <w:r w:rsidRPr="00F933AF">
        <w:rPr>
          <w:rFonts w:cs="Calibri"/>
          <w:sz w:val="16"/>
        </w:rPr>
        <w:t xml:space="preserve"> State (</w:t>
      </w:r>
      <w:r w:rsidRPr="00F933AF">
        <w:rPr>
          <w:rStyle w:val="StyleUnderline"/>
          <w:rFonts w:cs="Calibri"/>
        </w:rPr>
        <w:t>DOS</w:t>
      </w:r>
      <w:r w:rsidRPr="00F933AF">
        <w:rPr>
          <w:rFonts w:cs="Calibri"/>
          <w:sz w:val="16"/>
        </w:rPr>
        <w:t xml:space="preserve">), as well as in DOS's Foreign Affairs Manual. The </w:t>
      </w:r>
      <w:r w:rsidRPr="00F933AF">
        <w:rPr>
          <w:rStyle w:val="StyleUnderline"/>
          <w:rFonts w:cs="Calibri"/>
        </w:rPr>
        <w:t>DOS regulations address only</w:t>
      </w:r>
      <w:r w:rsidRPr="00F933AF">
        <w:rPr>
          <w:rFonts w:cs="Calibri"/>
          <w:sz w:val="16"/>
        </w:rPr>
        <w:t xml:space="preserve"> the grounds of </w:t>
      </w:r>
      <w:r w:rsidRPr="00F933AF">
        <w:rPr>
          <w:rStyle w:val="StyleUnderline"/>
          <w:rFonts w:cs="Calibri"/>
        </w:rPr>
        <w:t>inadmissibility, since consular officers are responsible for the issuance of visas to aliens outside the United States, but generally play no role in determining whether aliens within the United States are deportable. DHS officials</w:t>
      </w:r>
      <w:r w:rsidRPr="00F933AF">
        <w:rPr>
          <w:rFonts w:cs="Calibri"/>
          <w:sz w:val="16"/>
        </w:rPr>
        <w:t xml:space="preserve">, in contrast, </w:t>
      </w:r>
      <w:r w:rsidRPr="00F933AF">
        <w:rPr>
          <w:rStyle w:val="StyleUnderline"/>
          <w:rFonts w:cs="Calibri"/>
        </w:rPr>
        <w:t xml:space="preserve">determine whether aliens arriving at U.S. ports of entry are to be admitted; whether applications for adjustment of status are to be granted; and whether aliens within the United States are to be removed. </w:t>
      </w:r>
      <w:r w:rsidRPr="00F933AF">
        <w:rPr>
          <w:rFonts w:cs="Calibri"/>
          <w:sz w:val="16"/>
        </w:rPr>
        <w:t xml:space="preserve">Thus, the </w:t>
      </w:r>
      <w:r w:rsidRPr="00F933AF">
        <w:rPr>
          <w:rStyle w:val="StyleUnderline"/>
          <w:rFonts w:cs="Calibri"/>
        </w:rPr>
        <w:t>DHS regulations address</w:t>
      </w:r>
      <w:r w:rsidRPr="00F933AF">
        <w:rPr>
          <w:rFonts w:cs="Calibri"/>
          <w:sz w:val="16"/>
        </w:rPr>
        <w:t xml:space="preserve"> both </w:t>
      </w:r>
      <w:r w:rsidRPr="00F933AF">
        <w:rPr>
          <w:rStyle w:val="StyleUnderline"/>
          <w:rFonts w:cs="Calibri"/>
        </w:rPr>
        <w:t>inadmissibility and deportability</w:t>
      </w:r>
      <w:r w:rsidRPr="00F933AF">
        <w:rPr>
          <w:rFonts w:cs="Calibri"/>
          <w:sz w:val="16"/>
        </w:rPr>
        <w:t xml:space="preserve">. DHS Regulations and Guidance </w:t>
      </w:r>
      <w:proofErr w:type="gramStart"/>
      <w:r w:rsidRPr="00F933AF">
        <w:rPr>
          <w:rFonts w:cs="Calibri"/>
          <w:sz w:val="16"/>
        </w:rPr>
        <w:t>The</w:t>
      </w:r>
      <w:proofErr w:type="gramEnd"/>
      <w:r w:rsidRPr="00F933AF">
        <w:rPr>
          <w:rFonts w:cs="Calibri"/>
          <w:sz w:val="16"/>
        </w:rPr>
        <w:t xml:space="preserve"> </w:t>
      </w:r>
      <w:r w:rsidRPr="00F933AF">
        <w:rPr>
          <w:rStyle w:val="StyleUnderline"/>
          <w:rFonts w:cs="Calibri"/>
        </w:rPr>
        <w:t>INS never</w:t>
      </w:r>
      <w:r w:rsidRPr="00F933AF">
        <w:rPr>
          <w:rFonts w:cs="Calibri"/>
          <w:sz w:val="16"/>
        </w:rPr>
        <w:t xml:space="preserve"> finalized the proposed </w:t>
      </w:r>
      <w:r w:rsidRPr="00F933AF">
        <w:rPr>
          <w:rStyle w:val="StyleUnderline"/>
          <w:rFonts w:cs="Calibri"/>
        </w:rPr>
        <w:t>regulations regarding the public charge grounds</w:t>
      </w:r>
      <w:r w:rsidRPr="00F933AF">
        <w:rPr>
          <w:rFonts w:cs="Calibri"/>
          <w:sz w:val="16"/>
        </w:rPr>
        <w:t xml:space="preserve">, discussed above, </w:t>
      </w:r>
      <w:r w:rsidRPr="00F933AF">
        <w:rPr>
          <w:rStyle w:val="Emphasis"/>
          <w:rFonts w:cs="Calibri"/>
        </w:rPr>
        <w:t>and DHS has not</w:t>
      </w:r>
      <w:r w:rsidRPr="00F933AF">
        <w:rPr>
          <w:rFonts w:cs="Calibri"/>
          <w:sz w:val="16"/>
        </w:rPr>
        <w:t xml:space="preserve"> proposed or </w:t>
      </w:r>
      <w:r w:rsidRPr="00F933AF">
        <w:rPr>
          <w:rStyle w:val="Emphasis"/>
          <w:rFonts w:cs="Calibri"/>
        </w:rPr>
        <w:t>promulgated similar regulations</w:t>
      </w:r>
      <w:r w:rsidRPr="00F933AF">
        <w:rPr>
          <w:rFonts w:cs="Calibri"/>
          <w:sz w:val="16"/>
        </w:rPr>
        <w:t xml:space="preserve">. </w:t>
      </w:r>
      <w:r w:rsidRPr="00F933AF">
        <w:rPr>
          <w:rStyle w:val="StyleUnderline"/>
          <w:rFonts w:cs="Calibri"/>
        </w:rPr>
        <w:t>Instead</w:t>
      </w:r>
      <w:r w:rsidRPr="00F933AF">
        <w:rPr>
          <w:rFonts w:cs="Calibri"/>
          <w:sz w:val="16"/>
        </w:rPr>
        <w:t xml:space="preserve">, the INS and, later, </w:t>
      </w:r>
      <w:r w:rsidRPr="00F933AF">
        <w:rPr>
          <w:rStyle w:val="StyleUnderline"/>
          <w:rFonts w:cs="Calibri"/>
        </w:rPr>
        <w:t>DHS promulgated specific regulations regarding the "special rules" used in determining whether certain applicants for adjustment of status are public charges</w:t>
      </w:r>
      <w:r w:rsidRPr="00F933AF">
        <w:rPr>
          <w:rFonts w:cs="Calibri"/>
          <w:sz w:val="16"/>
        </w:rPr>
        <w:t xml:space="preserve">. For example, </w:t>
      </w:r>
      <w:r w:rsidRPr="00F933AF">
        <w:rPr>
          <w:rStyle w:val="StyleUnderline"/>
          <w:rFonts w:cs="Calibri"/>
        </w:rPr>
        <w:t>DHS regulations</w:t>
      </w:r>
      <w:r w:rsidRPr="00F933AF">
        <w:rPr>
          <w:rFonts w:cs="Calibri"/>
          <w:sz w:val="16"/>
        </w:rPr>
        <w:t xml:space="preserve"> currently </w:t>
      </w:r>
      <w:r w:rsidRPr="00F933AF">
        <w:rPr>
          <w:rStyle w:val="StyleUnderline"/>
          <w:rFonts w:cs="Calibri"/>
        </w:rPr>
        <w:t>provide</w:t>
      </w:r>
      <w:r w:rsidRPr="00F933AF">
        <w:rPr>
          <w:rFonts w:cs="Calibri"/>
          <w:sz w:val="16"/>
        </w:rPr>
        <w:t xml:space="preserve"> that "</w:t>
      </w:r>
      <w:r w:rsidRPr="00F933AF">
        <w:rPr>
          <w:rStyle w:val="StyleUnderline"/>
          <w:rFonts w:cs="Calibri"/>
        </w:rPr>
        <w:t>special agricultural workers</w:t>
      </w:r>
      <w:r w:rsidRPr="00F933AF">
        <w:rPr>
          <w:rFonts w:cs="Calibri"/>
          <w:sz w:val="16"/>
        </w:rPr>
        <w:t xml:space="preserve">" who meet certain requirements </w:t>
      </w:r>
      <w:r w:rsidRPr="00F933AF">
        <w:rPr>
          <w:rStyle w:val="StyleUnderline"/>
          <w:rFonts w:cs="Calibri"/>
        </w:rPr>
        <w:t>are subject to the public charge grounds</w:t>
      </w:r>
      <w:r w:rsidRPr="00F933AF">
        <w:rPr>
          <w:rFonts w:cs="Calibri"/>
          <w:sz w:val="16"/>
        </w:rPr>
        <w:t xml:space="preserve">, but may not be excluded if they have a "consistent employment history" which shows the aliens' ability to support themselves and their families.51 The regulations further provide that "[p]ast acceptance of public cash assistance within a history of consistent employment will enter into" public charge determinations for special agricultural workers, with "the length of time an applicant has received [such] assistance" being viewed as a "significant factor."52 However, the weight given to the acceptance of public cash assistance is expressly said to "depend on many factors,"53 and the overall analysis is "prospective in that [immigration officials] shall determine, based on the applicant's history, whether he or she is likely to become a public charge."54 In other words, pursuant to these regulations, prior receipt of public cash assistance would not necessarily result in an alien being found ineligible for adjustment of status if other factors suggest that the alien is unlikely to become a public charge in the future. There are similar "special rules" for other aliens seeking adjustment of status.55 </w:t>
      </w:r>
      <w:r w:rsidRPr="00F933AF">
        <w:rPr>
          <w:rStyle w:val="StyleUnderline"/>
          <w:rFonts w:cs="Calibri"/>
        </w:rPr>
        <w:t>DHS regulations are</w:t>
      </w:r>
      <w:r w:rsidRPr="00F933AF">
        <w:rPr>
          <w:rFonts w:cs="Calibri"/>
          <w:sz w:val="16"/>
        </w:rPr>
        <w:t xml:space="preserve"> currently </w:t>
      </w:r>
      <w:r w:rsidRPr="00F933AF">
        <w:rPr>
          <w:rStyle w:val="Emphasis"/>
          <w:rFonts w:cs="Calibri"/>
        </w:rPr>
        <w:t>silent</w:t>
      </w:r>
      <w:r w:rsidRPr="00F933AF">
        <w:rPr>
          <w:rFonts w:cs="Calibri"/>
          <w:sz w:val="16"/>
        </w:rPr>
        <w:t xml:space="preserve"> as </w:t>
      </w:r>
      <w:r w:rsidRPr="00F933AF">
        <w:rPr>
          <w:rStyle w:val="Emphasis"/>
          <w:rFonts w:cs="Calibri"/>
        </w:rPr>
        <w:t>to the public charge grounds of deportability</w:t>
      </w:r>
      <w:r w:rsidRPr="00F933AF">
        <w:rPr>
          <w:rFonts w:cs="Calibri"/>
          <w:sz w:val="16"/>
        </w:rPr>
        <w:t xml:space="preserve">. The Pearson memorandum has apparently continued to guide DHS's consideration of public charge determinations. The U.S. Citizenship and Immigration Service's (USCIS's) 2011 "fact sheet" on the public charge grounds, for example, defines public charge in the same way as the Pearson memorandum and expressly references the Pearson memorandum.56 As of February 4, 2017, this fact sheet is publicly available on the DHS website.57 State Department Regulations and Guidance The current </w:t>
      </w:r>
      <w:r w:rsidRPr="00F933AF">
        <w:rPr>
          <w:rStyle w:val="Emphasis"/>
          <w:rFonts w:cs="Calibri"/>
        </w:rPr>
        <w:t>DOS regulations</w:t>
      </w:r>
      <w:r w:rsidRPr="00F933AF">
        <w:rPr>
          <w:rFonts w:cs="Calibri"/>
          <w:sz w:val="16"/>
        </w:rPr>
        <w:t xml:space="preserve">, in contrast, </w:t>
      </w:r>
      <w:r w:rsidRPr="00F933AF">
        <w:rPr>
          <w:rStyle w:val="StyleUnderline"/>
          <w:rFonts w:cs="Calibri"/>
        </w:rPr>
        <w:t>address</w:t>
      </w:r>
      <w:r w:rsidRPr="00F933AF">
        <w:rPr>
          <w:rFonts w:cs="Calibri"/>
          <w:sz w:val="16"/>
        </w:rPr>
        <w:t xml:space="preserve"> the </w:t>
      </w:r>
      <w:r w:rsidRPr="00F933AF">
        <w:rPr>
          <w:rStyle w:val="StyleUnderline"/>
          <w:rFonts w:cs="Calibri"/>
        </w:rPr>
        <w:t>public charge grounds</w:t>
      </w:r>
      <w:r w:rsidRPr="00F933AF">
        <w:rPr>
          <w:rFonts w:cs="Calibri"/>
          <w:sz w:val="16"/>
        </w:rPr>
        <w:t xml:space="preserve"> of inadmissibility </w:t>
      </w:r>
      <w:r w:rsidRPr="00F933AF">
        <w:rPr>
          <w:rStyle w:val="Emphasis"/>
          <w:rFonts w:cs="Calibri"/>
        </w:rPr>
        <w:t>more broadly</w:t>
      </w:r>
      <w:r w:rsidRPr="00F933AF">
        <w:rPr>
          <w:rFonts w:cs="Calibri"/>
          <w:sz w:val="16"/>
        </w:rPr>
        <w:t xml:space="preserve"> than the DHS regulations do. The </w:t>
      </w:r>
      <w:r w:rsidRPr="00F933AF">
        <w:rPr>
          <w:rStyle w:val="StyleUnderline"/>
          <w:rFonts w:cs="Calibri"/>
        </w:rPr>
        <w:t>DOS regulations emphasize the role that the alien's "circumstances" play in determining whether an alien is inadmissible</w:t>
      </w:r>
      <w:r w:rsidRPr="00F933AF">
        <w:rPr>
          <w:rFonts w:cs="Calibri"/>
          <w:sz w:val="16"/>
        </w:rPr>
        <w:t xml:space="preserve">, in part, by specifying that: [a]ny determination that an alien is ineligible [on public charge] grounds must be predicated upon circumstances indicating that, notwithstanding any affidavit of support that may have been filed on the alien's behalf, the alien is likely to become a public charge after admission, or, if applicable, that the alien has failed to fulfill the affidavit of support requirement ....58 </w:t>
      </w:r>
      <w:r w:rsidRPr="00F933AF">
        <w:rPr>
          <w:rStyle w:val="StyleUnderline"/>
          <w:rFonts w:cs="Calibri"/>
        </w:rPr>
        <w:t>Consular officers</w:t>
      </w:r>
      <w:r w:rsidRPr="00F933AF">
        <w:rPr>
          <w:rFonts w:cs="Calibri"/>
          <w:sz w:val="16"/>
        </w:rPr>
        <w:t xml:space="preserve"> are expressly </w:t>
      </w:r>
      <w:r w:rsidRPr="00F933AF">
        <w:rPr>
          <w:rStyle w:val="StyleUnderline"/>
          <w:rFonts w:cs="Calibri"/>
        </w:rPr>
        <w:t xml:space="preserve">authorized to issue visas to aliens </w:t>
      </w:r>
      <w:r w:rsidRPr="00F933AF">
        <w:rPr>
          <w:rFonts w:cs="Calibri"/>
          <w:sz w:val="16"/>
        </w:rPr>
        <w:t xml:space="preserve">subject to the affidavit of support requirement, noted above, who "giv[e] ... a bond or undertaking </w:t>
      </w:r>
      <w:r w:rsidRPr="00F933AF">
        <w:rPr>
          <w:rStyle w:val="StyleUnderline"/>
          <w:rFonts w:cs="Calibri"/>
        </w:rPr>
        <w:t>in accordance w</w:t>
      </w:r>
      <w:r w:rsidRPr="00F933AF">
        <w:rPr>
          <w:rFonts w:cs="Calibri"/>
          <w:sz w:val="16"/>
        </w:rPr>
        <w:t xml:space="preserve">ith INA 213 and INA 221(g)," provided that the officer is satisfied that the giving of such bond or undertaking </w:t>
      </w:r>
      <w:r w:rsidRPr="00F933AF">
        <w:rPr>
          <w:rStyle w:val="StyleUnderline"/>
          <w:rFonts w:cs="Calibri"/>
        </w:rPr>
        <w:t>removes the likelihood that the alien will become a public charge, and the alien is otherwise eligible for a visa</w:t>
      </w:r>
      <w:r w:rsidRPr="00F933AF">
        <w:rPr>
          <w:rFonts w:cs="Calibri"/>
          <w:sz w:val="16"/>
        </w:rPr>
        <w:t xml:space="preserve">.59 However, </w:t>
      </w:r>
      <w:r w:rsidRPr="00F933AF">
        <w:rPr>
          <w:rStyle w:val="Emphasis"/>
          <w:rFonts w:cs="Calibri"/>
        </w:rPr>
        <w:t>consular officers</w:t>
      </w:r>
      <w:r w:rsidRPr="00F933AF">
        <w:rPr>
          <w:rFonts w:cs="Calibri"/>
          <w:sz w:val="16"/>
        </w:rPr>
        <w:t xml:space="preserve"> are also required to </w:t>
      </w:r>
      <w:r w:rsidRPr="00F933AF">
        <w:rPr>
          <w:rStyle w:val="StyleUnderline"/>
          <w:rFonts w:cs="Calibri"/>
        </w:rPr>
        <w:t>presume</w:t>
      </w:r>
      <w:r w:rsidRPr="00F933AF">
        <w:rPr>
          <w:rFonts w:cs="Calibri"/>
          <w:sz w:val="16"/>
        </w:rPr>
        <w:t xml:space="preserve"> that ali</w:t>
      </w:r>
      <w:r w:rsidRPr="00F933AF">
        <w:rPr>
          <w:rStyle w:val="StyleUnderline"/>
          <w:rFonts w:cs="Calibri"/>
        </w:rPr>
        <w:t>ens not subject to the affidavit of support requirement who are relying solely on personal income to establish that they are not likely to become a public charge are ineligible for a visa if they do not demonstrate "an annual income above the federal poverty line" and are without "other adequate financial resources.</w:t>
      </w:r>
      <w:r w:rsidRPr="00F933AF">
        <w:rPr>
          <w:rFonts w:cs="Calibri"/>
          <w:sz w:val="16"/>
        </w:rPr>
        <w:t xml:space="preserve">"60 The </w:t>
      </w:r>
      <w:r w:rsidRPr="00F933AF">
        <w:rPr>
          <w:rStyle w:val="StyleUnderline"/>
          <w:rFonts w:cs="Calibri"/>
        </w:rPr>
        <w:t>DOS</w:t>
      </w:r>
      <w:r w:rsidRPr="00F933AF">
        <w:rPr>
          <w:rFonts w:cs="Calibri"/>
          <w:sz w:val="16"/>
        </w:rPr>
        <w:t xml:space="preserve"> guidance in the Foreign Affairs Manual (FAM) largely </w:t>
      </w:r>
      <w:r w:rsidRPr="00F933AF">
        <w:rPr>
          <w:rStyle w:val="StyleUnderline"/>
          <w:rFonts w:cs="Calibri"/>
        </w:rPr>
        <w:t>parallels</w:t>
      </w:r>
      <w:r w:rsidRPr="00F933AF">
        <w:rPr>
          <w:rFonts w:cs="Calibri"/>
          <w:sz w:val="16"/>
        </w:rPr>
        <w:t xml:space="preserve"> that in the 1999 INS proposed regulations and the Pearson memorandum.61 However, the </w:t>
      </w:r>
      <w:r w:rsidRPr="00F933AF">
        <w:rPr>
          <w:rStyle w:val="StyleUnderline"/>
          <w:rFonts w:cs="Calibri"/>
        </w:rPr>
        <w:t>FAM</w:t>
      </w:r>
      <w:r w:rsidRPr="00F933AF">
        <w:rPr>
          <w:rFonts w:cs="Calibri"/>
          <w:sz w:val="16"/>
        </w:rPr>
        <w:t xml:space="preserve"> expressly characterizes the types of public cash assistance for income maintenance considered in public charge determinations as "means tested benefits."62 The FAM also defines institutionalization for long-term care, which is not defined in the Pearson memorandum, as "care for an indefinite period of time for mental or other health reasons, rather than temporary rehabilitative or recuperative care even if such rehabilitation or recuperation may last weeks or months."63 Overall, though, like the Pearson memorandum, the FAM emphasizes that public charge determinations are to be made based upon the "totality of the circumstances," considering the factors specified in the INA (e.g., age, health), as well as "any other factors thought relevant by an officer in a specific case."64 Past or current receipt of cash benefits for income maintenance or institutionalization at public expense "may be factored into" the determination when it constituted the alien's primary means of subsistence. However, under the FAM, "[a] finding of inadmissibility [on public charge grounds] cannot be based solely on the prior receipt of public benefits," or on institutionalization at public expense.65 Public Benefits and the Public Charge Grounds Collectively, the various sources addressing the meaning of public charge suggest that an alien's receipt of public benefits, per se, has historically been unlikely to result in the alien being deemed removable on public charge grounds. As previously noted, the INA does not define public charge, or link the public charge grounds of inadmissibility and deportability with the receipt of public benefits. </w:t>
      </w:r>
      <w:r w:rsidRPr="00F933AF">
        <w:rPr>
          <w:rStyle w:val="Emphasis"/>
          <w:rFonts w:cs="Calibri"/>
        </w:rPr>
        <w:t>DHS and DOS regulations are</w:t>
      </w:r>
      <w:r w:rsidRPr="00F933AF">
        <w:rPr>
          <w:rFonts w:cs="Calibri"/>
          <w:sz w:val="16"/>
        </w:rPr>
        <w:t xml:space="preserve"> also </w:t>
      </w:r>
      <w:r w:rsidRPr="00F933AF">
        <w:rPr>
          <w:rStyle w:val="Emphasis"/>
          <w:rFonts w:cs="Calibri"/>
        </w:rPr>
        <w:t>silent</w:t>
      </w:r>
      <w:r w:rsidRPr="00F933AF">
        <w:rPr>
          <w:rFonts w:cs="Calibri"/>
          <w:sz w:val="16"/>
        </w:rPr>
        <w:t xml:space="preserve"> as </w:t>
      </w:r>
      <w:r w:rsidRPr="00F933AF">
        <w:rPr>
          <w:rStyle w:val="StyleUnderline"/>
          <w:rFonts w:cs="Calibri"/>
        </w:rPr>
        <w:t>to the definition of public charge and the role that receipt of public benefits may play in public charge determinations</w:t>
      </w:r>
      <w:r w:rsidRPr="00F933AF">
        <w:rPr>
          <w:rFonts w:cs="Calibri"/>
          <w:sz w:val="16"/>
        </w:rPr>
        <w:t xml:space="preserve">. Other </w:t>
      </w:r>
      <w:r w:rsidRPr="00F933AF">
        <w:rPr>
          <w:rStyle w:val="StyleUnderline"/>
          <w:rFonts w:cs="Calibri"/>
        </w:rPr>
        <w:t>guidance from DHS and DOS does link the INA's public charge grounds with public benefits</w:t>
      </w:r>
      <w:r w:rsidRPr="00F933AF">
        <w:rPr>
          <w:rFonts w:cs="Calibri"/>
          <w:sz w:val="16"/>
        </w:rPr>
        <w:t xml:space="preserve">, in part, by </w:t>
      </w:r>
      <w:r w:rsidRPr="00F933AF">
        <w:rPr>
          <w:rStyle w:val="StyleUnderline"/>
          <w:rFonts w:cs="Calibri"/>
        </w:rPr>
        <w:t>defining public charge in such a way as potentially to encompass aliens who receive certain public benefits</w:t>
      </w:r>
      <w:r w:rsidRPr="00F933AF">
        <w:rPr>
          <w:rFonts w:cs="Calibri"/>
          <w:sz w:val="16"/>
        </w:rPr>
        <w:t xml:space="preserve"> (i.e., SSI; certain TANF assistance; state and local cash assistance for income maintenance). However, </w:t>
      </w:r>
      <w:r w:rsidRPr="00F933AF">
        <w:rPr>
          <w:rStyle w:val="StyleUnderline"/>
          <w:rFonts w:cs="Calibri"/>
        </w:rPr>
        <w:t>this guidance</w:t>
      </w:r>
      <w:r w:rsidRPr="00F933AF">
        <w:rPr>
          <w:rFonts w:cs="Calibri"/>
          <w:sz w:val="16"/>
        </w:rPr>
        <w:t xml:space="preserve"> also indicates that </w:t>
      </w:r>
      <w:r w:rsidRPr="00F933AF">
        <w:rPr>
          <w:rStyle w:val="StyleUnderline"/>
          <w:rFonts w:cs="Calibri"/>
        </w:rPr>
        <w:t>prior or current receipt of public benefits</w:t>
      </w:r>
      <w:r w:rsidRPr="00F933AF">
        <w:rPr>
          <w:rFonts w:cs="Calibri"/>
          <w:sz w:val="16"/>
        </w:rPr>
        <w:t xml:space="preserve">, in itself, </w:t>
      </w:r>
      <w:r w:rsidRPr="00F933AF">
        <w:rPr>
          <w:rStyle w:val="StyleUnderline"/>
          <w:rFonts w:cs="Calibri"/>
        </w:rPr>
        <w:t>has</w:t>
      </w:r>
      <w:r w:rsidRPr="00F933AF">
        <w:rPr>
          <w:rFonts w:cs="Calibri"/>
          <w:sz w:val="16"/>
        </w:rPr>
        <w:t xml:space="preserve"> generally </w:t>
      </w:r>
      <w:r w:rsidRPr="00F933AF">
        <w:rPr>
          <w:rStyle w:val="StyleUnderline"/>
          <w:rFonts w:cs="Calibri"/>
        </w:rPr>
        <w:t>not sufficed for an alien to be found removable on public charge grounds</w:t>
      </w:r>
      <w:r w:rsidRPr="00F933AF">
        <w:rPr>
          <w:rFonts w:cs="Calibri"/>
          <w:sz w:val="16"/>
        </w:rPr>
        <w:t xml:space="preserve">. This </w:t>
      </w:r>
      <w:r w:rsidRPr="00F933AF">
        <w:rPr>
          <w:rStyle w:val="StyleUnderline"/>
          <w:rFonts w:cs="Calibri"/>
        </w:rPr>
        <w:t>guidance emphasizes that determinations as to admissibility involve projections regarding whether the alien is "likely to become a public charge" in the future that are based on the totality of the circumstances. T</w:t>
      </w:r>
      <w:r w:rsidRPr="00F933AF">
        <w:rPr>
          <w:rFonts w:cs="Calibri"/>
          <w:sz w:val="16"/>
        </w:rPr>
        <w:t>hese circumstances include, but are not limited to, prior receipt of benefits. The guidance similarly emphasizes that determinations as to deportability are made by applying a three-part test, previously discussed, which considers whether payment for any government-provided assistance was legally required, was demanded, and could be made.</w:t>
      </w:r>
    </w:p>
    <w:p w:rsidR="00B447AE" w:rsidRDefault="00B447AE" w:rsidP="00B447AE"/>
    <w:p w:rsidR="0067262B" w:rsidRDefault="0067262B" w:rsidP="0067262B">
      <w:pPr>
        <w:pStyle w:val="Heading3"/>
      </w:pPr>
      <w:r>
        <w:t>Ableism</w:t>
      </w:r>
    </w:p>
    <w:p w:rsidR="0067262B" w:rsidRPr="00F933AF" w:rsidRDefault="0067262B" w:rsidP="0067262B">
      <w:pPr>
        <w:pStyle w:val="Heading4"/>
        <w:rPr>
          <w:rFonts w:cs="Calibri"/>
        </w:rPr>
      </w:pPr>
      <w:r w:rsidRPr="00F933AF">
        <w:rPr>
          <w:rFonts w:cs="Calibri"/>
        </w:rPr>
        <w:t>Public charge deprives people with disabilities the freedom of mobility and choice on an equal basis with abled-bodies</w:t>
      </w:r>
      <w:r>
        <w:rPr>
          <w:rFonts w:cs="Calibri"/>
        </w:rPr>
        <w:t xml:space="preserve"> – the plan is key to challenge the politics of eugenics in immigration law </w:t>
      </w:r>
    </w:p>
    <w:p w:rsidR="0067262B" w:rsidRPr="00F933AF" w:rsidRDefault="0067262B" w:rsidP="0067262B">
      <w:pPr>
        <w:rPr>
          <w:rFonts w:cs="Calibri"/>
        </w:rPr>
      </w:pPr>
      <w:r w:rsidRPr="00F933AF">
        <w:rPr>
          <w:rFonts w:cs="Calibri"/>
          <w:b/>
        </w:rPr>
        <w:t xml:space="preserve">Weber 16 </w:t>
      </w:r>
      <w:r w:rsidRPr="00F933AF">
        <w:rPr>
          <w:rFonts w:cs="Calibri"/>
        </w:rPr>
        <w:t xml:space="preserve">(Mark C. Weber, professor of law at DePaul University, 6/13/16, “Immigration and Disability in the United States and Canada,” VI. Conclusion: Evaluation and Prospects </w:t>
      </w:r>
      <w:proofErr w:type="gramStart"/>
      <w:r w:rsidRPr="00F933AF">
        <w:rPr>
          <w:rFonts w:cs="Calibri"/>
        </w:rPr>
        <w:t>For</w:t>
      </w:r>
      <w:proofErr w:type="gramEnd"/>
      <w:r w:rsidRPr="00F933AF">
        <w:rPr>
          <w:rFonts w:cs="Calibri"/>
        </w:rPr>
        <w:t xml:space="preserve"> Reform, page 32-35, https://papers.ssrn.com/sol3/papers.cfm?abstract_id=2606781)jy</w:t>
      </w:r>
    </w:p>
    <w:p w:rsidR="0067262B" w:rsidRPr="00F933AF" w:rsidRDefault="0067262B" w:rsidP="0067262B">
      <w:pPr>
        <w:rPr>
          <w:rFonts w:cs="Calibri"/>
          <w:sz w:val="14"/>
        </w:rPr>
      </w:pPr>
      <w:r w:rsidRPr="00F933AF">
        <w:rPr>
          <w:rFonts w:cs="Calibri"/>
          <w:sz w:val="14"/>
        </w:rPr>
        <w:t>What liberalization has taken place in immigration law with respect to disability-based exclusions may be attributed to a disenchantment with Eugenics ideas after the horrors of the Nazi era, and a gradual decline in society’s fear of disability.</w:t>
      </w:r>
      <w:r w:rsidRPr="00F933AF">
        <w:rPr>
          <w:rFonts w:cs="Calibri"/>
        </w:rPr>
        <w:t xml:space="preserve">88 </w:t>
      </w:r>
      <w:r w:rsidRPr="00F933AF">
        <w:rPr>
          <w:rFonts w:cs="Calibri"/>
          <w:u w:val="single"/>
        </w:rPr>
        <w:t>The movement for disability rights, which gained prominence in North America from the 1960s forward, has stressed integration and full participation in daily life for people with disabilities</w:t>
      </w:r>
      <w:r w:rsidRPr="00F933AF">
        <w:rPr>
          <w:rFonts w:cs="Calibri"/>
          <w:sz w:val="14"/>
        </w:rPr>
        <w:t xml:space="preserve">.89 The idea is nothing less than a redefinition of the normal to include disability, and a shift in focus to eliminating barriers to integration and full opportunity.90 </w:t>
      </w:r>
      <w:r w:rsidRPr="00F933AF">
        <w:rPr>
          <w:rFonts w:cs="Calibri"/>
          <w:u w:val="single"/>
        </w:rPr>
        <w:t>There has been a recognition, most strikingly in the U.S. Americans with Disabilities Act 91</w:t>
      </w:r>
      <w:r w:rsidRPr="00F933AF">
        <w:rPr>
          <w:rFonts w:cs="Calibri"/>
          <w:sz w:val="14"/>
        </w:rPr>
        <w:t xml:space="preserve"> and in the Canadian Charter of Rights and Freedoms and statutory enactments,92 </w:t>
      </w:r>
      <w:r w:rsidRPr="00F933AF">
        <w:rPr>
          <w:rFonts w:cs="Calibri"/>
          <w:u w:val="single"/>
        </w:rPr>
        <w:t>that people with disabilities belong in the national community and contribute socially, culturally, and economically to the commonwealth, and that accommodations ought to be provided to facilitate belonging and contribution</w:t>
      </w:r>
      <w:r w:rsidRPr="00F933AF">
        <w:rPr>
          <w:rFonts w:cs="Calibri"/>
          <w:sz w:val="14"/>
        </w:rPr>
        <w:t>. Moreover, in America the Immigration Act of 199093 completed a reorientation of the U.S. immigration system from a single-minded focus on labour needs towards family unification concerns. Hence, immigrants’ inability to work due to unaccommodated disability is less important, at least as long as it does not result in a need for public support. Mixing a metaphor yet stating matters accurately, one source declares that “</w:t>
      </w:r>
      <w:r w:rsidRPr="00F933AF">
        <w:rPr>
          <w:rFonts w:cs="Calibri"/>
          <w:u w:val="single"/>
        </w:rPr>
        <w:t>The cornerstone of the current system revolves around family reunification</w:t>
      </w:r>
      <w:r w:rsidRPr="00F933AF">
        <w:rPr>
          <w:rFonts w:cs="Calibri"/>
          <w:sz w:val="14"/>
        </w:rPr>
        <w:t xml:space="preserve">.”94 </w:t>
      </w:r>
      <w:r w:rsidRPr="00F933AF">
        <w:rPr>
          <w:rFonts w:cs="Calibri"/>
          <w:u w:val="single"/>
        </w:rPr>
        <w:t>This situation contrasts sharply with an immigration policy closely tied to the need for labour</w:t>
      </w:r>
      <w:proofErr w:type="gramStart"/>
      <w:r w:rsidRPr="00F933AF">
        <w:rPr>
          <w:rFonts w:cs="Calibri"/>
          <w:sz w:val="14"/>
        </w:rPr>
        <w:t>,95</w:t>
      </w:r>
      <w:proofErr w:type="gramEnd"/>
      <w:r w:rsidRPr="00F933AF">
        <w:rPr>
          <w:rFonts w:cs="Calibri"/>
          <w:sz w:val="14"/>
        </w:rPr>
        <w:t xml:space="preserve"> although the economy’s labour needs remain a significant theme in immigration regulation in the United States and are a particularly prominent theme in Canada. One source comments: “Distaste for racial or national-origin restrictions finally provoked policy change in both countries in the 1960s, but with strikingly different results. The United States chose family reunification as the major goal of admissions policy; Canadian governments promoted permanent immigration as a path to economic growth.”96 </w:t>
      </w:r>
      <w:r w:rsidRPr="00F933AF">
        <w:rPr>
          <w:rFonts w:cs="Calibri"/>
          <w:u w:val="single"/>
        </w:rPr>
        <w:t>The public charge and excessive demand restrictions remain a significant discriminatory barrier to entry</w:t>
      </w:r>
      <w:r w:rsidRPr="00F933AF">
        <w:rPr>
          <w:rFonts w:cs="Calibri"/>
          <w:sz w:val="14"/>
        </w:rPr>
        <w:t xml:space="preserve">, </w:t>
      </w:r>
      <w:r w:rsidRPr="00F933AF">
        <w:rPr>
          <w:rFonts w:cs="Calibri"/>
          <w:u w:val="single"/>
        </w:rPr>
        <w:t>and in the United States great problems continue with</w:t>
      </w:r>
      <w:r w:rsidRPr="00F933AF">
        <w:rPr>
          <w:rFonts w:cs="Calibri"/>
          <w:sz w:val="14"/>
        </w:rPr>
        <w:t xml:space="preserve"> the evidentiary and procedural aspects of the administration of the immigration laws in general, as well as the difficulty in </w:t>
      </w:r>
      <w:r w:rsidRPr="00F933AF">
        <w:rPr>
          <w:rFonts w:cs="Calibri"/>
          <w:u w:val="single"/>
        </w:rPr>
        <w:t>navigating the immigration system for individuals with mental illness or intellectual disabilities</w:t>
      </w:r>
      <w:r w:rsidRPr="00F933AF">
        <w:rPr>
          <w:rFonts w:cs="Calibri"/>
        </w:rPr>
        <w:t xml:space="preserve">. </w:t>
      </w:r>
      <w:r w:rsidRPr="00F933AF">
        <w:rPr>
          <w:rFonts w:cs="Calibri"/>
          <w:u w:val="single"/>
        </w:rPr>
        <w:t>Relaxation of public charge-related exclusions and adoption of reforms such as more widely available examinations for incompetency and broader access to lawyers for indigent persons subject to removal would go far to accommodate people with disabilities striving to obtain the benefit of the recent changes in the immigration laws</w:t>
      </w:r>
      <w:r w:rsidRPr="00F933AF">
        <w:rPr>
          <w:rFonts w:cs="Calibri"/>
        </w:rPr>
        <w:t>.</w:t>
      </w:r>
      <w:r w:rsidRPr="00F933AF">
        <w:rPr>
          <w:rFonts w:cs="Calibri"/>
          <w:sz w:val="14"/>
        </w:rPr>
        <w:t xml:space="preserve"> More specifically, in the United States the reforms occasioned by the Franco-Gonzales case represent an important instance of accommodation for immigrants with disabilities, but the reforms remain at this time a matter of court order in three states and an ad hoc administrative edict elsewhere. In 2014, Representative Jeffries introduced a bill to provide counsel for unaccompanied immigrant children and people with mental disabilities in removal proceedings.97 Adoption of this statutory change would make the accommodation secure. In addition, as noted above, having representation at the competency hearings themselves is a needed accommodation. Consent to removal should not be solicited or accepted from those who do not fully understand what they are signing. And those individuals who are unlikely ever to become competent must not be held indefinitely, in accordance with well established United States Supreme Court caselaw interpreting the due process clause. In Canada, and perhaps someday in the United States, advocates should be able to support their case for reforms with </w:t>
      </w:r>
      <w:r w:rsidRPr="00F933AF">
        <w:rPr>
          <w:rFonts w:cs="Calibri"/>
          <w:u w:val="single"/>
        </w:rPr>
        <w:t>Article 18 of the United Nations Convention on the Rights of Persons with Disabilities</w:t>
      </w:r>
      <w:r w:rsidRPr="00F933AF">
        <w:rPr>
          <w:rFonts w:cs="Calibri"/>
          <w:sz w:val="14"/>
        </w:rPr>
        <w:t xml:space="preserve">. 98 The Convention </w:t>
      </w:r>
      <w:r w:rsidRPr="00F933AF">
        <w:rPr>
          <w:rFonts w:cs="Calibri"/>
          <w:u w:val="single"/>
        </w:rPr>
        <w:t>mandates both freedom of movement across borders on a nondiscriminatory basis and accommodations in the immigration process</w:t>
      </w:r>
      <w:r w:rsidRPr="00F933AF">
        <w:rPr>
          <w:rFonts w:cs="Calibri"/>
        </w:rPr>
        <w:t xml:space="preserve">. </w:t>
      </w:r>
      <w:r w:rsidRPr="00F933AF">
        <w:rPr>
          <w:rFonts w:cs="Calibri"/>
          <w:u w:val="single"/>
        </w:rPr>
        <w:t>It provides that “States Parties shall recognize the rights of persons with disabilities to liberty of movement, to freedom to choose their residence and to a nationality, on an equal basis with others,” and that states parties must ensure that persons with disabilities “[a]re not deprived, on the basis of disability, of their ability to obtain, possess and utilize documentation of their nationality or other documentation of identification, or to utilize relevant processes such as immigration proceedings, that may be needed to facilitate exercise of the right to liberty of movement</w:t>
      </w:r>
      <w:r w:rsidRPr="00F933AF">
        <w:rPr>
          <w:rFonts w:cs="Calibri"/>
          <w:sz w:val="14"/>
        </w:rPr>
        <w:t xml:space="preserve">.”99 To the extent that considerations of public charge and excessive demand correlate with disability, </w:t>
      </w:r>
      <w:r w:rsidRPr="00F933AF">
        <w:rPr>
          <w:rFonts w:cs="Calibri"/>
          <w:u w:val="single"/>
        </w:rPr>
        <w:t>compliance with the Convention would call for reasonable modifications of those exclusionary provisions</w:t>
      </w:r>
      <w:r w:rsidRPr="00F933AF">
        <w:rPr>
          <w:rFonts w:cs="Calibri"/>
          <w:sz w:val="14"/>
        </w:rPr>
        <w:t xml:space="preserve">. At the minimum, </w:t>
      </w:r>
      <w:r w:rsidRPr="00F933AF">
        <w:rPr>
          <w:rFonts w:cs="Calibri"/>
          <w:u w:val="single"/>
        </w:rPr>
        <w:t>the obstacles faced by people with disabilities in U.S. immigration proceedings</w:t>
      </w:r>
      <w:r w:rsidRPr="00F933AF">
        <w:rPr>
          <w:rFonts w:cs="Calibri"/>
          <w:sz w:val="14"/>
        </w:rPr>
        <w:t xml:space="preserve"> will </w:t>
      </w:r>
      <w:r w:rsidRPr="00F933AF">
        <w:rPr>
          <w:rFonts w:cs="Calibri"/>
          <w:u w:val="single"/>
        </w:rPr>
        <w:t>need to be addressed</w:t>
      </w:r>
      <w:r w:rsidRPr="00F933AF">
        <w:rPr>
          <w:rFonts w:cs="Calibri"/>
          <w:sz w:val="14"/>
        </w:rPr>
        <w:t xml:space="preserve"> if the United States ratifies the Convention and enacts legislation to put it into effect.100 Finally, at least in the United States, involvement in the criminal justice system is a broad gateway to removal of immigrants with disabilities. </w:t>
      </w:r>
      <w:r w:rsidRPr="00F933AF">
        <w:rPr>
          <w:rFonts w:cs="Calibri"/>
          <w:u w:val="single"/>
        </w:rPr>
        <w:t>In the absence of adequate mental health services</w:t>
      </w:r>
      <w:r w:rsidRPr="00F933AF">
        <w:rPr>
          <w:rFonts w:cs="Calibri"/>
          <w:sz w:val="14"/>
        </w:rPr>
        <w:t xml:space="preserve">101 </w:t>
      </w:r>
      <w:r w:rsidRPr="00F933AF">
        <w:rPr>
          <w:rFonts w:cs="Calibri"/>
          <w:u w:val="single"/>
        </w:rPr>
        <w:t>and the presence of criminalization of behaviours such as sleeping in parks or public transit, begging in prohibited areas, and possession of small amounts of drugs</w:t>
      </w:r>
      <w:proofErr w:type="gramStart"/>
      <w:r w:rsidRPr="00F933AF">
        <w:rPr>
          <w:rFonts w:cs="Calibri"/>
          <w:sz w:val="14"/>
        </w:rPr>
        <w:t>,102</w:t>
      </w:r>
      <w:proofErr w:type="gramEnd"/>
      <w:r w:rsidRPr="00F933AF">
        <w:rPr>
          <w:rFonts w:cs="Calibri"/>
          <w:sz w:val="14"/>
        </w:rPr>
        <w:t xml:space="preserve"> </w:t>
      </w:r>
      <w:r w:rsidRPr="00F933AF">
        <w:rPr>
          <w:rFonts w:cs="Calibri"/>
          <w:u w:val="single"/>
        </w:rPr>
        <w:t>persons with mental illness will continue to be swept off the street and into immigration detention</w:t>
      </w:r>
      <w:r w:rsidRPr="00F933AF">
        <w:rPr>
          <w:rFonts w:cs="Calibri"/>
          <w:sz w:val="14"/>
        </w:rPr>
        <w:t xml:space="preserve">. Provision of mental health services and decriminalization of conduct that is essentially harmless, even if sometimes disturbing to outsiders, is a change that would effectively produce an accommodation for the life challenges of persons with mental disabilities in the contemporary North American environment. The recent reforms in United States practices regarding </w:t>
      </w:r>
      <w:r w:rsidRPr="00F933AF">
        <w:rPr>
          <w:rFonts w:cs="Calibri"/>
          <w:u w:val="single"/>
        </w:rPr>
        <w:t>naturalization are a valuable accommodation for immigrants with disabilities yearning for citizenship</w:t>
      </w:r>
      <w:r w:rsidRPr="00F933AF">
        <w:rPr>
          <w:rFonts w:cs="Calibri"/>
          <w:sz w:val="14"/>
        </w:rPr>
        <w:t>. These reforms are worthy of consideration in Canada. At the minimum, Canadian lawmakers might reconsider the recent changes that have made attaining citizenship more difficult for persons with disabilities. The relaxation of some disability-related immigration restrictions in the United States and Canada and easing of the required showings for U.S. citizenship illustrate the significant, though incomplete, removal of disability-related barriers in North American law and society.</w:t>
      </w:r>
    </w:p>
    <w:p w:rsidR="0067262B" w:rsidRPr="0067262B" w:rsidRDefault="0067262B" w:rsidP="0067262B"/>
    <w:p w:rsidR="00E5343F" w:rsidRDefault="00E5343F" w:rsidP="00B63751">
      <w:pPr>
        <w:pStyle w:val="Heading2"/>
      </w:pPr>
      <w:r w:rsidRPr="00F933AF">
        <w:t xml:space="preserve">Framing </w:t>
      </w:r>
    </w:p>
    <w:p w:rsidR="003F0AB2" w:rsidRPr="003F0AB2" w:rsidRDefault="003F0AB2" w:rsidP="003F0AB2">
      <w:pPr>
        <w:pStyle w:val="Heading3"/>
      </w:pPr>
      <w:r>
        <w:t xml:space="preserve">General </w:t>
      </w:r>
    </w:p>
    <w:p w:rsidR="00E5343F" w:rsidRPr="00F933AF" w:rsidRDefault="00E5343F" w:rsidP="00E5343F">
      <w:pPr>
        <w:pStyle w:val="Heading4"/>
        <w:rPr>
          <w:rFonts w:cs="Calibri"/>
        </w:rPr>
      </w:pPr>
      <w:r w:rsidRPr="00F933AF">
        <w:rPr>
          <w:rFonts w:cs="Calibri"/>
        </w:rPr>
        <w:t>“Extinction First” claims are the debate equivalent of #alllivesmatter. Privileging humanity over the disabled is an ontologically suspect position that devalues humanity as a whole and pushes disability to the margins – reject the cold logic of utilitarianism</w:t>
      </w:r>
    </w:p>
    <w:p w:rsidR="00E5343F" w:rsidRPr="00F933AF" w:rsidRDefault="00E5343F" w:rsidP="00E5343F">
      <w:pPr>
        <w:rPr>
          <w:rFonts w:cs="Calibri"/>
        </w:rPr>
      </w:pPr>
      <w:r w:rsidRPr="00F933AF">
        <w:rPr>
          <w:rStyle w:val="Style13ptBold"/>
          <w:rFonts w:cs="Calibri"/>
        </w:rPr>
        <w:t>HUGHES ’07</w:t>
      </w:r>
      <w:r w:rsidRPr="00F933AF">
        <w:rPr>
          <w:rFonts w:cs="Calibri"/>
        </w:rPr>
        <w:t xml:space="preserve"> (Bill; “Being Disabled: Towards a Critical Social Ontology for Disability Studies,” Disability &amp; Society, 22:7</w:t>
      </w:r>
      <w:proofErr w:type="gramStart"/>
      <w:r w:rsidRPr="00F933AF">
        <w:rPr>
          <w:rFonts w:cs="Calibri"/>
        </w:rPr>
        <w:t>)ww</w:t>
      </w:r>
      <w:proofErr w:type="gramEnd"/>
    </w:p>
    <w:p w:rsidR="00E5343F" w:rsidRPr="00F933AF" w:rsidRDefault="00E5343F" w:rsidP="00E5343F">
      <w:pPr>
        <w:rPr>
          <w:rFonts w:cs="Calibri"/>
          <w:sz w:val="8"/>
        </w:rPr>
      </w:pPr>
      <w:r w:rsidRPr="00F933AF">
        <w:rPr>
          <w:rFonts w:cs="Calibri"/>
          <w:sz w:val="8"/>
        </w:rPr>
        <w:t xml:space="preserve">Challenging the argument from frailty </w:t>
      </w:r>
      <w:proofErr w:type="gramStart"/>
      <w:r w:rsidRPr="00F933AF">
        <w:rPr>
          <w:rStyle w:val="Emphasis"/>
          <w:rFonts w:cs="Calibri"/>
          <w:highlight w:val="yellow"/>
        </w:rPr>
        <w:t>For</w:t>
      </w:r>
      <w:proofErr w:type="gramEnd"/>
      <w:r w:rsidRPr="00F933AF">
        <w:rPr>
          <w:rStyle w:val="Emphasis"/>
          <w:rFonts w:cs="Calibri"/>
          <w:highlight w:val="yellow"/>
        </w:rPr>
        <w:t xml:space="preserve"> most people</w:t>
      </w:r>
      <w:r w:rsidRPr="00F933AF">
        <w:rPr>
          <w:rStyle w:val="StyleUnderline"/>
          <w:rFonts w:cs="Calibri"/>
          <w:highlight w:val="yellow"/>
        </w:rPr>
        <w:t xml:space="preserve"> ‘</w:t>
      </w:r>
      <w:r w:rsidRPr="00F933AF">
        <w:rPr>
          <w:rStyle w:val="Emphasis"/>
          <w:rFonts w:cs="Calibri"/>
          <w:highlight w:val="yellow"/>
        </w:rPr>
        <w:t>it goes without saying</w:t>
      </w:r>
      <w:r w:rsidRPr="00F933AF">
        <w:rPr>
          <w:rStyle w:val="StyleUnderline"/>
          <w:rFonts w:cs="Calibri"/>
          <w:highlight w:val="yellow"/>
        </w:rPr>
        <w:t xml:space="preserve">’ </w:t>
      </w:r>
      <w:r w:rsidRPr="00F933AF">
        <w:rPr>
          <w:rStyle w:val="Emphasis"/>
          <w:rFonts w:cs="Calibri"/>
          <w:highlight w:val="yellow"/>
        </w:rPr>
        <w:t>that they are human beings</w:t>
      </w:r>
      <w:r w:rsidRPr="00F933AF">
        <w:rPr>
          <w:rFonts w:cs="Calibri"/>
          <w:sz w:val="8"/>
          <w:highlight w:val="yellow"/>
        </w:rPr>
        <w:t xml:space="preserve">. </w:t>
      </w:r>
      <w:r w:rsidRPr="00F933AF">
        <w:rPr>
          <w:rStyle w:val="Emphasis"/>
          <w:rFonts w:cs="Calibri"/>
          <w:highlight w:val="yellow"/>
        </w:rPr>
        <w:t>For disabled people</w:t>
      </w:r>
      <w:r w:rsidRPr="00F933AF">
        <w:rPr>
          <w:rStyle w:val="StyleUnderline"/>
          <w:rFonts w:cs="Calibri"/>
          <w:highlight w:val="yellow"/>
        </w:rPr>
        <w:t xml:space="preserve"> </w:t>
      </w:r>
      <w:r w:rsidRPr="00F933AF">
        <w:rPr>
          <w:rStyle w:val="StyleUnderline"/>
          <w:rFonts w:cs="Calibri"/>
        </w:rPr>
        <w:t>in many historical contexts ‘</w:t>
      </w:r>
      <w:r w:rsidRPr="00F933AF">
        <w:rPr>
          <w:rStyle w:val="Emphasis"/>
          <w:rFonts w:cs="Calibri"/>
          <w:highlight w:val="yellow"/>
        </w:rPr>
        <w:t>it has to be said</w:t>
      </w:r>
      <w:r w:rsidRPr="00F933AF">
        <w:rPr>
          <w:rStyle w:val="StyleUnderline"/>
          <w:rFonts w:cs="Calibri"/>
        </w:rPr>
        <w:t>’</w:t>
      </w:r>
      <w:r w:rsidRPr="00F933AF">
        <w:rPr>
          <w:rFonts w:cs="Calibri"/>
          <w:sz w:val="8"/>
        </w:rPr>
        <w:t xml:space="preserve">. </w:t>
      </w:r>
      <w:r w:rsidRPr="00F933AF">
        <w:rPr>
          <w:rStyle w:val="Emphasis"/>
          <w:rFonts w:cs="Calibri"/>
          <w:highlight w:val="yellow"/>
        </w:rPr>
        <w:t>Writers who appeal to</w:t>
      </w:r>
      <w:r w:rsidRPr="00F933AF">
        <w:rPr>
          <w:rStyle w:val="StyleUnderline"/>
          <w:rFonts w:cs="Calibri"/>
        </w:rPr>
        <w:t xml:space="preserve"> the humanist nominalism of the human universal</w:t>
      </w:r>
      <w:r w:rsidRPr="00F933AF">
        <w:rPr>
          <w:rFonts w:cs="Calibri"/>
          <w:sz w:val="8"/>
        </w:rPr>
        <w:t>—</w:t>
      </w:r>
      <w:r w:rsidRPr="00F933AF">
        <w:rPr>
          <w:rStyle w:val="StyleUnderline"/>
          <w:rFonts w:cs="Calibri"/>
        </w:rPr>
        <w:t>namely</w:t>
      </w:r>
      <w:r w:rsidRPr="00F933AF">
        <w:rPr>
          <w:rFonts w:cs="Calibri"/>
          <w:sz w:val="8"/>
        </w:rPr>
        <w:t xml:space="preserve"> mankind or </w:t>
      </w:r>
      <w:r w:rsidRPr="00F933AF">
        <w:rPr>
          <w:rStyle w:val="Emphasis"/>
          <w:rFonts w:cs="Calibri"/>
          <w:highlight w:val="yellow"/>
        </w:rPr>
        <w:t>humanity</w:t>
      </w:r>
      <w:r w:rsidRPr="00F933AF">
        <w:rPr>
          <w:rFonts w:cs="Calibri"/>
          <w:sz w:val="8"/>
        </w:rPr>
        <w:t>—</w:t>
      </w:r>
      <w:r w:rsidRPr="00F933AF">
        <w:rPr>
          <w:rStyle w:val="StyleUnderline"/>
          <w:rFonts w:cs="Calibri"/>
        </w:rPr>
        <w:t xml:space="preserve">in order to stress the ontological worth of disabled people recognize the myriad ways in which a disabled existence is invalidated, but do so by </w:t>
      </w:r>
      <w:r w:rsidRPr="00F933AF">
        <w:rPr>
          <w:rStyle w:val="Emphasis"/>
          <w:rFonts w:cs="Calibri"/>
          <w:highlight w:val="yellow"/>
        </w:rPr>
        <w:t>abrogat</w:t>
      </w:r>
      <w:r w:rsidRPr="00F933AF">
        <w:rPr>
          <w:rStyle w:val="StyleUnderline"/>
          <w:rFonts w:cs="Calibri"/>
        </w:rPr>
        <w:t xml:space="preserve">ing </w:t>
      </w:r>
      <w:r w:rsidRPr="00F933AF">
        <w:rPr>
          <w:rStyle w:val="Emphasis"/>
          <w:rFonts w:cs="Calibri"/>
          <w:highlight w:val="yellow"/>
        </w:rPr>
        <w:t>disability as a meaningful subject position</w:t>
      </w:r>
      <w:r w:rsidRPr="00F933AF">
        <w:rPr>
          <w:rFonts w:cs="Calibri"/>
          <w:sz w:val="8"/>
        </w:rPr>
        <w:t xml:space="preserve">. Both Turner, on the one hand, and Shakespeare and Watson, on the other, end up embracing </w:t>
      </w:r>
      <w:r w:rsidRPr="00F933AF">
        <w:rPr>
          <w:rStyle w:val="StyleUnderline"/>
          <w:rFonts w:cs="Calibri"/>
        </w:rPr>
        <w:t>the kind of post-enlightenment humanism in which difference disappears into the abstract and disability is eclipsed by the notion of a common humanity</w:t>
      </w:r>
      <w:r w:rsidRPr="00F933AF">
        <w:rPr>
          <w:rFonts w:cs="Calibri"/>
          <w:sz w:val="8"/>
        </w:rPr>
        <w:t xml:space="preserve">. </w:t>
      </w:r>
      <w:r w:rsidRPr="00F933AF">
        <w:rPr>
          <w:rStyle w:val="StyleUnderline"/>
          <w:rFonts w:cs="Calibri"/>
        </w:rPr>
        <w:t>Particular and concrete existential status (</w:t>
      </w:r>
      <w:r w:rsidRPr="00F933AF">
        <w:rPr>
          <w:rStyle w:val="Emphasis"/>
          <w:rFonts w:cs="Calibri"/>
          <w:highlight w:val="yellow"/>
        </w:rPr>
        <w:t>disability and the experience of oppression</w:t>
      </w:r>
      <w:r w:rsidRPr="00F933AF">
        <w:rPr>
          <w:rStyle w:val="StyleUnderline"/>
          <w:rFonts w:cs="Calibri"/>
        </w:rPr>
        <w:t xml:space="preserve"> that is its accompaniment) </w:t>
      </w:r>
      <w:r w:rsidRPr="00F933AF">
        <w:rPr>
          <w:rStyle w:val="Emphasis"/>
          <w:rFonts w:cs="Calibri"/>
          <w:highlight w:val="yellow"/>
        </w:rPr>
        <w:t>is sacrificed on the altar of an elusive universal</w:t>
      </w:r>
      <w:r w:rsidRPr="00F933AF">
        <w:rPr>
          <w:rStyle w:val="StyleUnderline"/>
          <w:rFonts w:cs="Calibri"/>
        </w:rPr>
        <w:t xml:space="preserve"> (</w:t>
      </w:r>
      <w:r w:rsidRPr="00F933AF">
        <w:rPr>
          <w:rStyle w:val="Emphasis"/>
          <w:rFonts w:cs="Calibri"/>
          <w:highlight w:val="yellow"/>
        </w:rPr>
        <w:t>humanity</w:t>
      </w:r>
      <w:r w:rsidRPr="00F933AF">
        <w:rPr>
          <w:rStyle w:val="StyleUnderline"/>
          <w:rFonts w:cs="Calibri"/>
        </w:rPr>
        <w:t xml:space="preserve">) </w:t>
      </w:r>
      <w:r w:rsidRPr="00F933AF">
        <w:rPr>
          <w:rStyle w:val="Emphasis"/>
          <w:rFonts w:cs="Calibri"/>
          <w:highlight w:val="yellow"/>
        </w:rPr>
        <w:t>that upon brief inspection turns out to have no meaningful political content whatsoever</w:t>
      </w:r>
      <w:r w:rsidRPr="00F933AF">
        <w:rPr>
          <w:rFonts w:cs="Calibri"/>
          <w:sz w:val="8"/>
        </w:rPr>
        <w:t xml:space="preserve">. Of course there is something </w:t>
      </w:r>
      <w:r w:rsidRPr="00F933AF">
        <w:rPr>
          <w:rStyle w:val="StyleUnderline"/>
          <w:rFonts w:cs="Calibri"/>
        </w:rPr>
        <w:t>in the abstract universal argument</w:t>
      </w:r>
      <w:r w:rsidRPr="00F933AF">
        <w:rPr>
          <w:rFonts w:cs="Calibri"/>
          <w:sz w:val="8"/>
        </w:rPr>
        <w:t xml:space="preserve">, because it recognizes that </w:t>
      </w:r>
      <w:r w:rsidRPr="00F933AF">
        <w:rPr>
          <w:rStyle w:val="StyleUnderline"/>
          <w:rFonts w:cs="Calibri"/>
        </w:rPr>
        <w:t>disabled people have to make a significant effort to establish their human worth</w:t>
      </w:r>
      <w:r w:rsidRPr="00F933AF">
        <w:rPr>
          <w:rFonts w:cs="Calibri"/>
          <w:sz w:val="8"/>
        </w:rPr>
        <w:t xml:space="preserve">. </w:t>
      </w:r>
      <w:r w:rsidRPr="00F933AF">
        <w:rPr>
          <w:rStyle w:val="StyleUnderline"/>
          <w:rFonts w:cs="Calibri"/>
        </w:rPr>
        <w:t>Yet</w:t>
      </w:r>
      <w:r w:rsidRPr="00F933AF">
        <w:rPr>
          <w:rFonts w:cs="Calibri"/>
          <w:sz w:val="8"/>
        </w:rPr>
        <w:t xml:space="preserve"> this is a massive sacrifice if </w:t>
      </w:r>
      <w:r w:rsidRPr="00F933AF">
        <w:rPr>
          <w:rStyle w:val="StyleUnderline"/>
          <w:rFonts w:cs="Calibri"/>
        </w:rPr>
        <w:t>they have to abandon their particularity in order to do so</w:t>
      </w:r>
      <w:r w:rsidRPr="00F933AF">
        <w:rPr>
          <w:rFonts w:cs="Calibri"/>
          <w:sz w:val="8"/>
        </w:rPr>
        <w:t xml:space="preserve">. Shakespeare and Watson (2002, p. 27) argued that there ‘is no qualitative difference between disabled people and non-disabled people, because we are all impaired’ and Turner (2001, p. 262) claimed that ‘frailty is a universal condition of the human species’, which clearly suggests that ‘the ubiquity of impairment is an empirical fact not a relativist claim’ (Shakespeare &amp; Watson, 2002, p. 27). Turner and Shakespeare and Watson argued that </w:t>
      </w:r>
      <w:r w:rsidRPr="00F933AF">
        <w:rPr>
          <w:rStyle w:val="StyleUnderline"/>
          <w:rFonts w:cs="Calibri"/>
        </w:rPr>
        <w:t>disabled people have a peculiar passport to universality that is incontrovertible in its validity</w:t>
      </w:r>
      <w:r w:rsidRPr="00F933AF">
        <w:rPr>
          <w:rFonts w:cs="Calibri"/>
          <w:sz w:val="8"/>
        </w:rPr>
        <w:t xml:space="preserve">. </w:t>
      </w:r>
      <w:r w:rsidRPr="00F933AF">
        <w:rPr>
          <w:rStyle w:val="StyleUnderline"/>
          <w:rFonts w:cs="Calibri"/>
        </w:rPr>
        <w:t>Human life is fragile and disabled people epitomize fragility, ergo disabled people enter into the siblingship of the human universal on the grounds that they have the necessary and sufficient qualifications</w:t>
      </w:r>
      <w:r w:rsidRPr="00F933AF">
        <w:rPr>
          <w:rFonts w:cs="Calibri"/>
          <w:sz w:val="8"/>
        </w:rPr>
        <w:t xml:space="preserve">. </w:t>
      </w:r>
      <w:r w:rsidRPr="00F933AF">
        <w:rPr>
          <w:rStyle w:val="StyleUnderline"/>
          <w:rFonts w:cs="Calibri"/>
        </w:rPr>
        <w:t>In fact, it turns out that it is impairment that is the universal</w:t>
      </w:r>
      <w:r w:rsidRPr="00F933AF">
        <w:rPr>
          <w:rFonts w:cs="Calibri"/>
          <w:sz w:val="8"/>
        </w:rPr>
        <w:t xml:space="preserve">. </w:t>
      </w:r>
      <w:r w:rsidRPr="00F933AF">
        <w:rPr>
          <w:rStyle w:val="Emphasis"/>
          <w:rFonts w:cs="Calibri"/>
          <w:highlight w:val="yellow"/>
        </w:rPr>
        <w:t>If it is frailty that confers humanity, then non-disabled people who fail to recognize their vulnerability fail to recognize their own humanity</w:t>
      </w:r>
      <w:r w:rsidRPr="00F933AF">
        <w:rPr>
          <w:rFonts w:cs="Calibri"/>
          <w:sz w:val="8"/>
        </w:rPr>
        <w:t xml:space="preserve">. On the other hand, the category of disability has to be disavowed by disabled people because their claim to universality has come to the fore through their authenticity as representative of the species. </w:t>
      </w:r>
      <w:r w:rsidRPr="00F933AF">
        <w:rPr>
          <w:rStyle w:val="StyleUnderline"/>
          <w:rFonts w:cs="Calibri"/>
        </w:rPr>
        <w:t>While one might use this argument to get non-disabled people to think about disability and to recognize ‘the other’ in their own lives</w:t>
      </w:r>
      <w:r w:rsidRPr="00F933AF">
        <w:rPr>
          <w:rFonts w:cs="Calibri"/>
          <w:sz w:val="8"/>
        </w:rPr>
        <w:t xml:space="preserve">, it seems to me that </w:t>
      </w:r>
      <w:r w:rsidRPr="00F933AF">
        <w:rPr>
          <w:rStyle w:val="StyleUnderline"/>
          <w:rFonts w:cs="Calibri"/>
        </w:rPr>
        <w:t>turning the ontological problem on its head delivers to disabled people struggling against discrimination a fairly hollow scholastic victory</w:t>
      </w:r>
      <w:r w:rsidRPr="00F933AF">
        <w:rPr>
          <w:rFonts w:cs="Calibri"/>
          <w:sz w:val="8"/>
        </w:rPr>
        <w:t xml:space="preserve">. </w:t>
      </w:r>
      <w:r w:rsidRPr="00F933AF">
        <w:rPr>
          <w:rStyle w:val="StyleUnderline"/>
          <w:rFonts w:cs="Calibri"/>
        </w:rPr>
        <w:t>When people feel that they have to make a claim to humanity they are usually already in big trouble</w:t>
      </w:r>
      <w:r w:rsidRPr="00F933AF">
        <w:rPr>
          <w:rFonts w:cs="Calibri"/>
          <w:sz w:val="8"/>
        </w:rPr>
        <w:t xml:space="preserve">. </w:t>
      </w:r>
      <w:r w:rsidRPr="00F933AF">
        <w:rPr>
          <w:rStyle w:val="StyleUnderline"/>
          <w:rFonts w:cs="Calibri"/>
        </w:rPr>
        <w:t>Enlightenment humanism was probably very far from the minds of slave owners or commandants of Nazi concentration camps</w:t>
      </w:r>
      <w:r w:rsidRPr="00F933AF">
        <w:rPr>
          <w:rFonts w:cs="Calibri"/>
          <w:sz w:val="8"/>
        </w:rPr>
        <w:t xml:space="preserve">. One is reminded of Shylock in The merchant of Venice when he tries to convince his Christian contemporaries of his human credentials: Hath not a Jew eyes? Hath not a Jew hands, organs, dimensions, senses, affections, passions; fed with the same food, hurt with the same weapons, subject to the same diseases, healed by the same means, warmed and cooled by the same winter and summer as a Christian is? If you prick us do we not bleed? The eloquent appeal for recognition as a member of the species is, of course, superfluous. Hardly surprising perhaps, since Shylock’s rationalism is greeted with prejudice, i.e. with closure of the mind. </w:t>
      </w:r>
      <w:r w:rsidRPr="00F933AF">
        <w:rPr>
          <w:rStyle w:val="StyleUnderline"/>
          <w:rFonts w:cs="Calibri"/>
        </w:rPr>
        <w:t>Disability studies would be advised to begin with the social, material reality of disabled peoples lives and the ‘lived experience’ of disability</w:t>
      </w:r>
      <w:r w:rsidRPr="00F933AF">
        <w:rPr>
          <w:rFonts w:cs="Calibri"/>
          <w:sz w:val="8"/>
        </w:rPr>
        <w:t xml:space="preserve"> (Paterson &amp; Hughes, 1999; Tichkosky, 2005) </w:t>
      </w:r>
      <w:r w:rsidRPr="00F933AF">
        <w:rPr>
          <w:rStyle w:val="StyleUnderline"/>
          <w:rFonts w:cs="Calibri"/>
        </w:rPr>
        <w:t>rather than with claims that have roots in a tired, abstract philosophical tradition</w:t>
      </w:r>
      <w:r w:rsidRPr="00F933AF">
        <w:rPr>
          <w:rFonts w:cs="Calibri"/>
          <w:sz w:val="8"/>
        </w:rPr>
        <w:t xml:space="preserve">. </w:t>
      </w:r>
      <w:r w:rsidRPr="00F933AF">
        <w:rPr>
          <w:rStyle w:val="StyleUnderline"/>
          <w:rFonts w:cs="Calibri"/>
        </w:rPr>
        <w:t>If we collapse the particularities of disabled lives into the abstract concept of humanity we end up claiming that disability does not matter</w:t>
      </w:r>
      <w:r w:rsidRPr="00F933AF">
        <w:rPr>
          <w:rFonts w:cs="Calibri"/>
          <w:sz w:val="8"/>
        </w:rPr>
        <w:t xml:space="preserve">. </w:t>
      </w:r>
      <w:r w:rsidRPr="00F933AF">
        <w:rPr>
          <w:rStyle w:val="StyleUnderline"/>
          <w:rFonts w:cs="Calibri"/>
        </w:rPr>
        <w:t>It is inconsequential, superfluous in comparison to one’s generic, species status</w:t>
      </w:r>
      <w:r w:rsidRPr="00F933AF">
        <w:rPr>
          <w:rFonts w:cs="Calibri"/>
          <w:sz w:val="8"/>
        </w:rPr>
        <w:t xml:space="preserve">. Shylock’s experience, </w:t>
      </w:r>
      <w:r w:rsidRPr="00F933AF">
        <w:rPr>
          <w:rStyle w:val="StyleUnderline"/>
          <w:rFonts w:cs="Calibri"/>
        </w:rPr>
        <w:t>however</w:t>
      </w:r>
      <w:r w:rsidRPr="00F933AF">
        <w:rPr>
          <w:rFonts w:cs="Calibri"/>
          <w:sz w:val="8"/>
        </w:rPr>
        <w:t xml:space="preserve">, tells us something very different. No matter how much he protests his humanity, he is deviant and unworthy of recognition. He is not Christian and, in practice, his religion excludes him. </w:t>
      </w:r>
      <w:r w:rsidRPr="00F933AF">
        <w:rPr>
          <w:rStyle w:val="StyleUnderline"/>
          <w:rFonts w:cs="Calibri"/>
        </w:rPr>
        <w:t>In a disablist society, it does not matter how one defines disability because the qualities ascribed to the status will always appear negative in comparison with those associated with ‘able-bodied being’</w:t>
      </w:r>
      <w:r w:rsidRPr="00F933AF">
        <w:rPr>
          <w:rFonts w:cs="Calibri"/>
          <w:sz w:val="8"/>
        </w:rPr>
        <w:t xml:space="preserve">. Normal/abnormal or valid/invalid! It does not matter which particular binary one invokes, the latter term will be the negative to its partner’s positive. </w:t>
      </w:r>
      <w:r w:rsidRPr="00F933AF">
        <w:rPr>
          <w:rStyle w:val="StyleUnderline"/>
          <w:rFonts w:cs="Calibri"/>
        </w:rPr>
        <w:t>No matter how much we go on about a common humanity, in everyday life the negative ontology of disability and the particularities of prejudice and oppression tend to reassert themselves</w:t>
      </w:r>
      <w:r w:rsidRPr="00F933AF">
        <w:rPr>
          <w:rFonts w:cs="Calibri"/>
          <w:sz w:val="8"/>
        </w:rPr>
        <w:t xml:space="preserve">. </w:t>
      </w:r>
      <w:r w:rsidRPr="00F933AF">
        <w:rPr>
          <w:rStyle w:val="StyleUnderline"/>
          <w:rFonts w:cs="Calibri"/>
        </w:rPr>
        <w:t>Moreover, this sociological claim reaffirms the hegemony of the ontological view that human worth is closely associated with ability</w:t>
      </w:r>
      <w:r w:rsidRPr="00F933AF">
        <w:rPr>
          <w:rFonts w:cs="Calibri"/>
          <w:sz w:val="8"/>
        </w:rPr>
        <w:t xml:space="preserve">. I do not have a quarrel—on empirical grounds—with the view that impairment is ‘the normal condition of humanity’ (Sutherland, quoted in Shakespeare &amp; Watson, 2001, p. 26), but because we are all impaired or will all become impaired does not mean that we are all treated in the same way. Because we are all impaired does not mean to say that disablement is or even will be the destiny of each and every one of us. The embodied ontology offered by Shakespeare and Watson and Turner lapses into a position in which </w:t>
      </w:r>
      <w:r w:rsidRPr="00F933AF">
        <w:rPr>
          <w:rStyle w:val="Emphasis"/>
          <w:rFonts w:cs="Calibri"/>
          <w:highlight w:val="yellow"/>
        </w:rPr>
        <w:t>biological being ends up as a universal reference point at the expense of</w:t>
      </w:r>
      <w:r w:rsidRPr="00F933AF">
        <w:rPr>
          <w:rStyle w:val="StyleUnderline"/>
          <w:rFonts w:cs="Calibri"/>
          <w:highlight w:val="yellow"/>
        </w:rPr>
        <w:t xml:space="preserve"> </w:t>
      </w:r>
      <w:r w:rsidRPr="00F933AF">
        <w:rPr>
          <w:rStyle w:val="StyleUnderline"/>
          <w:rFonts w:cs="Calibri"/>
        </w:rPr>
        <w:t xml:space="preserve">what existentialists call </w:t>
      </w:r>
      <w:r w:rsidRPr="00F933AF">
        <w:rPr>
          <w:rStyle w:val="Emphasis"/>
          <w:rFonts w:cs="Calibri"/>
          <w:highlight w:val="yellow"/>
        </w:rPr>
        <w:t>being-in-the-world</w:t>
      </w:r>
      <w:r w:rsidRPr="00F933AF">
        <w:rPr>
          <w:rFonts w:cs="Calibri"/>
          <w:sz w:val="8"/>
        </w:rPr>
        <w:t xml:space="preserve">. In this latter view </w:t>
      </w:r>
      <w:r w:rsidRPr="00F933AF">
        <w:rPr>
          <w:rStyle w:val="StyleUnderline"/>
          <w:rFonts w:cs="Calibri"/>
        </w:rPr>
        <w:t>being</w:t>
      </w:r>
      <w:r w:rsidRPr="00F933AF">
        <w:rPr>
          <w:rFonts w:cs="Calibri"/>
          <w:sz w:val="8"/>
        </w:rPr>
        <w:t xml:space="preserve">, including physical being, </w:t>
      </w:r>
      <w:r w:rsidRPr="00F933AF">
        <w:rPr>
          <w:rStyle w:val="StyleUnderline"/>
          <w:rFonts w:cs="Calibri"/>
        </w:rPr>
        <w:t>is always marked by the social and the body</w:t>
      </w:r>
      <w:r w:rsidRPr="00F933AF">
        <w:rPr>
          <w:rFonts w:cs="Calibri"/>
          <w:sz w:val="8"/>
        </w:rPr>
        <w:t xml:space="preserve"> (impairment) </w:t>
      </w:r>
      <w:r w:rsidRPr="00F933AF">
        <w:rPr>
          <w:rStyle w:val="StyleUnderline"/>
          <w:rFonts w:cs="Calibri"/>
        </w:rPr>
        <w:t>is a particular context that invokes a negative form of recognition</w:t>
      </w:r>
      <w:r w:rsidRPr="00F933AF">
        <w:rPr>
          <w:rFonts w:cs="Calibri"/>
          <w:sz w:val="8"/>
        </w:rPr>
        <w:t xml:space="preserve"> (misrecognition) </w:t>
      </w:r>
      <w:r w:rsidRPr="00F933AF">
        <w:rPr>
          <w:rStyle w:val="StyleUnderline"/>
          <w:rFonts w:cs="Calibri"/>
        </w:rPr>
        <w:t>that informs its character and projects</w:t>
      </w:r>
      <w:r w:rsidRPr="00F933AF">
        <w:rPr>
          <w:rFonts w:cs="Calibri"/>
          <w:sz w:val="8"/>
        </w:rPr>
        <w:t xml:space="preserve">. Further, </w:t>
      </w:r>
      <w:r w:rsidRPr="00F933AF">
        <w:rPr>
          <w:rStyle w:val="StyleUnderline"/>
          <w:rFonts w:cs="Calibri"/>
        </w:rPr>
        <w:t>impairment is the vantage point from which disabled people see the world and how the world responds</w:t>
      </w:r>
      <w:r w:rsidRPr="00F933AF">
        <w:rPr>
          <w:rFonts w:cs="Calibri"/>
          <w:sz w:val="8"/>
        </w:rPr>
        <w:t xml:space="preserve">. </w:t>
      </w:r>
      <w:r w:rsidRPr="00F933AF">
        <w:rPr>
          <w:rStyle w:val="StyleUnderline"/>
          <w:rFonts w:cs="Calibri"/>
        </w:rPr>
        <w:t>Their intersubjective and inter-corporeal experience is marked, ubiquitously, by ‘felt’ processes of socio-ontological invalidation</w:t>
      </w:r>
      <w:r w:rsidRPr="00F933AF">
        <w:rPr>
          <w:rFonts w:cs="Calibri"/>
          <w:sz w:val="8"/>
        </w:rPr>
        <w:t xml:space="preserve">. The attempt by Shakespeare and Watson and Turner to normalize disability at an anthropological level by invoking the empirical universality of impairment ends in a sociological limbo dominated by a pre-social notion of life as limit. The problem with the argument proposed by Turner and Shakespeare and Watson is that it gives way to a reductionist argument from nature in which the natural, biological aspects of the body are credited with essential efficacy. It embodies the kind of riposte that one might make to Aristotle’s misogynist claim that being a woman means that one is afflicted with natural defectiveness. This description, so the counter claim goes, is apt in its application to everyone, not just women. De Beauvoir (1972, pp. 15–16) makes great play of the many and tedious philosophical claims in which women’s bodies are interpreted negatively as a form of imprisonment, in terms of their contrariness or imperfection relative to the gold standard of male physicality. The easiest way to cut through this argument is to make a generic appeal to the common human condition, particularly, as Shylock does, by invoking universal physiological traits. All of us are trapped by the limits of human existence by frailty and mortality. We all bleed. We all suffer and die. One is dragged into a debate about impairment qua the universals of biology and the theoretical space to debate the dialectical relationship between impairment and disability quickly closes over. The transformation of the argument that disabled people are ‘defective’ into the argument that we are all ‘defective’ is a triumph of philosophical egalitarianism that leaves the concept of disability with no teeth and suggests that the concept of impairment is, although not completely devoid of sociological import, most important as a biological dictum that should teach us all to be humbled by our own vulnerability. For Turner and Shakespeare and Watson it is the ‘species’ and the authenticity of impairment in relation to it that is the focus of the argument. However, ‘in truth a society is not a species for it is in society that the species attains the status of existence’ (De Beauvoir, 1972, p. 68). </w:t>
      </w:r>
      <w:r w:rsidRPr="00F933AF">
        <w:rPr>
          <w:rStyle w:val="StyleUnderline"/>
          <w:rFonts w:cs="Calibri"/>
        </w:rPr>
        <w:t>From this perspective an argument that rests on the universality of the frailty of the species is specious</w:t>
      </w:r>
      <w:r w:rsidRPr="00F933AF">
        <w:rPr>
          <w:rFonts w:cs="Calibri"/>
          <w:sz w:val="8"/>
        </w:rPr>
        <w:t xml:space="preserve">. It is not that Turner and Shakespeare and Watson failed to recognize the importance of cultural context and social factors in the formation of disabled lives. As social scientists they could not do otherwise and as theoreticians who appeal to the dialectic of impairment and disability they are keen to play down the importance of biology and to avoid the constuctionist pitfall of discursive determinism, but this argument makes concessions to the immutability of human frailty to the extent that species data is taken to have a meaning that is pre-social and forms a imperturbable fact of being or an ontological verity that is beyond transcendence. It is fair enough to claim that we will all die and that our bodies will break down and to suggest that mortality and impairment will have meanings that vary with social context, but when the first part of the argument is used to posit a biological infrastructure (impairment) upon which arises a sociological superstructure (disability) then a residual biological reductionism is evident and impairment becomes the master category upon which the claim to disability rights and social justice for disabled people must be built. In their effort to reject the ‘strong’ social model distinction between impairment and disability (manifest, for example, in Oliver, 1990; Barnes &amp; Mercer, 2003) Shakespeare and Watson were forced to confer ontological privilege upon impairment and to transform it into the dominant category in the field of disability studies. Theoretically, Turner and Shakespeare and Watson have taken the ontological negativity out of the categories of impairment and disability, but that has not negated the negativity of the lived experience of disability. The perspective of non-impairment continues unabated. ‘This world … that encourages people to perceive disability as thoroughly encapsulated by negation’ (Titchkosky, 2005, p. 662) remains undisturbed. The non-disabled body cannot be nor cannot become vulnerable or frail because it is not an empirical body. </w:t>
      </w:r>
      <w:r w:rsidRPr="00F933AF">
        <w:rPr>
          <w:rStyle w:val="StyleUnderline"/>
          <w:rFonts w:cs="Calibri"/>
        </w:rPr>
        <w:t>It is a normative construction, a ‘body schema’, a myth that is used to constitute the flawed other and provide a place of emotional safety from the fear felt by those ‘clean and proper bodies’</w:t>
      </w:r>
      <w:r w:rsidRPr="00F933AF">
        <w:rPr>
          <w:rFonts w:cs="Calibri"/>
          <w:sz w:val="8"/>
        </w:rPr>
        <w:t xml:space="preserve"> (Shildrick, 2002) </w:t>
      </w:r>
      <w:r w:rsidRPr="00F933AF">
        <w:rPr>
          <w:rStyle w:val="StyleUnderline"/>
          <w:rFonts w:cs="Calibri"/>
        </w:rPr>
        <w:t>that have deluded themselves into thinking that existence is secure, stable and autonomous</w:t>
      </w:r>
      <w:r w:rsidRPr="00F933AF">
        <w:rPr>
          <w:rFonts w:cs="Calibri"/>
          <w:sz w:val="8"/>
        </w:rPr>
        <w:t xml:space="preserve">. Towards a critical social ontology for disability studies </w:t>
      </w:r>
      <w:proofErr w:type="gramStart"/>
      <w:r w:rsidRPr="00F933AF">
        <w:rPr>
          <w:rStyle w:val="StyleUnderline"/>
          <w:rFonts w:cs="Calibri"/>
        </w:rPr>
        <w:t>The</w:t>
      </w:r>
      <w:proofErr w:type="gramEnd"/>
      <w:r w:rsidRPr="00F933AF">
        <w:rPr>
          <w:rStyle w:val="StyleUnderline"/>
          <w:rFonts w:cs="Calibri"/>
        </w:rPr>
        <w:t xml:space="preserve"> real problem in this existential mire is not disability but non-disability</w:t>
      </w:r>
      <w:r w:rsidRPr="00F933AF">
        <w:rPr>
          <w:rFonts w:cs="Calibri"/>
          <w:sz w:val="8"/>
        </w:rPr>
        <w:t xml:space="preserve">, </w:t>
      </w:r>
      <w:r w:rsidRPr="00F933AF">
        <w:rPr>
          <w:rStyle w:val="StyleUnderline"/>
          <w:rFonts w:cs="Calibri"/>
        </w:rPr>
        <w:t>those normative and ideal</w:t>
      </w:r>
      <w:r w:rsidRPr="00F933AF">
        <w:rPr>
          <w:rFonts w:cs="Calibri"/>
          <w:sz w:val="8"/>
        </w:rPr>
        <w:t xml:space="preserve"> ‘</w:t>
      </w:r>
      <w:r w:rsidRPr="00F933AF">
        <w:rPr>
          <w:rStyle w:val="StyleUnderline"/>
          <w:rFonts w:cs="Calibri"/>
        </w:rPr>
        <w:t>clean and proper</w:t>
      </w:r>
      <w:r w:rsidRPr="00F933AF">
        <w:rPr>
          <w:rFonts w:cs="Calibri"/>
          <w:sz w:val="8"/>
        </w:rPr>
        <w:t xml:space="preserve">’ </w:t>
      </w:r>
      <w:r w:rsidRPr="00F933AF">
        <w:rPr>
          <w:rStyle w:val="StyleUnderline"/>
          <w:rFonts w:cs="Calibri"/>
        </w:rPr>
        <w:t>bodies</w:t>
      </w:r>
      <w:r w:rsidRPr="00F933AF">
        <w:rPr>
          <w:rFonts w:cs="Calibri"/>
          <w:sz w:val="8"/>
        </w:rPr>
        <w:t xml:space="preserve"> that got a mention in the last paragraph. Let me expand this argument by way of a quick detour. In studying the phenomenon of white attraction to black ethnicity and style bell hooks (1992, p. 29) noted by way of explanation that: ‘One desires a “bit of the other” to enhance the blank landscape of whiteness’. She described this desire as ‘eating the other’ and is critical of it as a form of majority culture guilt for its long historical involvement in slavery and racism that manifests itself in a desire to consume the exotic. This approach to difference is, in my view, not something that is apparent in the relationship between disabled and non-disabled people, because non-disabled people do not desire a ‘bit of the disabled other’ and impairment is seldom, if ever, constructed or represented as exotic. Desire for the black ethnos, exemplified by (white) wearers of cornrows and dreadlocks or by WASP rappers, is based, despite its naive romanticism, on recognition of the value of cultural alterity. There is at least discernable in these kinds of mimetic cultural practices a vision of the other in which her ontological worth is validated and that her ways of being in the world are deserving of respect. Save for a desire to misappropriate disabled people’s parking spaces, one cannot find a parallel in the relationship between disabled and non-disabled people. The existential landscape of non-disability, no matter how ‘blank’ or uninteresting it may be, has neither room nor time for deficit and tragedy, save perhaps to make a charitable contribution towards its elimination. </w:t>
      </w:r>
      <w:r w:rsidRPr="00F933AF">
        <w:rPr>
          <w:rStyle w:val="StyleUnderline"/>
          <w:rFonts w:cs="Calibri"/>
        </w:rPr>
        <w:t xml:space="preserve">Indeed, </w:t>
      </w:r>
      <w:r w:rsidRPr="00F933AF">
        <w:rPr>
          <w:rStyle w:val="Emphasis"/>
          <w:rFonts w:cs="Calibri"/>
          <w:highlight w:val="yellow"/>
        </w:rPr>
        <w:t>frailty and vulnerability</w:t>
      </w:r>
      <w:r w:rsidRPr="00F933AF">
        <w:rPr>
          <w:rStyle w:val="StyleUnderline"/>
          <w:rFonts w:cs="Calibri"/>
          <w:highlight w:val="yellow"/>
        </w:rPr>
        <w:t xml:space="preserve">, </w:t>
      </w:r>
      <w:r w:rsidRPr="00F933AF">
        <w:rPr>
          <w:rStyle w:val="Emphasis"/>
          <w:rFonts w:cs="Calibri"/>
          <w:highlight w:val="yellow"/>
        </w:rPr>
        <w:t>the ontological flagships of non-disabled people’s perceptions of disabled people’s embodiment</w:t>
      </w:r>
      <w:r w:rsidRPr="00F933AF">
        <w:rPr>
          <w:rStyle w:val="StyleUnderline"/>
          <w:rFonts w:cs="Calibri"/>
        </w:rPr>
        <w:t xml:space="preserve">, are not only not objects of desire but are regarded as among those very qualities that </w:t>
      </w:r>
      <w:r w:rsidRPr="00F933AF">
        <w:rPr>
          <w:rStyle w:val="Emphasis"/>
          <w:rFonts w:cs="Calibri"/>
          <w:highlight w:val="yellow"/>
        </w:rPr>
        <w:t>constitute a risk to ontological</w:t>
      </w:r>
      <w:r w:rsidRPr="00F933AF">
        <w:rPr>
          <w:rStyle w:val="Emphasis"/>
          <w:rFonts w:cs="Calibri"/>
        </w:rPr>
        <w:t xml:space="preserve"> </w:t>
      </w:r>
      <w:r w:rsidRPr="00F933AF">
        <w:rPr>
          <w:rStyle w:val="Emphasis"/>
          <w:rFonts w:cs="Calibri"/>
          <w:highlight w:val="yellow"/>
        </w:rPr>
        <w:t>security</w:t>
      </w:r>
      <w:r w:rsidRPr="00F933AF">
        <w:rPr>
          <w:rFonts w:cs="Calibri"/>
          <w:sz w:val="8"/>
          <w:highlight w:val="yellow"/>
        </w:rPr>
        <w:t>.</w:t>
      </w:r>
      <w:r w:rsidRPr="00F933AF">
        <w:rPr>
          <w:rFonts w:cs="Calibri"/>
          <w:sz w:val="8"/>
        </w:rPr>
        <w:t xml:space="preserve"> </w:t>
      </w:r>
      <w:r w:rsidRPr="00F933AF">
        <w:rPr>
          <w:rStyle w:val="StyleUnderline"/>
          <w:rFonts w:cs="Calibri"/>
        </w:rPr>
        <w:t>Frailty and vulnerability are the stuff of Kierkegaardian dread</w:t>
      </w:r>
      <w:r w:rsidRPr="00F933AF">
        <w:rPr>
          <w:rFonts w:cs="Calibri"/>
          <w:sz w:val="8"/>
        </w:rPr>
        <w:t xml:space="preserve">. </w:t>
      </w:r>
      <w:r w:rsidRPr="00F933AF">
        <w:rPr>
          <w:rStyle w:val="StyleUnderline"/>
          <w:rFonts w:cs="Calibri"/>
        </w:rPr>
        <w:t>Indeed, if we rip open the psychological nest of disabling culture to examine the interstices of intersubjectivity between disabled and non-disabled actors we are</w:t>
      </w:r>
      <w:r w:rsidRPr="00F933AF">
        <w:rPr>
          <w:rFonts w:cs="Calibri"/>
          <w:sz w:val="8"/>
        </w:rPr>
        <w:t xml:space="preserve"> more </w:t>
      </w:r>
      <w:r w:rsidRPr="00F933AF">
        <w:rPr>
          <w:rStyle w:val="StyleUnderline"/>
          <w:rFonts w:cs="Calibri"/>
        </w:rPr>
        <w:t>likely to discover fear and anxiety</w:t>
      </w:r>
      <w:r w:rsidRPr="00F933AF">
        <w:rPr>
          <w:rFonts w:cs="Calibri"/>
          <w:sz w:val="8"/>
        </w:rPr>
        <w:t xml:space="preserve"> than the playful admiration and aesthetic mimicry that hooks (1992) described with such poignant derision. Dread refers to the ‘prospect of being overwhelmed by anxieties that reach to the very roots of our coherent sense of being in the world’ (Giddens, 1991, p. 37). Whilst borrowing from black culture smacks of cool and complicates but adorns the self-identity and existential coherence of some white people, </w:t>
      </w:r>
      <w:r w:rsidRPr="00F933AF">
        <w:rPr>
          <w:rStyle w:val="StyleUnderline"/>
          <w:rFonts w:cs="Calibri"/>
        </w:rPr>
        <w:t>non-disabled people are very unlikely to open themselves</w:t>
      </w:r>
      <w:r w:rsidRPr="00F933AF">
        <w:rPr>
          <w:rFonts w:cs="Calibri"/>
          <w:sz w:val="8"/>
        </w:rPr>
        <w:t xml:space="preserve"> in a similar fashion </w:t>
      </w:r>
      <w:r w:rsidRPr="00F933AF">
        <w:rPr>
          <w:rStyle w:val="StyleUnderline"/>
          <w:rFonts w:cs="Calibri"/>
        </w:rPr>
        <w:t>to the ‘disabled other’, since it raises the question of their own vulnerability and embodied coherence and illuminates the challenges posed by the very existential questions from which they try to protect themselves</w:t>
      </w:r>
      <w:r w:rsidRPr="00F933AF">
        <w:rPr>
          <w:rFonts w:cs="Calibri"/>
          <w:sz w:val="8"/>
        </w:rPr>
        <w:t xml:space="preserve">. </w:t>
      </w:r>
      <w:r w:rsidRPr="00F933AF">
        <w:rPr>
          <w:rStyle w:val="StyleUnderline"/>
          <w:rFonts w:cs="Calibri"/>
        </w:rPr>
        <w:t>The love of coherence and order, the ‘natural attitude’ that people adopt to shield themselves from the vicissitudes of existence, particularly in our age of anxiety, forms a force field that keeps the threat of vulnerability, the approaching stranger, at bay</w:t>
      </w:r>
      <w:r w:rsidRPr="00F933AF">
        <w:rPr>
          <w:rFonts w:cs="Calibri"/>
          <w:sz w:val="8"/>
        </w:rPr>
        <w:t xml:space="preserve">. </w:t>
      </w:r>
      <w:r w:rsidRPr="00F933AF">
        <w:rPr>
          <w:rStyle w:val="Emphasis"/>
          <w:rFonts w:cs="Calibri"/>
          <w:highlight w:val="yellow"/>
        </w:rPr>
        <w:t>It is</w:t>
      </w:r>
      <w:r w:rsidRPr="00F933AF">
        <w:rPr>
          <w:rStyle w:val="StyleUnderline"/>
          <w:rFonts w:cs="Calibri"/>
        </w:rPr>
        <w:t xml:space="preserve">, to put the argument another way, </w:t>
      </w:r>
      <w:r w:rsidRPr="00F933AF">
        <w:rPr>
          <w:rStyle w:val="Emphasis"/>
          <w:rFonts w:cs="Calibri"/>
          <w:highlight w:val="yellow"/>
        </w:rPr>
        <w:t>the normative, invulnerable body of disablist modernity that is the problem</w:t>
      </w:r>
      <w:r w:rsidRPr="00F933AF">
        <w:rPr>
          <w:rFonts w:cs="Calibri"/>
          <w:sz w:val="8"/>
        </w:rPr>
        <w:t xml:space="preserve">. </w:t>
      </w:r>
      <w:r w:rsidRPr="00F933AF">
        <w:rPr>
          <w:rStyle w:val="StyleUnderline"/>
          <w:rFonts w:cs="Calibri"/>
        </w:rPr>
        <w:t>Indeed, the invulnerable self is a fantasy and form of self-deception associated with carnal</w:t>
      </w:r>
      <w:r w:rsidRPr="00F933AF">
        <w:rPr>
          <w:rFonts w:cs="Calibri"/>
          <w:sz w:val="8"/>
        </w:rPr>
        <w:t xml:space="preserve"> ‘</w:t>
      </w:r>
      <w:r w:rsidRPr="00F933AF">
        <w:rPr>
          <w:rStyle w:val="StyleUnderline"/>
          <w:rFonts w:cs="Calibri"/>
        </w:rPr>
        <w:t>normalcy</w:t>
      </w:r>
      <w:r w:rsidRPr="00F933AF">
        <w:rPr>
          <w:rFonts w:cs="Calibri"/>
          <w:sz w:val="8"/>
        </w:rPr>
        <w:t xml:space="preserve">’. </w:t>
      </w:r>
      <w:r w:rsidRPr="00F933AF">
        <w:rPr>
          <w:rStyle w:val="StyleUnderline"/>
          <w:rFonts w:cs="Calibri"/>
        </w:rPr>
        <w:t>It is widely used by non-disabled people to create and sustain social distance between disabled and non-disabled people</w:t>
      </w:r>
      <w:r w:rsidRPr="00F933AF">
        <w:rPr>
          <w:rFonts w:cs="Calibri"/>
          <w:sz w:val="8"/>
        </w:rPr>
        <w:t xml:space="preserve">. One can use Tom Shakespeare’s work from the mid 1990s to develop this argument. Shakespeare (1994, p. 298) argued that </w:t>
      </w:r>
      <w:r w:rsidRPr="00F933AF">
        <w:rPr>
          <w:rStyle w:val="Emphasis"/>
          <w:rFonts w:cs="Calibri"/>
          <w:highlight w:val="yellow"/>
        </w:rPr>
        <w:t>non-disabled people ‘project their fear of death, their unease at their physicality and mortality onto disabled people, who represent all these difficult aspects of human existence’</w:t>
      </w:r>
      <w:r w:rsidRPr="00F933AF">
        <w:rPr>
          <w:rFonts w:cs="Calibri"/>
          <w:sz w:val="8"/>
        </w:rPr>
        <w:t xml:space="preserve">. </w:t>
      </w:r>
      <w:r w:rsidRPr="00F933AF">
        <w:rPr>
          <w:rStyle w:val="StyleUnderline"/>
          <w:rFonts w:cs="Calibri"/>
        </w:rPr>
        <w:t>There are two important elements involved in this psychoemotional and social process that results in the ‘disavowal of disability’ and its invalidation as a worthwhile existential status</w:t>
      </w:r>
      <w:r w:rsidRPr="00F933AF">
        <w:rPr>
          <w:rFonts w:cs="Calibri"/>
          <w:sz w:val="8"/>
        </w:rPr>
        <w:t xml:space="preserve">. </w:t>
      </w:r>
      <w:r w:rsidRPr="00F933AF">
        <w:rPr>
          <w:rStyle w:val="StyleUnderline"/>
          <w:rFonts w:cs="Calibri"/>
        </w:rPr>
        <w:t>One is psychological and the other ontological</w:t>
      </w:r>
      <w:r w:rsidRPr="00F933AF">
        <w:rPr>
          <w:rFonts w:cs="Calibri"/>
          <w:sz w:val="8"/>
        </w:rPr>
        <w:t xml:space="preserve">. </w:t>
      </w:r>
      <w:r w:rsidRPr="00F933AF">
        <w:rPr>
          <w:rStyle w:val="StyleUnderline"/>
          <w:rFonts w:cs="Calibri"/>
        </w:rPr>
        <w:t>The first is fear of physical frailty, bodily difference and social vulnerability that is projected onto the disabled other and the second is the process by which the social distancing associated with projected fear is frozen into a binary of being that embodies a hierarchy of existence</w:t>
      </w:r>
      <w:r w:rsidRPr="00F933AF">
        <w:rPr>
          <w:rFonts w:cs="Calibri"/>
          <w:sz w:val="8"/>
        </w:rPr>
        <w:t xml:space="preserve">. </w:t>
      </w:r>
      <w:r w:rsidRPr="00F933AF">
        <w:rPr>
          <w:rStyle w:val="StyleUnderline"/>
          <w:rFonts w:cs="Calibri"/>
        </w:rPr>
        <w:t xml:space="preserve">Ironically, </w:t>
      </w:r>
      <w:r w:rsidRPr="00F933AF">
        <w:rPr>
          <w:rStyle w:val="Emphasis"/>
          <w:rFonts w:cs="Calibri"/>
          <w:highlight w:val="yellow"/>
        </w:rPr>
        <w:t>the ontological insecurity of non-disabled identity is the original sin that pushes disabled people to the margins of the human community</w:t>
      </w:r>
      <w:r w:rsidRPr="00F933AF">
        <w:rPr>
          <w:rFonts w:cs="Calibri"/>
          <w:sz w:val="8"/>
          <w:highlight w:val="yellow"/>
        </w:rPr>
        <w:t xml:space="preserve">. </w:t>
      </w:r>
      <w:r w:rsidRPr="00F933AF">
        <w:rPr>
          <w:rStyle w:val="Emphasis"/>
          <w:rFonts w:cs="Calibri"/>
          <w:highlight w:val="yellow"/>
        </w:rPr>
        <w:t>Disability is not an outcome of the infraction of social norms about ‘normalcy’ but a product of the failure of carnal normalcy to take proper account of itself</w:t>
      </w:r>
      <w:r w:rsidRPr="00F933AF">
        <w:rPr>
          <w:rStyle w:val="StyleUnderline"/>
          <w:rFonts w:cs="Calibri"/>
        </w:rPr>
        <w:t xml:space="preserve">, to indulge in ‘bad faith’ </w:t>
      </w:r>
      <w:r w:rsidRPr="00F933AF">
        <w:rPr>
          <w:rStyle w:val="Emphasis"/>
          <w:rFonts w:cs="Calibri"/>
          <w:highlight w:val="yellow"/>
        </w:rPr>
        <w:t>and delude itself into thinking that it is exempt from the slings and arrows of outrageous fortune</w:t>
      </w:r>
      <w:r w:rsidRPr="00F933AF">
        <w:rPr>
          <w:rFonts w:cs="Calibri"/>
          <w:sz w:val="8"/>
        </w:rPr>
        <w:t xml:space="preserve">. </w:t>
      </w:r>
      <w:r w:rsidRPr="00F933AF">
        <w:rPr>
          <w:rStyle w:val="StyleUnderline"/>
          <w:rFonts w:cs="Calibri"/>
        </w:rPr>
        <w:t xml:space="preserve">The problem rests with </w:t>
      </w:r>
      <w:r w:rsidRPr="00F933AF">
        <w:rPr>
          <w:rStyle w:val="Emphasis"/>
          <w:rFonts w:cs="Calibri"/>
          <w:highlight w:val="yellow"/>
        </w:rPr>
        <w:t>the normative body</w:t>
      </w:r>
      <w:r w:rsidRPr="00F933AF">
        <w:rPr>
          <w:rStyle w:val="StyleUnderline"/>
          <w:rFonts w:cs="Calibri"/>
          <w:highlight w:val="yellow"/>
        </w:rPr>
        <w:t xml:space="preserve"> </w:t>
      </w:r>
      <w:r w:rsidRPr="00F933AF">
        <w:rPr>
          <w:rStyle w:val="StyleUnderline"/>
          <w:rFonts w:cs="Calibri"/>
        </w:rPr>
        <w:t xml:space="preserve">that </w:t>
      </w:r>
      <w:r w:rsidRPr="00F933AF">
        <w:rPr>
          <w:rStyle w:val="Emphasis"/>
          <w:rFonts w:cs="Calibri"/>
          <w:highlight w:val="yellow"/>
        </w:rPr>
        <w:t>does not want to be reminded of its own vulnerability or to admit that abjection and death is its fate</w:t>
      </w:r>
      <w:r w:rsidRPr="00F933AF">
        <w:rPr>
          <w:rFonts w:cs="Calibri"/>
          <w:sz w:val="8"/>
        </w:rPr>
        <w:t xml:space="preserve">. </w:t>
      </w:r>
      <w:r w:rsidRPr="00F933AF">
        <w:rPr>
          <w:rStyle w:val="StyleUnderline"/>
          <w:rFonts w:cs="Calibri"/>
        </w:rPr>
        <w:t>In this context the disabled body is troublesome because it</w:t>
      </w:r>
      <w:r w:rsidRPr="00F933AF">
        <w:rPr>
          <w:rFonts w:cs="Calibri"/>
          <w:sz w:val="8"/>
        </w:rPr>
        <w:t xml:space="preserve"> ‘</w:t>
      </w:r>
      <w:r w:rsidRPr="00F933AF">
        <w:rPr>
          <w:rStyle w:val="StyleUnderline"/>
          <w:rFonts w:cs="Calibri"/>
        </w:rPr>
        <w:t>exposes the illusion of autonomy, self-government and self-determination that underpins the fantasy of absolute able bodiedness</w:t>
      </w:r>
      <w:r w:rsidRPr="00F933AF">
        <w:rPr>
          <w:rFonts w:cs="Calibri"/>
          <w:sz w:val="8"/>
        </w:rPr>
        <w:t xml:space="preserve">’ (Thomson, 1997, p. 45). Readers may have noticed in this very preliminary and adumbrated account of what a critical social ontology for disability studies might look like a measure of intellectual affinity with one of the key building blocks of the critique of the individual and medical model’s of disability (and ergo of the social model of disability), namely ‘personal tragedy theory’ (Oliver, 1990). This concept need not be reduced to issues of compensation, entitlement or therapeutic interventions (Oliver, 1996, p. 131; Kumari Campbell, 2005) but is closely articulated with the negative and invalidating way in which non-disabled people relate to disabled people and the threat that this poses to the ‘psycho-emotional well-being’ of disabled people (Thomas, 1999). Fiona Kumari Campbell (2005, p. 109) argued that, almost without fail in modern discourse, disability ‘is assumed to be ontologically intolerable, that is, inherently negative’ and ‘always present … in the ableist talk of normalcy, normalization and humanness’. The assumption that a disabled life is ubiquitously, even invariably, blighted and aberrant is spliced into the emotion of pity that underpins disability charity (Smith, 2005), into the ‘practices and effects of the law’ (Kumari Campbell, 2005), into conceptions and practices of care (Hughes et al., 2005), into the humiliations and violations of institutional life (Malacrida, 2005), into the order of things, into everyday subjectivity. One could go one better, extending the (recently researched) list of realms in which the authenticity of disability is implicitly or explicitly questioned, the blight of oppression felt and ontological recognition denied. </w:t>
      </w:r>
      <w:r w:rsidRPr="00F933AF">
        <w:rPr>
          <w:rStyle w:val="Emphasis"/>
          <w:rFonts w:cs="Calibri"/>
          <w:highlight w:val="yellow"/>
        </w:rPr>
        <w:t>It is the task of a critical social ontology for disability studies to claim authenticity for disability whenever it is denied</w:t>
      </w:r>
      <w:r w:rsidRPr="00F933AF">
        <w:rPr>
          <w:rStyle w:val="StyleUnderline"/>
          <w:rFonts w:cs="Calibri"/>
        </w:rPr>
        <w:t xml:space="preserve">, be it </w:t>
      </w:r>
      <w:r w:rsidRPr="00F933AF">
        <w:rPr>
          <w:rStyle w:val="Emphasis"/>
          <w:rFonts w:cs="Calibri"/>
          <w:highlight w:val="yellow"/>
        </w:rPr>
        <w:t xml:space="preserve">in the cold logic of </w:t>
      </w:r>
      <w:r w:rsidRPr="00F933AF">
        <w:rPr>
          <w:rFonts w:cs="Calibri"/>
          <w:sz w:val="8"/>
        </w:rPr>
        <w:t xml:space="preserve">Peter Singer’s (1995) ‘preference </w:t>
      </w:r>
      <w:r w:rsidRPr="00F933AF">
        <w:rPr>
          <w:rStyle w:val="Emphasis"/>
          <w:rFonts w:cs="Calibri"/>
          <w:highlight w:val="yellow"/>
        </w:rPr>
        <w:t>utilitarianism</w:t>
      </w:r>
      <w:r w:rsidRPr="00F933AF">
        <w:rPr>
          <w:rFonts w:cs="Calibri"/>
          <w:sz w:val="8"/>
        </w:rPr>
        <w:t xml:space="preserve">’ that revokes personhood from those who are unable to engage reflexively with their own temporality </w:t>
      </w:r>
      <w:r w:rsidRPr="00F933AF">
        <w:rPr>
          <w:rStyle w:val="StyleUnderline"/>
          <w:rFonts w:cs="Calibri"/>
        </w:rPr>
        <w:t>or in the most mundane everyday words or deeds that exclude or invalidate</w:t>
      </w:r>
      <w:r w:rsidRPr="00F933AF">
        <w:rPr>
          <w:rFonts w:cs="Calibri"/>
          <w:sz w:val="8"/>
        </w:rPr>
        <w:t>.</w:t>
      </w:r>
    </w:p>
    <w:p w:rsidR="00601294" w:rsidRPr="000F5AAF" w:rsidRDefault="00601294" w:rsidP="00601294">
      <w:pPr>
        <w:pStyle w:val="Heading4"/>
      </w:pPr>
      <w:r w:rsidRPr="000F5AAF">
        <w:t>Utilitarianism is messed up and steeped in academic logic that conflicts with people’s basic moral and ethical values – the negative’s framing is in line with Singer, who justifies the murder and dehumanization of those with disabilities</w:t>
      </w:r>
    </w:p>
    <w:p w:rsidR="00601294" w:rsidRPr="000F5AAF" w:rsidRDefault="00601294" w:rsidP="00601294">
      <w:pPr>
        <w:spacing w:after="0" w:line="240" w:lineRule="auto"/>
        <w:rPr>
          <w:rFonts w:eastAsia="Times New Roman" w:cs="Times New Roman"/>
          <w:sz w:val="24"/>
        </w:rPr>
      </w:pPr>
      <w:r w:rsidRPr="000F5AAF">
        <w:rPr>
          <w:rStyle w:val="Style13ptBold"/>
        </w:rPr>
        <w:t>Robinson 17</w:t>
      </w:r>
      <w:r w:rsidRPr="000F5AAF">
        <w:rPr>
          <w:rStyle w:val="Style13ptBold"/>
          <w:b w:val="0"/>
        </w:rPr>
        <w:t xml:space="preserve">, </w:t>
      </w:r>
      <w:r w:rsidRPr="000F5AAF">
        <w:rPr>
          <w:rStyle w:val="Style13ptBold"/>
          <w:b w:val="0"/>
          <w:color w:val="000000" w:themeColor="text1"/>
          <w:sz w:val="16"/>
          <w:szCs w:val="16"/>
        </w:rPr>
        <w:t xml:space="preserve">Nathan – </w:t>
      </w:r>
      <w:r w:rsidRPr="000F5AAF">
        <w:rPr>
          <w:rFonts w:eastAsia="Times New Roman" w:cs="Arial"/>
          <w:color w:val="000000" w:themeColor="text1"/>
          <w:sz w:val="16"/>
          <w:szCs w:val="16"/>
          <w:shd w:val="clear" w:color="auto" w:fill="FFFFFF"/>
        </w:rPr>
        <w:t>PhD student in sociology and social policy at Harvard University, founded Current Affairs in 2015 and is its editor-in-chief</w:t>
      </w:r>
      <w:r w:rsidRPr="000F5AAF">
        <w:rPr>
          <w:rStyle w:val="Style13ptBold"/>
          <w:b w:val="0"/>
          <w:color w:val="000000" w:themeColor="text1"/>
          <w:sz w:val="16"/>
          <w:szCs w:val="16"/>
        </w:rPr>
        <w:t xml:space="preserve"> “Now Peter Singer Argues That It Might Be Okay to Rape Disabled People” Current Affairs 4</w:t>
      </w:r>
      <w:r w:rsidRPr="000F5AAF">
        <w:rPr>
          <w:rStyle w:val="Style13ptBold"/>
          <w:b w:val="0"/>
          <w:color w:val="000000" w:themeColor="text1"/>
          <w:sz w:val="16"/>
          <w:szCs w:val="16"/>
          <w:vertAlign w:val="superscript"/>
        </w:rPr>
        <w:t>th</w:t>
      </w:r>
      <w:r w:rsidRPr="000F5AAF">
        <w:rPr>
          <w:rStyle w:val="Style13ptBold"/>
          <w:b w:val="0"/>
          <w:color w:val="000000" w:themeColor="text1"/>
          <w:sz w:val="16"/>
          <w:szCs w:val="16"/>
        </w:rPr>
        <w:t xml:space="preserve"> April 2017 </w:t>
      </w:r>
      <w:r w:rsidRPr="000F5AAF">
        <w:rPr>
          <w:color w:val="000000" w:themeColor="text1"/>
          <w:sz w:val="16"/>
          <w:szCs w:val="16"/>
        </w:rPr>
        <w:t>https://www.currentaffairs.org/2017/04/now-peter-singer-argues-that-it-might-be-okay-to-rape-disabled-people</w:t>
      </w:r>
      <w:r w:rsidR="003B3CFE">
        <w:rPr>
          <w:color w:val="000000" w:themeColor="text1"/>
          <w:sz w:val="16"/>
          <w:szCs w:val="16"/>
        </w:rPr>
        <w:t>//mr</w:t>
      </w:r>
    </w:p>
    <w:p w:rsidR="00601294" w:rsidRPr="00AD34A4" w:rsidRDefault="00601294" w:rsidP="00601294">
      <w:pPr>
        <w:shd w:val="clear" w:color="auto" w:fill="FFFFFF"/>
        <w:spacing w:before="240" w:after="240" w:line="240" w:lineRule="auto"/>
        <w:rPr>
          <w:rFonts w:eastAsia="Times New Roman" w:cs="Calibri"/>
          <w:color w:val="000000" w:themeColor="text1"/>
          <w:sz w:val="16"/>
        </w:rPr>
      </w:pPr>
      <w:r w:rsidRPr="00AD34A4">
        <w:rPr>
          <w:rFonts w:eastAsia="Times New Roman" w:cs="Calibri"/>
          <w:color w:val="000000" w:themeColor="text1"/>
          <w:u w:val="single"/>
        </w:rPr>
        <w:t>Singer’s casual rationalization of sexual abuse actually offers a useful illustration of why nobody should subscribe to utilitarian philosophy to begin with. Utilitarians are meticulous</w:t>
      </w:r>
      <w:r w:rsidRPr="00AD34A4">
        <w:rPr>
          <w:rFonts w:eastAsia="Times New Roman" w:cs="Calibri"/>
          <w:color w:val="000000" w:themeColor="text1"/>
          <w:sz w:val="16"/>
        </w:rPr>
        <w:t xml:space="preserve"> and Spock-like </w:t>
      </w:r>
      <w:r w:rsidRPr="00AD34A4">
        <w:rPr>
          <w:rFonts w:eastAsia="Times New Roman" w:cs="Calibri"/>
          <w:color w:val="000000" w:themeColor="text1"/>
          <w:u w:val="single"/>
        </w:rPr>
        <w:t>in their deductions from premises, but their impeccable logic inevitably leads toward utterly horrifying</w:t>
      </w:r>
      <w:r w:rsidRPr="00AD34A4">
        <w:rPr>
          <w:rFonts w:eastAsia="Times New Roman" w:cs="Calibri"/>
          <w:color w:val="000000" w:themeColor="text1"/>
          <w:sz w:val="16"/>
        </w:rPr>
        <w:t xml:space="preserve"> or bizarre </w:t>
      </w:r>
      <w:hyperlink r:id="rId100" w:history="1">
        <w:r w:rsidRPr="00AD34A4">
          <w:rPr>
            <w:rFonts w:eastAsia="Times New Roman" w:cs="Calibri"/>
            <w:color w:val="000000" w:themeColor="text1"/>
            <w:u w:val="single"/>
            <w:shd w:val="clear" w:color="auto" w:fill="FFFFFF"/>
          </w:rPr>
          <w:t>conclusions</w:t>
        </w:r>
      </w:hyperlink>
      <w:r w:rsidRPr="00AD34A4">
        <w:rPr>
          <w:rFonts w:eastAsia="Times New Roman" w:cs="Calibri"/>
          <w:color w:val="000000" w:themeColor="text1"/>
          <w:u w:val="single"/>
        </w:rPr>
        <w:t xml:space="preserve"> that totally conflict with people’s most basic shared moral values.</w:t>
      </w:r>
      <w:r w:rsidRPr="00AD34A4">
        <w:rPr>
          <w:rFonts w:eastAsia="Times New Roman" w:cs="Calibri"/>
          <w:color w:val="000000" w:themeColor="text1"/>
          <w:sz w:val="16"/>
        </w:rPr>
        <w:t xml:space="preserve"> </w:t>
      </w:r>
      <w:r w:rsidRPr="00AD34A4">
        <w:rPr>
          <w:rFonts w:eastAsia="Times New Roman" w:cs="Calibri"/>
          <w:color w:val="000000" w:themeColor="text1"/>
          <w:u w:val="single"/>
        </w:rPr>
        <w:t>Utilitarian reasoning can lead you to believe that there’s no such thing as “good” and “bad,” only “better” and “worse”</w:t>
      </w:r>
      <w:r w:rsidRPr="00AD34A4">
        <w:rPr>
          <w:rFonts w:eastAsia="Times New Roman" w:cs="Calibri"/>
          <w:color w:val="000000" w:themeColor="text1"/>
          <w:sz w:val="16"/>
        </w:rPr>
        <w:t xml:space="preserve"> (which means </w:t>
      </w:r>
      <w:r w:rsidRPr="00AD34A4">
        <w:rPr>
          <w:rFonts w:eastAsia="Times New Roman" w:cs="Calibri"/>
          <w:color w:val="000000" w:themeColor="text1"/>
          <w:u w:val="single"/>
        </w:rPr>
        <w:t xml:space="preserve">that genocide </w:t>
      </w:r>
      <w:r w:rsidRPr="00AD34A4">
        <w:rPr>
          <w:rFonts w:eastAsia="Times New Roman" w:cs="Calibri"/>
          <w:color w:val="000000" w:themeColor="text1"/>
          <w:sz w:val="16"/>
        </w:rPr>
        <w:t xml:space="preserve">isn’t inherently bad, and in fact </w:t>
      </w:r>
      <w:r w:rsidRPr="00AD34A4">
        <w:rPr>
          <w:rFonts w:eastAsia="Times New Roman" w:cs="Calibri"/>
          <w:color w:val="000000" w:themeColor="text1"/>
          <w:u w:val="single"/>
        </w:rPr>
        <w:t>could be fine if it’s the least-worst available option in a certain set of circumstances</w:t>
      </w:r>
      <w:r w:rsidRPr="00AD34A4">
        <w:rPr>
          <w:rFonts w:eastAsia="Times New Roman" w:cs="Calibri"/>
          <w:color w:val="000000" w:themeColor="text1"/>
          <w:sz w:val="16"/>
        </w:rPr>
        <w:t xml:space="preserve">). </w:t>
      </w:r>
      <w:r w:rsidRPr="00AD34A4">
        <w:rPr>
          <w:rFonts w:eastAsia="Times New Roman" w:cs="Calibri"/>
          <w:color w:val="000000" w:themeColor="text1"/>
          <w:u w:val="single"/>
        </w:rPr>
        <w:t>It can lead you to believe that it’s less morally justifiable for a couple to remain childless than it is to murder an elderly homeless person in their sleep</w:t>
      </w:r>
      <w:r w:rsidRPr="00AD34A4">
        <w:rPr>
          <w:rFonts w:eastAsia="Times New Roman" w:cs="Calibri"/>
          <w:color w:val="000000" w:themeColor="text1"/>
          <w:sz w:val="16"/>
        </w:rPr>
        <w:t xml:space="preserve"> (</w:t>
      </w:r>
      <w:r w:rsidRPr="00AD34A4">
        <w:rPr>
          <w:rFonts w:eastAsia="Times New Roman" w:cs="Calibri"/>
          <w:color w:val="000000" w:themeColor="text1"/>
          <w:u w:val="single"/>
        </w:rPr>
        <w:t>because failing to create a potential happy long life is worse than taking someone’s unhappy short remaining life</w:t>
      </w:r>
      <w:r w:rsidRPr="00AD34A4">
        <w:rPr>
          <w:rFonts w:eastAsia="Times New Roman" w:cs="Calibri"/>
          <w:color w:val="000000" w:themeColor="text1"/>
          <w:sz w:val="16"/>
        </w:rPr>
        <w:t xml:space="preserve">). </w:t>
      </w:r>
      <w:r w:rsidRPr="00AD34A4">
        <w:rPr>
          <w:rFonts w:eastAsia="Times New Roman" w:cs="Calibri"/>
          <w:color w:val="000000" w:themeColor="text1"/>
          <w:u w:val="single"/>
        </w:rPr>
        <w:t>It can</w:t>
      </w:r>
      <w:r w:rsidRPr="00AD34A4">
        <w:rPr>
          <w:rFonts w:eastAsia="Times New Roman" w:cs="Calibri"/>
          <w:color w:val="000000" w:themeColor="text1"/>
          <w:sz w:val="16"/>
        </w:rPr>
        <w:t>, as Freddie deBoer has pointed out, l</w:t>
      </w:r>
      <w:r w:rsidRPr="00AD34A4">
        <w:rPr>
          <w:rFonts w:eastAsia="Times New Roman" w:cs="Calibri"/>
          <w:color w:val="000000" w:themeColor="text1"/>
          <w:u w:val="single"/>
        </w:rPr>
        <w:t>ead you to believe that in the Jim Crow South</w:t>
      </w:r>
      <w:r w:rsidRPr="00AD34A4">
        <w:rPr>
          <w:rFonts w:eastAsia="Times New Roman" w:cs="Calibri"/>
          <w:color w:val="000000" w:themeColor="text1"/>
          <w:sz w:val="16"/>
        </w:rPr>
        <w:t xml:space="preserve">, </w:t>
      </w:r>
      <w:r w:rsidRPr="00AD34A4">
        <w:rPr>
          <w:rFonts w:eastAsia="Times New Roman" w:cs="Calibri"/>
          <w:color w:val="000000" w:themeColor="text1"/>
          <w:u w:val="single"/>
        </w:rPr>
        <w:t>you should frame an innocent black man for a crime, knowing he will be lynched, if doing so would calm the resentments of the white community and thereby avoid having them perpetrate a wave of far more brutal violence</w:t>
      </w:r>
      <w:r w:rsidRPr="00AD34A4">
        <w:rPr>
          <w:rFonts w:eastAsia="Times New Roman" w:cs="Calibri"/>
          <w:color w:val="000000" w:themeColor="text1"/>
          <w:sz w:val="16"/>
        </w:rPr>
        <w:t xml:space="preserve">. </w:t>
      </w:r>
      <w:r w:rsidRPr="00AD34A4">
        <w:rPr>
          <w:rFonts w:eastAsia="Times New Roman" w:cs="Calibri"/>
          <w:color w:val="000000" w:themeColor="text1"/>
          <w:u w:val="single"/>
        </w:rPr>
        <w:t>It can</w:t>
      </w:r>
      <w:r w:rsidRPr="00AD34A4">
        <w:rPr>
          <w:rFonts w:eastAsia="Times New Roman" w:cs="Calibri"/>
          <w:color w:val="000000" w:themeColor="text1"/>
          <w:sz w:val="16"/>
        </w:rPr>
        <w:t xml:space="preserve"> also </w:t>
      </w:r>
      <w:r w:rsidRPr="00AD34A4">
        <w:rPr>
          <w:rFonts w:eastAsia="Times New Roman" w:cs="Calibri"/>
          <w:color w:val="000000" w:themeColor="text1"/>
          <w:u w:val="single"/>
        </w:rPr>
        <w:t xml:space="preserve">lead you to be an apologist for </w:t>
      </w:r>
      <w:hyperlink r:id="rId101" w:history="1">
        <w:r w:rsidRPr="00AD34A4">
          <w:rPr>
            <w:rFonts w:eastAsia="Times New Roman" w:cs="Calibri"/>
            <w:color w:val="000000" w:themeColor="text1"/>
            <w:u w:val="single"/>
            <w:shd w:val="clear" w:color="auto" w:fill="FFFFFF"/>
          </w:rPr>
          <w:t>sweatshops</w:t>
        </w:r>
      </w:hyperlink>
      <w:r w:rsidRPr="00AD34A4">
        <w:rPr>
          <w:rFonts w:eastAsia="Times New Roman" w:cs="Calibri"/>
          <w:color w:val="000000" w:themeColor="text1"/>
          <w:u w:val="single"/>
        </w:rPr>
        <w:t xml:space="preserve"> and </w:t>
      </w:r>
      <w:hyperlink r:id="rId102" w:history="1">
        <w:r w:rsidRPr="00AD34A4">
          <w:rPr>
            <w:rFonts w:eastAsia="Times New Roman" w:cs="Calibri"/>
            <w:color w:val="000000" w:themeColor="text1"/>
            <w:u w:val="single"/>
            <w:shd w:val="clear" w:color="auto" w:fill="FFFFFF"/>
          </w:rPr>
          <w:t>factory collapses</w:t>
        </w:r>
      </w:hyperlink>
      <w:r w:rsidRPr="00AD34A4">
        <w:rPr>
          <w:rFonts w:eastAsia="Times New Roman" w:cs="Calibri"/>
          <w:color w:val="000000" w:themeColor="text1"/>
          <w:sz w:val="16"/>
        </w:rPr>
        <w:t xml:space="preserve">. Due to the nature of their premises, </w:t>
      </w:r>
      <w:r w:rsidRPr="00AD34A4">
        <w:rPr>
          <w:rFonts w:eastAsia="Times New Roman" w:cs="Calibri"/>
          <w:b/>
          <w:color w:val="000000" w:themeColor="text1"/>
          <w:u w:val="single"/>
        </w:rPr>
        <w:t>utilitarians constantly end up endorsing the moral necessity of an endless number of inhumane acts.</w:t>
      </w:r>
      <w:r w:rsidRPr="00AD34A4">
        <w:rPr>
          <w:rFonts w:eastAsia="Times New Roman" w:cs="Calibri"/>
          <w:color w:val="000000" w:themeColor="text1"/>
          <w:sz w:val="16"/>
        </w:rPr>
        <w:t xml:space="preserve"> </w:t>
      </w:r>
      <w:r w:rsidRPr="00AD34A4">
        <w:rPr>
          <w:rFonts w:eastAsia="Times New Roman" w:cs="Calibri"/>
          <w:b/>
          <w:color w:val="000000" w:themeColor="text1"/>
          <w:u w:val="single"/>
        </w:rPr>
        <w:t>It’s a terrible philosophy that leads to brutal and perverse conclusions</w:t>
      </w:r>
      <w:r w:rsidRPr="00AD34A4">
        <w:rPr>
          <w:rFonts w:eastAsia="Times New Roman" w:cs="Calibri"/>
          <w:color w:val="000000" w:themeColor="text1"/>
          <w:sz w:val="16"/>
        </w:rPr>
        <w:t xml:space="preserve">, and at its worst, it turns you into Peter Singer. I suppose that, at this point, nobody can be surprised at Singer, though it really was somewhat unfortunate that he chose to follow up an argument for granting disabled people their agency with an argument for why sexually abusing them doesn’t cause harm. But he’s made it clear over his career that he doesn’t care about the consequences of dehumanizing people. Perhaps more shocking is the fact that the New York Times either didn’t notice what was being argued, or felt that the argument made a legitimate contribution to debates about consent and disability. Either way, the continued presence of Peter Singer in national dialogue about disability shows just how far we have to go before people like D.J. will actually be granted their full humanity, by prosecutors and philosophers alike. </w:t>
      </w:r>
    </w:p>
    <w:p w:rsidR="00E5343F" w:rsidRPr="00F933AF" w:rsidRDefault="00E5343F" w:rsidP="00E5343F">
      <w:pPr>
        <w:pStyle w:val="Heading4"/>
        <w:rPr>
          <w:rFonts w:cs="Calibri"/>
        </w:rPr>
      </w:pPr>
      <w:r w:rsidRPr="00F933AF">
        <w:rPr>
          <w:rFonts w:cs="Calibri"/>
        </w:rPr>
        <w:t xml:space="preserve">Consequentialism has troubling implications for those with disabilities and can’t take into account the realities and perspectives of those with disabilities </w:t>
      </w:r>
    </w:p>
    <w:p w:rsidR="00E5343F" w:rsidRPr="00F933AF" w:rsidRDefault="00E5343F" w:rsidP="00E5343F">
      <w:pPr>
        <w:spacing w:after="0" w:line="240" w:lineRule="auto"/>
        <w:rPr>
          <w:rStyle w:val="Style13ptBold"/>
          <w:rFonts w:cs="Calibri"/>
          <w:b w:val="0"/>
          <w:sz w:val="16"/>
          <w:szCs w:val="16"/>
        </w:rPr>
      </w:pPr>
      <w:r w:rsidRPr="00F933AF">
        <w:rPr>
          <w:rStyle w:val="Style13ptBold"/>
          <w:rFonts w:cs="Calibri"/>
        </w:rPr>
        <w:t>Albrecht et al. 06</w:t>
      </w:r>
      <w:r w:rsidRPr="00F933AF">
        <w:rPr>
          <w:rStyle w:val="Style13ptBold"/>
          <w:rFonts w:cs="Calibri"/>
          <w:b w:val="0"/>
          <w:sz w:val="16"/>
          <w:szCs w:val="16"/>
        </w:rPr>
        <w:t>, Gary – Guest Professor of Social Sciences, University of Leuven, Belgium and Professor Emeritus of Public Health and of Disability and Human Development at the University of Illinois at Chicago. “Encyclopedia of Disability Volume 1” Ethics pg. 621-22//mr</w:t>
      </w:r>
    </w:p>
    <w:p w:rsidR="00E5343F" w:rsidRPr="00F933AF" w:rsidRDefault="00E5343F" w:rsidP="00E5343F">
      <w:pPr>
        <w:spacing w:after="0" w:line="240" w:lineRule="auto"/>
        <w:rPr>
          <w:rFonts w:eastAsia="Times New Roman" w:cs="Calibri"/>
          <w:sz w:val="16"/>
        </w:rPr>
      </w:pPr>
      <w:r w:rsidRPr="00F933AF">
        <w:rPr>
          <w:rFonts w:eastAsia="Times New Roman" w:cs="Calibri"/>
          <w:sz w:val="24"/>
          <w:u w:val="single"/>
        </w:rPr>
        <w:t>Consequentialism retains the two features of utilitarianism that may have the most troubling implications for people with disabilities: the aggregation of the good found in the lives of separate individuals to make an overall outcome assessment—which tends to treat those individuals as mere sources or receptacles of goodness—and the commitment to maximizing whatever counts as good—which in effect places a higher value on those who directly or indirectly con- tribute more good to the total.</w:t>
      </w:r>
      <w:r w:rsidRPr="00F933AF">
        <w:rPr>
          <w:rFonts w:eastAsia="Times New Roman" w:cs="Calibri"/>
          <w:sz w:val="16"/>
        </w:rPr>
        <w:t xml:space="preserve"> Although some philosophers have attacked the aggregative and maximizing features of consequentialism head-on, others have tended to focus on the criteria for assessing outcomes as good or bad. We will touch on the former concern (which is dealt with at greater length in the “Justice” and “Health Resource Rationing” entries), but our focus here is on the latter: </w:t>
      </w:r>
      <w:r w:rsidRPr="00F933AF">
        <w:rPr>
          <w:rFonts w:eastAsia="Times New Roman" w:cs="Calibri"/>
          <w:sz w:val="24"/>
          <w:u w:val="single"/>
        </w:rPr>
        <w:t>the relevance of impairment in assessing how well a life has gone or is likely to go. Contemporary followers</w:t>
      </w:r>
      <w:r w:rsidRPr="00F933AF">
        <w:rPr>
          <w:rFonts w:eastAsia="Times New Roman" w:cs="Calibri"/>
          <w:sz w:val="16"/>
        </w:rPr>
        <w:t xml:space="preserve"> of Aristotle, such as Martha Nussbaum, </w:t>
      </w:r>
      <w:r w:rsidRPr="00F933AF">
        <w:rPr>
          <w:rFonts w:eastAsia="Times New Roman" w:cs="Calibri"/>
          <w:sz w:val="24"/>
          <w:u w:val="single"/>
        </w:rPr>
        <w:t>reject pain and pleasure as a metric of well-being and tend to assess outcomes across people by their conformity to a pattern, such as equality, rather than by their aggregated magnitude</w:t>
      </w:r>
      <w:r w:rsidRPr="00F933AF">
        <w:rPr>
          <w:rFonts w:eastAsia="Times New Roman" w:cs="Calibri"/>
          <w:sz w:val="16"/>
        </w:rPr>
        <w:t xml:space="preserve">. </w:t>
      </w:r>
      <w:r w:rsidRPr="00F933AF">
        <w:rPr>
          <w:rFonts w:eastAsia="Times New Roman" w:cs="Calibri"/>
          <w:sz w:val="24"/>
          <w:u w:val="single"/>
        </w:rPr>
        <w:t>They argue that although there may be many kinds of life that qualify as valuable, still there are essential human “functional capabilities” (mobility, pleasure, happiness, cognition, play, health) without which the good life is unachievable</w:t>
      </w:r>
      <w:r w:rsidRPr="00F933AF">
        <w:rPr>
          <w:rFonts w:eastAsia="Times New Roman" w:cs="Calibri"/>
          <w:sz w:val="16"/>
        </w:rPr>
        <w:t xml:space="preserve">. Because this approach relies on a conception of core or essential human goods, it is often called essentialist.” Whether one adopts Bentnam's experiential approach or Aristotelian essentialism, </w:t>
      </w:r>
      <w:r w:rsidRPr="00F933AF">
        <w:rPr>
          <w:rFonts w:eastAsia="Times New Roman" w:cs="Calibri"/>
          <w:sz w:val="24"/>
          <w:u w:val="single"/>
        </w:rPr>
        <w:t>the very endeavor to assess individual well-being, let alone to aggregate the results, is problematic for people with disabilities.</w:t>
      </w:r>
      <w:r w:rsidRPr="00F933AF">
        <w:rPr>
          <w:rFonts w:eastAsia="Times New Roman" w:cs="Calibri"/>
          <w:sz w:val="16"/>
        </w:rPr>
        <w:t xml:space="preserve"> </w:t>
      </w:r>
      <w:r w:rsidRPr="00F933AF">
        <w:rPr>
          <w:rFonts w:eastAsia="Times New Roman" w:cs="Calibri"/>
          <w:sz w:val="24"/>
          <w:u w:val="single"/>
        </w:rPr>
        <w:t>Since impairments are limitations of one capacity to perform actions, tasks, or social roles, and since they often cause pain, discomfort, or distress, is it inevitable on any deﬁnition of “good life” that the lives of people with disabilities are of less value?</w:t>
      </w:r>
      <w:r w:rsidRPr="00F933AF">
        <w:rPr>
          <w:rFonts w:eastAsia="Times New Roman" w:cs="Calibri"/>
          <w:sz w:val="16"/>
        </w:rPr>
        <w:t xml:space="preserve"> </w:t>
      </w:r>
      <w:r w:rsidRPr="00F933AF">
        <w:rPr>
          <w:rFonts w:eastAsia="Times New Roman" w:cs="Calibri"/>
          <w:sz w:val="24"/>
          <w:u w:val="single"/>
        </w:rPr>
        <w:t>Are any of the “normal” or “standard” functional capacities of human beings essential to well-being, or are they only contingently related?</w:t>
      </w:r>
      <w:r w:rsidRPr="00F933AF">
        <w:rPr>
          <w:rFonts w:eastAsia="Times New Roman" w:cs="Calibri"/>
          <w:sz w:val="16"/>
        </w:rPr>
        <w:t xml:space="preserve"> Does severity of impairment matter? Is there a lower threshold of functional capacity below which a life lacks value, whatever else may be happening in the person’s life? </w:t>
      </w:r>
      <w:r w:rsidRPr="00F933AF">
        <w:rPr>
          <w:rFonts w:eastAsia="Times New Roman" w:cs="Calibri"/>
          <w:sz w:val="24"/>
          <w:u w:val="single"/>
        </w:rPr>
        <w:t>Are limitations in cognition or the senses more a threat to living a good life than limitations in mobility or strength; is a life of physical pain worse than a life of emotional distress? Does it make any sense to compare impairments in this manner, or to rank them with respect to their impact on the quality of a person’s life? These are just some of the kinds of questions that arise when impairment is brought into the domain of moral value in the analysis of the value or quality of a human life.</w:t>
      </w:r>
      <w:r w:rsidRPr="00F933AF">
        <w:rPr>
          <w:rFonts w:eastAsia="Times New Roman" w:cs="Calibri"/>
          <w:sz w:val="16"/>
        </w:rPr>
        <w:t xml:space="preserve"> It is true that classical and modern philosophers have often assumed without argument or discussion that all impairments substantially reduce quality of life. Similar assumptions of inherent inferiority have been made on racial, gender, and cultural or religious grounds. Still, the case of impairment may be different. </w:t>
      </w:r>
      <w:r w:rsidRPr="00F933AF">
        <w:rPr>
          <w:rFonts w:eastAsia="Times New Roman" w:cs="Calibri"/>
          <w:sz w:val="24"/>
          <w:u w:val="single"/>
        </w:rPr>
        <w:t>Even if we rely on the modern conception of disability as an interaction between features of an individual’s body or mind and the physical, social, and attitudinal environment, and insist that it is a person’s environment</w:t>
      </w:r>
      <w:r w:rsidRPr="00F933AF">
        <w:rPr>
          <w:rFonts w:eastAsia="Times New Roman" w:cs="Calibri"/>
          <w:sz w:val="16"/>
        </w:rPr>
        <w:t xml:space="preserve">, as well as or instead of his or her physical and mental differences, </w:t>
      </w:r>
      <w:r w:rsidRPr="00F933AF">
        <w:rPr>
          <w:rFonts w:eastAsia="Times New Roman" w:cs="Calibri"/>
          <w:sz w:val="24"/>
          <w:u w:val="single"/>
        </w:rPr>
        <w:t>that account for the disability, still impairments have a reality that should not be ignored or glossed over.</w:t>
      </w:r>
      <w:r w:rsidRPr="00F933AF">
        <w:rPr>
          <w:rFonts w:eastAsia="Times New Roman" w:cs="Calibri"/>
          <w:sz w:val="16"/>
        </w:rPr>
        <w:t xml:space="preserve"> We may be conﬁdent that the lower quality of life of women is entirely the product of sexism, but it would be intellectually dishonest to insist either that chronic pain or severe depression has no effect on the value of a life or, worse yet, that the negative value of pain and depression is somehow “socially constructed.” There are very practical indeed life or death consequences of this realm of ethical debate for people with disabilities. </w:t>
      </w:r>
      <w:r w:rsidRPr="00F933AF">
        <w:rPr>
          <w:rFonts w:eastAsia="Times New Roman" w:cs="Calibri"/>
          <w:sz w:val="24"/>
          <w:u w:val="single"/>
        </w:rPr>
        <w:t>If a fetus has a low quality of life because of congenital or acquired impairments, should that be a reason to abort it? Should we insist on prenatal screening to make sure that the children that are born are not disadvantaged from the beginning by a low quality of life?</w:t>
      </w:r>
      <w:r w:rsidRPr="00F933AF">
        <w:rPr>
          <w:rFonts w:eastAsia="Times New Roman" w:cs="Calibri"/>
          <w:sz w:val="16"/>
        </w:rPr>
        <w:t xml:space="preserve"> When there is a scarcity of medical resources, should it matter that one potential recipient is also dis— abled and so would not have as good an outcome as another recipient who is able-bodied? Should we make it easier for people with severe disabilities to kill them- selves, or be euthanized, than it is for other people? </w:t>
      </w:r>
      <w:r w:rsidRPr="00F933AF">
        <w:rPr>
          <w:rFonts w:eastAsia="Times New Roman" w:cs="Calibri"/>
          <w:sz w:val="24"/>
          <w:u w:val="single"/>
        </w:rPr>
        <w:t>In light of these possible implications, some disability scholars have argued that the notions of “quality of life,” the “good life,” and “well-being” are dangerous nonsense</w:t>
      </w:r>
      <w:r w:rsidRPr="00F933AF">
        <w:rPr>
          <w:rFonts w:eastAsia="Times New Roman" w:cs="Calibri"/>
          <w:sz w:val="16"/>
        </w:rPr>
        <w:t xml:space="preserve">. Some have insisted that </w:t>
      </w:r>
      <w:r w:rsidRPr="00F933AF">
        <w:rPr>
          <w:rFonts w:eastAsia="Times New Roman" w:cs="Calibri"/>
          <w:sz w:val="24"/>
          <w:u w:val="single"/>
        </w:rPr>
        <w:t xml:space="preserve">what makes life valuable is entirely a matter for the individual—with or without a disability—to decide </w:t>
      </w:r>
      <w:r w:rsidRPr="00F933AF">
        <w:rPr>
          <w:rFonts w:eastAsia="Times New Roman" w:cs="Calibri"/>
          <w:sz w:val="16"/>
        </w:rPr>
        <w:t xml:space="preserve">(so-called experts will inevitably judge lives with disabilities to be worse than individuals with those disabilities think they are). Such radical responses, however, create their own ethical issues. Eliminating the notions of the good life and quality of life from our ethical lexicon would eliminate important ethical dialogue: Surely, we want to insist that It IS ethically better to live free, to have our basic needs met, and to enjoy equal opportunities. We need to agree on what makes a life go well, what improves the quality of our lives, in order to better the lives of people and reduce what we all perceive as great, undeserved inequalities. What improves or devalues a life. </w:t>
      </w:r>
      <w:proofErr w:type="gramStart"/>
      <w:r w:rsidRPr="00F933AF">
        <w:rPr>
          <w:rFonts w:eastAsia="Times New Roman" w:cs="Calibri"/>
          <w:sz w:val="16"/>
        </w:rPr>
        <w:t>moreover</w:t>
      </w:r>
      <w:proofErr w:type="gramEnd"/>
      <w:r w:rsidRPr="00F933AF">
        <w:rPr>
          <w:rFonts w:eastAsia="Times New Roman" w:cs="Calibri"/>
          <w:sz w:val="16"/>
        </w:rPr>
        <w:t>, is not merely subjective opinion: Not even saints or sages are infallible about what makes their lives go well. We may not want to leave it to “experts” to decide on the components of human well- being, but that does not mean that every individual must be the ultimate arbiter of his or her own good; it may be a matter for deliberation and consensus.</w:t>
      </w:r>
    </w:p>
    <w:p w:rsidR="00721D38" w:rsidRPr="00F933AF" w:rsidRDefault="00721D38" w:rsidP="00721D38">
      <w:pPr>
        <w:pStyle w:val="Heading4"/>
        <w:rPr>
          <w:rFonts w:cs="Calibri"/>
        </w:rPr>
      </w:pPr>
      <w:r w:rsidRPr="00F933AF">
        <w:rPr>
          <w:rFonts w:cs="Calibri"/>
        </w:rPr>
        <w:t>Reject impact assessment hierarchies- ableism must be taken into account beyond disability studies</w:t>
      </w:r>
    </w:p>
    <w:p w:rsidR="00721D38" w:rsidRPr="00F933AF" w:rsidRDefault="00721D38" w:rsidP="00721D38">
      <w:pPr>
        <w:rPr>
          <w:rFonts w:cs="Calibri"/>
        </w:rPr>
      </w:pPr>
      <w:r w:rsidRPr="00F933AF">
        <w:rPr>
          <w:rStyle w:val="Style13ptBold"/>
          <w:rFonts w:cs="Calibri"/>
        </w:rPr>
        <w:t>Wolbring 12</w:t>
      </w:r>
      <w:r w:rsidRPr="00F933AF">
        <w:rPr>
          <w:rFonts w:cs="Calibri"/>
        </w:rPr>
        <w:t xml:space="preserve"> (Gregor Wolbring, professor of Community Rehabilitation and Disability Studies at the University of Calgary, 2012, “Expanding Ableism: Taking down the Ghettoization of Impact of Disability Studies Scholars”, Societies, https://pdfs.semanticscholar.org/1e64/78147e301f9875a144ab58d4fed09a502c5a.pdf)/CWB</w:t>
      </w:r>
    </w:p>
    <w:p w:rsidR="00721D38" w:rsidRPr="00F933AF" w:rsidRDefault="00721D38" w:rsidP="00721D38">
      <w:pPr>
        <w:rPr>
          <w:rFonts w:cs="Calibri"/>
          <w:sz w:val="16"/>
        </w:rPr>
      </w:pPr>
      <w:r w:rsidRPr="00F933AF">
        <w:rPr>
          <w:rFonts w:cs="Calibri"/>
          <w:sz w:val="16"/>
        </w:rPr>
        <w:t xml:space="preserve">Abstract: This paper highlights the utility of an </w:t>
      </w:r>
      <w:r w:rsidRPr="00F933AF">
        <w:rPr>
          <w:rStyle w:val="Emphasis"/>
          <w:rFonts w:cs="Calibri"/>
        </w:rPr>
        <w:t>expand</w:t>
      </w:r>
      <w:r w:rsidRPr="00F933AF">
        <w:rPr>
          <w:rFonts w:cs="Calibri"/>
          <w:sz w:val="16"/>
        </w:rPr>
        <w:t xml:space="preserve">ed </w:t>
      </w:r>
      <w:r w:rsidRPr="00F933AF">
        <w:rPr>
          <w:rStyle w:val="Emphasis"/>
          <w:rFonts w:cs="Calibri"/>
        </w:rPr>
        <w:t>ableism concept beyond how it is used in disability studies</w:t>
      </w:r>
      <w:r w:rsidRPr="00F933AF">
        <w:rPr>
          <w:rStyle w:val="StyleUnderline"/>
          <w:rFonts w:cs="Calibri"/>
        </w:rPr>
        <w:t>;</w:t>
      </w:r>
      <w:r w:rsidRPr="00F933AF">
        <w:rPr>
          <w:rFonts w:cs="Calibri"/>
          <w:sz w:val="16"/>
        </w:rPr>
        <w:t xml:space="preserve"> expanding the concept of ableism </w:t>
      </w:r>
      <w:r w:rsidRPr="00F933AF">
        <w:rPr>
          <w:rStyle w:val="StyleUnderline"/>
          <w:rFonts w:cs="Calibri"/>
        </w:rPr>
        <w:t>so it connects with all aspects of societies and making ableism applicable to many academic fields</w:t>
      </w:r>
      <w:r w:rsidRPr="00F933AF">
        <w:rPr>
          <w:rFonts w:cs="Calibri"/>
          <w:sz w:val="16"/>
        </w:rPr>
        <w:t xml:space="preserve">. It introduces this expanded form of ableism as </w:t>
      </w:r>
      <w:r w:rsidRPr="00F933AF">
        <w:rPr>
          <w:rStyle w:val="StyleUnderline"/>
          <w:rFonts w:cs="Calibri"/>
        </w:rPr>
        <w:t>a new angle of cultural research</w:t>
      </w:r>
      <w:r w:rsidRPr="00F933AF">
        <w:rPr>
          <w:rFonts w:cs="Calibri"/>
          <w:sz w:val="16"/>
        </w:rPr>
        <w:t xml:space="preserve"> and suggests it to be one </w:t>
      </w:r>
      <w:r w:rsidRPr="00F933AF">
        <w:rPr>
          <w:rStyle w:val="StyleUnderline"/>
          <w:rFonts w:cs="Calibri"/>
        </w:rPr>
        <w:t>possible</w:t>
      </w:r>
      <w:r w:rsidRPr="00F933AF">
        <w:rPr>
          <w:rFonts w:cs="Calibri"/>
          <w:sz w:val="16"/>
        </w:rPr>
        <w:t xml:space="preserve"> venue for disability studies scholars </w:t>
      </w:r>
      <w:r w:rsidRPr="00F933AF">
        <w:rPr>
          <w:rStyle w:val="StyleUnderline"/>
          <w:rFonts w:cs="Calibri"/>
        </w:rPr>
        <w:t>to escape the ghettoization of their impact</w:t>
      </w:r>
      <w:r w:rsidRPr="00F933AF">
        <w:rPr>
          <w:rFonts w:cs="Calibri"/>
          <w:sz w:val="16"/>
        </w:rPr>
        <w:t xml:space="preserve">. Keywords: ableism; ability studies; disability studies; society 1. Introduction </w:t>
      </w:r>
      <w:r w:rsidRPr="00F933AF">
        <w:rPr>
          <w:rStyle w:val="StyleUnderline"/>
          <w:rFonts w:cs="Calibri"/>
        </w:rPr>
        <w:t>The concept of impact is all around us and influences many discourses</w:t>
      </w:r>
      <w:r w:rsidRPr="00F933AF">
        <w:rPr>
          <w:rFonts w:cs="Calibri"/>
          <w:sz w:val="16"/>
        </w:rPr>
        <w:t xml:space="preserve"> [1–3]. </w:t>
      </w:r>
      <w:r w:rsidRPr="00F933AF">
        <w:rPr>
          <w:rStyle w:val="StyleUnderline"/>
          <w:rFonts w:cs="Calibri"/>
        </w:rPr>
        <w:t xml:space="preserve">We live in an </w:t>
      </w:r>
      <w:r w:rsidRPr="00F933AF">
        <w:rPr>
          <w:rStyle w:val="Emphasis"/>
          <w:rFonts w:cs="Calibri"/>
        </w:rPr>
        <w:t>impact assessment society with culturally constructed</w:t>
      </w:r>
      <w:r w:rsidRPr="00F933AF">
        <w:rPr>
          <w:rStyle w:val="StyleUnderline"/>
          <w:rFonts w:cs="Calibri"/>
        </w:rPr>
        <w:t xml:space="preserve"> </w:t>
      </w:r>
      <w:r w:rsidRPr="00F933AF">
        <w:rPr>
          <w:rStyle w:val="Emphasis"/>
          <w:rFonts w:cs="Calibri"/>
        </w:rPr>
        <w:t>hierarchies of impact importance</w:t>
      </w:r>
      <w:r w:rsidRPr="00F933AF">
        <w:rPr>
          <w:rStyle w:val="StyleUnderline"/>
          <w:rFonts w:cs="Calibri"/>
        </w:rPr>
        <w:t>. Academics are expected to have an impact</w:t>
      </w:r>
      <w:r w:rsidRPr="00F933AF">
        <w:rPr>
          <w:rFonts w:cs="Calibri"/>
          <w:sz w:val="16"/>
        </w:rPr>
        <w:t xml:space="preserve"> [4] for example </w:t>
      </w:r>
      <w:r w:rsidRPr="00F933AF">
        <w:rPr>
          <w:rStyle w:val="StyleUnderline"/>
          <w:rFonts w:cs="Calibri"/>
        </w:rPr>
        <w:t>through their publications</w:t>
      </w:r>
      <w:r w:rsidRPr="00F933AF">
        <w:rPr>
          <w:rFonts w:cs="Calibri"/>
          <w:sz w:val="16"/>
        </w:rPr>
        <w:t xml:space="preserve"> [5]. </w:t>
      </w:r>
      <w:r w:rsidRPr="00F933AF">
        <w:rPr>
          <w:rStyle w:val="StyleUnderline"/>
          <w:rFonts w:cs="Calibri"/>
        </w:rPr>
        <w:t>The impact</w:t>
      </w:r>
      <w:r w:rsidRPr="00F933AF">
        <w:rPr>
          <w:rFonts w:cs="Calibri"/>
          <w:sz w:val="16"/>
        </w:rPr>
        <w:t xml:space="preserve"> of their research </w:t>
      </w:r>
      <w:r w:rsidRPr="00F933AF">
        <w:rPr>
          <w:rStyle w:val="StyleUnderline"/>
          <w:rFonts w:cs="Calibri"/>
        </w:rPr>
        <w:t xml:space="preserve">is </w:t>
      </w:r>
      <w:r w:rsidRPr="00F933AF">
        <w:rPr>
          <w:rStyle w:val="Emphasis"/>
          <w:rFonts w:cs="Calibri"/>
        </w:rPr>
        <w:t>evaluated constantly</w:t>
      </w:r>
      <w:r w:rsidRPr="00F933AF">
        <w:rPr>
          <w:rFonts w:cs="Calibri"/>
          <w:sz w:val="16"/>
        </w:rPr>
        <w:t xml:space="preserve"> [6]. Knowledge translation is a buzzword to describe another expected impact of academic work [7</w:t>
      </w:r>
      <w:proofErr w:type="gramStart"/>
      <w:r w:rsidRPr="00F933AF">
        <w:rPr>
          <w:rFonts w:cs="Calibri"/>
          <w:sz w:val="16"/>
        </w:rPr>
        <w:t>,8</w:t>
      </w:r>
      <w:proofErr w:type="gramEnd"/>
      <w:r w:rsidRPr="00F933AF">
        <w:rPr>
          <w:rFonts w:cs="Calibri"/>
          <w:sz w:val="16"/>
        </w:rPr>
        <w:t xml:space="preserve">]. </w:t>
      </w:r>
      <w:r w:rsidRPr="00F933AF">
        <w:rPr>
          <w:rStyle w:val="StyleUnderline"/>
          <w:rFonts w:cs="Calibri"/>
        </w:rPr>
        <w:t>Universities</w:t>
      </w:r>
      <w:r w:rsidRPr="00F933AF">
        <w:rPr>
          <w:rFonts w:cs="Calibri"/>
          <w:sz w:val="16"/>
        </w:rPr>
        <w:t xml:space="preserve"> are seen to have to </w:t>
      </w:r>
      <w:r w:rsidRPr="00F933AF">
        <w:rPr>
          <w:rStyle w:val="StyleUnderline"/>
          <w:rFonts w:cs="Calibri"/>
        </w:rPr>
        <w:t xml:space="preserve">change their priorities </w:t>
      </w:r>
      <w:r w:rsidRPr="00F933AF">
        <w:rPr>
          <w:rFonts w:cs="Calibri"/>
          <w:sz w:val="16"/>
        </w:rPr>
        <w:t>and cultures ―</w:t>
      </w:r>
      <w:r w:rsidRPr="00F933AF">
        <w:rPr>
          <w:rStyle w:val="StyleUnderline"/>
          <w:rFonts w:cs="Calibri"/>
        </w:rPr>
        <w:t>as a result of the recognition by governments</w:t>
      </w:r>
      <w:r w:rsidRPr="00F933AF">
        <w:rPr>
          <w:rFonts w:cs="Calibri"/>
          <w:sz w:val="16"/>
        </w:rPr>
        <w:t xml:space="preserve"> that they are at the heart of their efforts to build competitive knowledge economies‖ [9]. As academics, we seem to live in a culture of impact. In this paper, </w:t>
      </w:r>
      <w:r w:rsidRPr="00F933AF">
        <w:rPr>
          <w:rStyle w:val="StyleUnderline"/>
          <w:rFonts w:cs="Calibri"/>
        </w:rPr>
        <w:t>I will submit impact considerations that</w:t>
      </w:r>
      <w:r w:rsidRPr="00F933AF">
        <w:rPr>
          <w:rFonts w:cs="Calibri"/>
          <w:sz w:val="16"/>
        </w:rPr>
        <w:t xml:space="preserve"> an academic </w:t>
      </w:r>
      <w:r w:rsidRPr="00F933AF">
        <w:rPr>
          <w:rStyle w:val="StyleUnderline"/>
          <w:rFonts w:cs="Calibri"/>
        </w:rPr>
        <w:t>disability studies</w:t>
      </w:r>
      <w:r w:rsidRPr="00F933AF">
        <w:rPr>
          <w:rFonts w:cs="Calibri"/>
          <w:sz w:val="16"/>
        </w:rPr>
        <w:t xml:space="preserve"> researcher might </w:t>
      </w:r>
      <w:r w:rsidRPr="00F933AF">
        <w:rPr>
          <w:rStyle w:val="Emphasis"/>
          <w:rFonts w:cs="Calibri"/>
        </w:rPr>
        <w:t>have to take into account.</w:t>
      </w:r>
      <w:r w:rsidRPr="00F933AF">
        <w:rPr>
          <w:rFonts w:cs="Calibri"/>
          <w:sz w:val="16"/>
        </w:rPr>
        <w:t xml:space="preserve"> The field of disability studies and disabled people activists were the first to look at cultural dynamics and the cultural impact of ability preferences, coining the term ableism [10] as a cultural concept in the process. I showcase in this paper the utility of an extended form of ableism which I submit can become a seed for new discourses, perspectives and paradigms that focus on ability favouritism as a basis for analysing existing and future cultural dynamics. I see </w:t>
      </w:r>
      <w:r w:rsidRPr="00F933AF">
        <w:rPr>
          <w:rStyle w:val="StyleUnderline"/>
          <w:rFonts w:cs="Calibri"/>
        </w:rPr>
        <w:t xml:space="preserve">ableism </w:t>
      </w:r>
      <w:r w:rsidRPr="00F933AF">
        <w:rPr>
          <w:rFonts w:cs="Calibri"/>
          <w:sz w:val="16"/>
        </w:rPr>
        <w:t xml:space="preserve">as a concept </w:t>
      </w:r>
      <w:r w:rsidRPr="00F933AF">
        <w:rPr>
          <w:rStyle w:val="StyleUnderline"/>
          <w:rFonts w:cs="Calibri"/>
        </w:rPr>
        <w:t>essential for being able to deal with ability expectation challenges for societies and individuals to come, especially for those linked to advances in science and technologies</w:t>
      </w:r>
      <w:r w:rsidRPr="00F933AF">
        <w:rPr>
          <w:rFonts w:cs="Calibri"/>
          <w:sz w:val="16"/>
        </w:rPr>
        <w:t xml:space="preserve"> [11]. I submit that the extended form of ableism is a possible way for disability studies scholars to escape among other things the ghettoization of their impact.</w:t>
      </w:r>
    </w:p>
    <w:p w:rsidR="00721D38" w:rsidRDefault="003F0AB2" w:rsidP="003F0AB2">
      <w:pPr>
        <w:pStyle w:val="Heading3"/>
      </w:pPr>
      <w:r>
        <w:t>Framing – Social Model</w:t>
      </w:r>
    </w:p>
    <w:p w:rsidR="003F0AB2" w:rsidRPr="00F933AF" w:rsidRDefault="003F0AB2" w:rsidP="003F0AB2">
      <w:pPr>
        <w:pStyle w:val="Heading4"/>
        <w:rPr>
          <w:rFonts w:cs="Calibri"/>
        </w:rPr>
      </w:pPr>
      <w:r>
        <w:rPr>
          <w:rFonts w:cs="Calibri"/>
        </w:rPr>
        <w:t xml:space="preserve">The social model is </w:t>
      </w:r>
      <w:r w:rsidRPr="00F933AF">
        <w:rPr>
          <w:rFonts w:cs="Calibri"/>
        </w:rPr>
        <w:t xml:space="preserve">essential to challenge the flaws in the legal system and create unification in challenging the state </w:t>
      </w:r>
    </w:p>
    <w:p w:rsidR="003F0AB2" w:rsidRPr="00F933AF" w:rsidRDefault="003F0AB2" w:rsidP="003F0AB2">
      <w:pPr>
        <w:rPr>
          <w:rStyle w:val="Style13ptBold"/>
          <w:rFonts w:cs="Calibri"/>
          <w:b w:val="0"/>
          <w:sz w:val="24"/>
        </w:rPr>
      </w:pPr>
      <w:r w:rsidRPr="00F933AF">
        <w:rPr>
          <w:rStyle w:val="Style13ptBold"/>
          <w:rFonts w:cs="Calibri"/>
        </w:rPr>
        <w:t>Oliver 13</w:t>
      </w:r>
      <w:r w:rsidRPr="00F933AF">
        <w:rPr>
          <w:rStyle w:val="Style13ptBold"/>
          <w:rFonts w:cs="Calibri"/>
          <w:b w:val="0"/>
          <w:sz w:val="16"/>
          <w:szCs w:val="16"/>
        </w:rPr>
        <w:t xml:space="preserve">, </w:t>
      </w:r>
      <w:r w:rsidRPr="00F933AF">
        <w:rPr>
          <w:rStyle w:val="Style13ptBold"/>
          <w:rFonts w:cs="Calibri"/>
          <w:b w:val="0"/>
          <w:color w:val="000000" w:themeColor="text1"/>
          <w:sz w:val="16"/>
          <w:szCs w:val="16"/>
        </w:rPr>
        <w:t xml:space="preserve">Mike </w:t>
      </w:r>
      <w:proofErr w:type="gramStart"/>
      <w:r w:rsidRPr="00F933AF">
        <w:rPr>
          <w:rStyle w:val="Style13ptBold"/>
          <w:rFonts w:cs="Calibri"/>
          <w:b w:val="0"/>
          <w:color w:val="000000" w:themeColor="text1"/>
          <w:sz w:val="16"/>
          <w:szCs w:val="16"/>
        </w:rPr>
        <w:t xml:space="preserve">– </w:t>
      </w:r>
      <w:r w:rsidRPr="00F933AF">
        <w:rPr>
          <w:rFonts w:cs="Calibri"/>
          <w:b/>
          <w:color w:val="000000" w:themeColor="text1"/>
          <w:sz w:val="16"/>
          <w:szCs w:val="16"/>
          <w:shd w:val="clear" w:color="auto" w:fill="FFFFFF"/>
        </w:rPr>
        <w:t> </w:t>
      </w:r>
      <w:proofErr w:type="gramEnd"/>
      <w:r w:rsidR="00266AB6">
        <w:rPr>
          <w:rFonts w:cs="Calibri"/>
          <w:color w:val="000000" w:themeColor="text1"/>
          <w:sz w:val="16"/>
          <w:szCs w:val="16"/>
          <w:shd w:val="clear" w:color="auto" w:fill="FFFFFF"/>
        </w:rPr>
        <w:fldChar w:fldCharType="begin"/>
      </w:r>
      <w:r w:rsidR="00266AB6">
        <w:rPr>
          <w:rFonts w:cs="Calibri"/>
          <w:color w:val="000000" w:themeColor="text1"/>
          <w:sz w:val="16"/>
          <w:szCs w:val="16"/>
          <w:shd w:val="clear" w:color="auto" w:fill="FFFFFF"/>
        </w:rPr>
        <w:instrText xml:space="preserve"> HYPERLINK "https://en.wikipedia.org/wiki/Great_Britain" \o "Great Britain" </w:instrText>
      </w:r>
      <w:r w:rsidR="00266AB6">
        <w:rPr>
          <w:rFonts w:cs="Calibri"/>
          <w:color w:val="000000" w:themeColor="text1"/>
          <w:sz w:val="16"/>
          <w:szCs w:val="16"/>
          <w:shd w:val="clear" w:color="auto" w:fill="FFFFFF"/>
        </w:rPr>
        <w:fldChar w:fldCharType="separate"/>
      </w:r>
      <w:r w:rsidRPr="00F933AF">
        <w:rPr>
          <w:rFonts w:cs="Calibri"/>
          <w:color w:val="000000" w:themeColor="text1"/>
          <w:sz w:val="16"/>
          <w:szCs w:val="16"/>
          <w:shd w:val="clear" w:color="auto" w:fill="FFFFFF"/>
        </w:rPr>
        <w:t>British</w:t>
      </w:r>
      <w:r w:rsidR="00266AB6">
        <w:rPr>
          <w:rFonts w:cs="Calibri"/>
          <w:color w:val="000000" w:themeColor="text1"/>
          <w:sz w:val="16"/>
          <w:szCs w:val="16"/>
          <w:shd w:val="clear" w:color="auto" w:fill="FFFFFF"/>
        </w:rPr>
        <w:fldChar w:fldCharType="end"/>
      </w:r>
      <w:r w:rsidRPr="00F933AF">
        <w:rPr>
          <w:rFonts w:cs="Calibri"/>
          <w:color w:val="000000" w:themeColor="text1"/>
          <w:sz w:val="16"/>
          <w:szCs w:val="16"/>
          <w:shd w:val="clear" w:color="auto" w:fill="FFFFFF"/>
        </w:rPr>
        <w:t> academic, author, and </w:t>
      </w:r>
      <w:hyperlink r:id="rId103" w:tooltip="Disability rights movement" w:history="1">
        <w:r w:rsidRPr="00F933AF">
          <w:rPr>
            <w:rFonts w:cs="Calibri"/>
            <w:color w:val="000000" w:themeColor="text1"/>
            <w:sz w:val="16"/>
            <w:szCs w:val="16"/>
            <w:shd w:val="clear" w:color="auto" w:fill="FFFFFF"/>
          </w:rPr>
          <w:t>disability rights</w:t>
        </w:r>
      </w:hyperlink>
      <w:r w:rsidRPr="00F933AF">
        <w:rPr>
          <w:rFonts w:cs="Calibri"/>
          <w:color w:val="000000" w:themeColor="text1"/>
          <w:sz w:val="16"/>
          <w:szCs w:val="16"/>
          <w:shd w:val="clear" w:color="auto" w:fill="FFFFFF"/>
        </w:rPr>
        <w:t> activist. He is Emeritus Professor of </w:t>
      </w:r>
      <w:hyperlink r:id="rId104" w:tooltip="Disability Studies" w:history="1">
        <w:r w:rsidRPr="00F933AF">
          <w:rPr>
            <w:rFonts w:cs="Calibri"/>
            <w:color w:val="000000" w:themeColor="text1"/>
            <w:sz w:val="16"/>
            <w:szCs w:val="16"/>
            <w:shd w:val="clear" w:color="auto" w:fill="FFFFFF"/>
          </w:rPr>
          <w:t>Disability Studies</w:t>
        </w:r>
      </w:hyperlink>
      <w:r w:rsidRPr="00F933AF">
        <w:rPr>
          <w:rFonts w:cs="Calibri"/>
          <w:color w:val="000000" w:themeColor="text1"/>
          <w:sz w:val="16"/>
          <w:szCs w:val="16"/>
          <w:shd w:val="clear" w:color="auto" w:fill="FFFFFF"/>
        </w:rPr>
        <w:t> at the </w:t>
      </w:r>
      <w:hyperlink r:id="rId105" w:tooltip="University of Greenwich" w:history="1">
        <w:r w:rsidRPr="00F933AF">
          <w:rPr>
            <w:rFonts w:cs="Calibri"/>
            <w:color w:val="000000" w:themeColor="text1"/>
            <w:sz w:val="16"/>
            <w:szCs w:val="16"/>
            <w:shd w:val="clear" w:color="auto" w:fill="FFFFFF"/>
          </w:rPr>
          <w:t>University of Greenwich</w:t>
        </w:r>
      </w:hyperlink>
      <w:r w:rsidRPr="00F933AF">
        <w:rPr>
          <w:rFonts w:cs="Calibri"/>
          <w:color w:val="000000" w:themeColor="text1"/>
          <w:sz w:val="16"/>
          <w:szCs w:val="16"/>
        </w:rPr>
        <w:t xml:space="preserve"> </w:t>
      </w:r>
      <w:r w:rsidRPr="00F933AF">
        <w:rPr>
          <w:rStyle w:val="Style13ptBold"/>
          <w:rFonts w:cs="Calibri"/>
          <w:color w:val="000000" w:themeColor="text1"/>
          <w:sz w:val="16"/>
          <w:szCs w:val="16"/>
        </w:rPr>
        <w:t xml:space="preserve"> </w:t>
      </w:r>
      <w:r w:rsidRPr="00F933AF">
        <w:rPr>
          <w:rStyle w:val="Style13ptBold"/>
          <w:rFonts w:cs="Calibri"/>
          <w:b w:val="0"/>
          <w:color w:val="000000" w:themeColor="text1"/>
          <w:sz w:val="16"/>
          <w:szCs w:val="16"/>
        </w:rPr>
        <w:t>“The Social Model: Thirty Years On” 22</w:t>
      </w:r>
      <w:r w:rsidRPr="00F933AF">
        <w:rPr>
          <w:rStyle w:val="Style13ptBold"/>
          <w:rFonts w:cs="Calibri"/>
          <w:b w:val="0"/>
          <w:color w:val="000000" w:themeColor="text1"/>
          <w:sz w:val="16"/>
          <w:szCs w:val="16"/>
          <w:vertAlign w:val="superscript"/>
        </w:rPr>
        <w:t>nd</w:t>
      </w:r>
      <w:r w:rsidRPr="00F933AF">
        <w:rPr>
          <w:rStyle w:val="Style13ptBold"/>
          <w:rFonts w:cs="Calibri"/>
          <w:b w:val="0"/>
          <w:color w:val="000000" w:themeColor="text1"/>
          <w:sz w:val="16"/>
          <w:szCs w:val="16"/>
        </w:rPr>
        <w:t xml:space="preserve"> July 2013 </w:t>
      </w:r>
      <w:r w:rsidRPr="00F933AF">
        <w:rPr>
          <w:rFonts w:cs="Calibri"/>
          <w:i/>
          <w:color w:val="000000" w:themeColor="text1"/>
          <w:sz w:val="16"/>
          <w:szCs w:val="16"/>
        </w:rPr>
        <w:t>Disability &amp; Society</w:t>
      </w:r>
      <w:r>
        <w:rPr>
          <w:rFonts w:cs="Calibri"/>
          <w:i/>
          <w:color w:val="000000" w:themeColor="text1"/>
          <w:sz w:val="16"/>
          <w:szCs w:val="16"/>
        </w:rPr>
        <w:t>//mr</w:t>
      </w:r>
    </w:p>
    <w:p w:rsidR="003F0AB2" w:rsidRPr="00F933AF" w:rsidRDefault="003F0AB2" w:rsidP="003F0AB2">
      <w:pPr>
        <w:rPr>
          <w:rFonts w:cs="Calibri"/>
          <w:sz w:val="16"/>
        </w:rPr>
      </w:pPr>
      <w:r w:rsidRPr="00F933AF">
        <w:rPr>
          <w:rFonts w:cs="Calibri"/>
          <w:sz w:val="16"/>
        </w:rPr>
        <w:t xml:space="preserve">The idea behind </w:t>
      </w:r>
      <w:r w:rsidRPr="00F933AF">
        <w:rPr>
          <w:rFonts w:cs="Calibri"/>
          <w:u w:val="single"/>
        </w:rPr>
        <w:t>the social model of disability</w:t>
      </w:r>
      <w:r w:rsidRPr="00F933AF">
        <w:rPr>
          <w:rFonts w:cs="Calibri"/>
          <w:sz w:val="16"/>
        </w:rPr>
        <w:t xml:space="preserve"> stemmed from the Fundamental Principles of Disability document first published in the mid-1970s (UPIAS 1976), which </w:t>
      </w:r>
      <w:r w:rsidRPr="00F933AF">
        <w:rPr>
          <w:rFonts w:cs="Calibri"/>
          <w:u w:val="single"/>
        </w:rPr>
        <w:t>argued that we were not disabled by our impairments but by the disabling barriers we faced in society</w:t>
      </w:r>
      <w:r w:rsidRPr="00F933AF">
        <w:rPr>
          <w:rFonts w:cs="Calibri"/>
          <w:sz w:val="16"/>
        </w:rPr>
        <w:t xml:space="preserve">. A couple of years later I was teaching the first master’s course in what has now come to be called disability studies in the United Kingdom. The course was for qualified social workers and other professionals, and I wanted to help my students develop a means of translating that simple idea into their everyday work with disabled clients and their families. So in the early 1980s I introduced both the individual and social models of disability (Oliver 1983) aimed largely at professionals. I suggested that until that point those working with disabled people had operated largely within a framework based on the individual model, and that </w:t>
      </w:r>
      <w:r w:rsidRPr="00F933AF">
        <w:rPr>
          <w:rFonts w:cs="Calibri"/>
          <w:u w:val="single"/>
        </w:rPr>
        <w:t>in order to make their practice more relevant to the needs of disabled people they needed to re-orient their work to a framework based upon the social model</w:t>
      </w:r>
      <w:r w:rsidRPr="00F933AF">
        <w:rPr>
          <w:rFonts w:cs="Calibri"/>
          <w:sz w:val="16"/>
        </w:rPr>
        <w:t xml:space="preserve">. </w:t>
      </w:r>
      <w:r w:rsidRPr="00F933AF">
        <w:rPr>
          <w:rFonts w:cs="Calibri"/>
          <w:u w:val="single"/>
        </w:rPr>
        <w:t>At no point</w:t>
      </w:r>
      <w:r w:rsidRPr="00F933AF">
        <w:rPr>
          <w:rFonts w:cs="Calibri"/>
          <w:sz w:val="16"/>
        </w:rPr>
        <w:t xml:space="preserve"> did I suggest that </w:t>
      </w:r>
      <w:r w:rsidRPr="00F933AF">
        <w:rPr>
          <w:rFonts w:cs="Calibri"/>
          <w:u w:val="single"/>
        </w:rPr>
        <w:t>the individual model should be abandoned</w:t>
      </w:r>
      <w:r w:rsidRPr="00F933AF">
        <w:rPr>
          <w:rFonts w:cs="Calibri"/>
          <w:sz w:val="16"/>
        </w:rPr>
        <w:t xml:space="preserve">, and neither did I claim that </w:t>
      </w:r>
      <w:r w:rsidRPr="00F933AF">
        <w:rPr>
          <w:rFonts w:cs="Calibri"/>
          <w:u w:val="single"/>
        </w:rPr>
        <w:t>the social model was an all-encompassing framework within which everything that happens to disabled people could be understood</w:t>
      </w:r>
      <w:r w:rsidRPr="00F933AF">
        <w:rPr>
          <w:rFonts w:cs="Calibri"/>
          <w:sz w:val="16"/>
        </w:rPr>
        <w:t xml:space="preserve"> or explained. Subsequently, </w:t>
      </w:r>
      <w:r w:rsidRPr="00F933AF">
        <w:rPr>
          <w:rFonts w:cs="Calibri"/>
          <w:u w:val="single"/>
        </w:rPr>
        <w:t>however, the social model</w:t>
      </w:r>
      <w:r w:rsidRPr="00F933AF">
        <w:rPr>
          <w:rFonts w:cs="Calibri"/>
          <w:sz w:val="16"/>
        </w:rPr>
        <w:t xml:space="preserve"> took on a life of its own and it became the big idea behind the newly emerging disability equality training. It also soon </w:t>
      </w:r>
      <w:r w:rsidRPr="00F933AF">
        <w:rPr>
          <w:rFonts w:cs="Calibri"/>
          <w:b/>
          <w:u w:val="single"/>
        </w:rPr>
        <w:t>became the vehicle for developing a collective disability consciousness and helped to develop and strengthen the disabled peoples’ movement</w:t>
      </w:r>
      <w:r w:rsidRPr="00F933AF">
        <w:rPr>
          <w:rFonts w:cs="Calibri"/>
          <w:u w:val="single"/>
        </w:rPr>
        <w:t xml:space="preserve"> that had begun to emerge</w:t>
      </w:r>
      <w:r w:rsidRPr="00F933AF">
        <w:rPr>
          <w:rFonts w:cs="Calibri"/>
          <w:sz w:val="16"/>
        </w:rPr>
        <w:t xml:space="preserve"> a decade earlier. </w:t>
      </w:r>
      <w:r w:rsidRPr="00F933AF">
        <w:rPr>
          <w:rFonts w:cs="Calibri"/>
          <w:u w:val="single"/>
        </w:rPr>
        <w:t>Armed with the idea that we needed to identify and eradicate the disabling barriers we had in common, the disabled peoples’ movement</w:t>
      </w:r>
      <w:r w:rsidRPr="00F933AF">
        <w:rPr>
          <w:rFonts w:cs="Calibri"/>
          <w:sz w:val="16"/>
        </w:rPr>
        <w:t xml:space="preserve"> </w:t>
      </w:r>
      <w:r w:rsidRPr="00F933AF">
        <w:rPr>
          <w:rFonts w:cs="Calibri"/>
          <w:u w:val="single"/>
        </w:rPr>
        <w:t xml:space="preserve">forced the media to change their images of us, transport providers to open up many of their services to us, public buildings to become much more accessible and </w:t>
      </w:r>
      <w:r w:rsidRPr="00F933AF">
        <w:rPr>
          <w:rFonts w:cs="Calibri"/>
          <w:b/>
          <w:u w:val="single"/>
        </w:rPr>
        <w:t>the legal system changed to make it illegal to discriminate against us.</w:t>
      </w:r>
      <w:r w:rsidRPr="00F933AF">
        <w:rPr>
          <w:rFonts w:cs="Calibri"/>
          <w:sz w:val="16"/>
        </w:rPr>
        <w:t xml:space="preserve"> Of course there were some barriers that proved, and continue to prove, much more intractable. The hegemony of special education has barely been challenged in schools, although in further and higher education some disabling barriers have been removed. The social model has also barely made a dent in the employment system because, although it has identified many of the disabling barriers in the international labour market and with the behaviour of employers, the solutions offered have usually been based on an individual model of disability. Almost from the beginning, critics of the social model began to emerge. Initially these came from the major disability charities and many professional organisations who felt that their dominance of our lives was under threat. Ironically </w:t>
      </w:r>
      <w:r w:rsidRPr="00F933AF">
        <w:rPr>
          <w:rFonts w:cs="Calibri"/>
          <w:u w:val="single"/>
        </w:rPr>
        <w:t>many</w:t>
      </w:r>
      <w:r w:rsidRPr="00F933AF">
        <w:rPr>
          <w:rFonts w:cs="Calibri"/>
          <w:sz w:val="16"/>
        </w:rPr>
        <w:t xml:space="preserve"> of them now </w:t>
      </w:r>
      <w:r w:rsidRPr="00F933AF">
        <w:rPr>
          <w:rFonts w:cs="Calibri"/>
          <w:u w:val="single"/>
        </w:rPr>
        <w:t>see the social model as central to their operations</w:t>
      </w:r>
      <w:r w:rsidRPr="00F933AF">
        <w:rPr>
          <w:rFonts w:cs="Calibri"/>
          <w:sz w:val="16"/>
        </w:rPr>
        <w:t xml:space="preserve"> and often act as if they invented it in the first place. Some years later, </w:t>
      </w:r>
      <w:r w:rsidRPr="00F933AF">
        <w:rPr>
          <w:rFonts w:cs="Calibri"/>
          <w:u w:val="single"/>
        </w:rPr>
        <w:t xml:space="preserve">some disabled people and academics </w:t>
      </w:r>
      <w:r w:rsidRPr="00F933AF">
        <w:rPr>
          <w:rFonts w:cs="Calibri"/>
          <w:sz w:val="16"/>
        </w:rPr>
        <w:t>involved in the newly emerging disability studies also</w:t>
      </w:r>
      <w:r w:rsidRPr="00F933AF">
        <w:rPr>
          <w:rFonts w:cs="Calibri"/>
          <w:u w:val="single"/>
        </w:rPr>
        <w:t xml:space="preserve"> began to question the value and relevance of the social model</w:t>
      </w:r>
      <w:r w:rsidRPr="00F933AF">
        <w:rPr>
          <w:rFonts w:cs="Calibri"/>
          <w:sz w:val="16"/>
        </w:rPr>
        <w:t xml:space="preserve">. It is not my intention to reprise these criticisms here but basically they can be divided into two main areas of concern. The first of these suggests that there is no place for impairment within the social model of disability. The second alleges that the social model fails to take account of difference and presents disabled people as one unitary group, whereas in reality our race, gender, sexuality and age mean that our needs and lives are much more complex than that. Overall these critics have argued that the social model is only a limited and partial explanation for what is happening to disabled people in the modern world. In recent years </w:t>
      </w:r>
      <w:r w:rsidRPr="00F933AF">
        <w:rPr>
          <w:rFonts w:cs="Calibri"/>
          <w:u w:val="single"/>
        </w:rPr>
        <w:t>it has sometimes seemed as if these criticisms have received more prominence than the social model itself.</w:t>
      </w:r>
      <w:r w:rsidRPr="00F933AF">
        <w:rPr>
          <w:rFonts w:cs="Calibri"/>
          <w:sz w:val="16"/>
        </w:rPr>
        <w:t xml:space="preserve"> Many academic papers and some books have been published whose main concern has been to attack, reform or revise the social model, and reputations and careers have been built on the back of these attacks. My own response to these attacks has always been fairly relaxed because </w:t>
      </w:r>
      <w:r w:rsidRPr="00F933AF">
        <w:rPr>
          <w:rFonts w:cs="Calibri"/>
          <w:u w:val="single"/>
        </w:rPr>
        <w:t xml:space="preserve">I have never seen the social model as anything more than </w:t>
      </w:r>
      <w:r w:rsidRPr="00F933AF">
        <w:rPr>
          <w:rFonts w:cs="Calibri"/>
          <w:b/>
          <w:u w:val="single"/>
        </w:rPr>
        <w:t>a tool to improve peoples’ lives</w:t>
      </w:r>
      <w:r w:rsidRPr="00F933AF">
        <w:rPr>
          <w:rFonts w:cs="Calibri"/>
          <w:sz w:val="16"/>
        </w:rPr>
        <w:t xml:space="preserve"> and I have been happy to agree that it does not do many of the things its opponents criticise it for not doing. Indeed, in 1990 I published a book that attempted to develop a more all-encompassing explanation of what was happening to disabled people in the modern world (Oliver 1990). It is this that is often referred to as the book which promoted and developed the social model when, in fact, it was only discussed in three pages in the whole book. Even when I and a colleague updated this text, the social model did not play a significant part (Oliver and Barnes 2012). I can only assume that those who have argued that central to my work has been the promotion and policing of the social model have based their evidence solely on inaccurate commentaries and that they have not bothered to read what I actually said. However I, and others, have often pointed out that </w:t>
      </w:r>
      <w:r w:rsidRPr="00F933AF">
        <w:rPr>
          <w:rFonts w:cs="Calibri"/>
          <w:b/>
          <w:u w:val="single"/>
        </w:rPr>
        <w:t>focusing on impairment and difference will only de-politicise the social model and will not lead to the development of any approaches or alternative models that are likely to be useful in developing campaigns to improve or defend the lifestyles of disabled people</w:t>
      </w:r>
      <w:r w:rsidRPr="00F933AF">
        <w:rPr>
          <w:rFonts w:cs="Calibri"/>
          <w:sz w:val="16"/>
        </w:rPr>
        <w:t xml:space="preserve">. Essentially these arguments between academics and political activists mattered very little while the global economy was operating in boom mode, but when it went bust things changed very quickly for the vast majority of people throughout the world, disabled people among them. </w:t>
      </w:r>
      <w:r w:rsidRPr="00F933AF">
        <w:rPr>
          <w:rFonts w:cs="Calibri"/>
          <w:u w:val="single"/>
        </w:rPr>
        <w:t>Just as we had predicted, emphasising impairment and difference was a strategy that was impotent in protecting disabled people, our benefits and services, from the economic firestorm that was raging around us.</w:t>
      </w:r>
      <w:r w:rsidRPr="00F933AF">
        <w:rPr>
          <w:rFonts w:cs="Calibri"/>
          <w:sz w:val="16"/>
        </w:rPr>
        <w:t xml:space="preserve"> In fact </w:t>
      </w:r>
      <w:r w:rsidRPr="00F933AF">
        <w:rPr>
          <w:rFonts w:cs="Calibri"/>
          <w:u w:val="single"/>
        </w:rPr>
        <w:t xml:space="preserve">government policy has now begun to use these criticisms of the social model by bringing impairment and difference </w:t>
      </w:r>
      <w:r w:rsidRPr="00F933AF">
        <w:rPr>
          <w:rFonts w:cs="Calibri"/>
          <w:b/>
          <w:u w:val="single"/>
        </w:rPr>
        <w:t>back into their economic and social policy while steadfastly ignoring the barriers we still face.</w:t>
      </w:r>
      <w:r w:rsidRPr="00F933AF">
        <w:rPr>
          <w:rFonts w:cs="Calibri"/>
          <w:sz w:val="16"/>
        </w:rPr>
        <w:t xml:space="preserve"> Hence </w:t>
      </w:r>
      <w:r w:rsidRPr="00F933AF">
        <w:rPr>
          <w:rFonts w:cs="Calibri"/>
          <w:u w:val="single"/>
        </w:rPr>
        <w:t xml:space="preserve">cuts in our benefits are being justified on the grounds that the intention is to give more to those who are severely impaired </w:t>
      </w:r>
      <w:r w:rsidRPr="00F933AF">
        <w:rPr>
          <w:rFonts w:cs="Calibri"/>
          <w:sz w:val="16"/>
        </w:rPr>
        <w:t xml:space="preserve">(and hence deserving) and not to those who are not (and hence undeserving). </w:t>
      </w:r>
      <w:r w:rsidRPr="00F933AF">
        <w:rPr>
          <w:rFonts w:cs="Calibri"/>
          <w:u w:val="single"/>
        </w:rPr>
        <w:t>Our differences are being used to slash our services as our needs are now being assessed as being moderate, substantial or critical and many local authorities are now only providing services to those whose needs are critical.</w:t>
      </w:r>
      <w:r w:rsidRPr="00F933AF">
        <w:rPr>
          <w:rFonts w:cs="Calibri"/>
          <w:sz w:val="16"/>
        </w:rPr>
        <w:t xml:space="preserve"> </w:t>
      </w:r>
      <w:r w:rsidRPr="00F933AF">
        <w:rPr>
          <w:rFonts w:cs="Calibri"/>
          <w:u w:val="single"/>
        </w:rPr>
        <w:t>The disabled peoples’ movement that was once united around the barriers we had in common now faces deep divisions and has all but disappeared, leaving disabled people at the mercy of an ideologically driven government with no-one to defend us except the big charities who are driven by self-interest</w:t>
      </w:r>
      <w:r w:rsidRPr="00F933AF">
        <w:rPr>
          <w:rFonts w:cs="Calibri"/>
          <w:sz w:val="16"/>
        </w:rPr>
        <w:t xml:space="preserve">. As a consequence of this, most of the political campaigning that has taken place in defence of our benefits and services have forced disabled people back into the role of tragic victims of our impairments and has involved others undertaking special pleading on our behalf. In fact </w:t>
      </w:r>
      <w:r w:rsidRPr="00F933AF">
        <w:rPr>
          <w:rFonts w:cs="Calibri"/>
          <w:u w:val="single"/>
        </w:rPr>
        <w:t xml:space="preserve">it has taken us back more than 30 years to the time before the social model came into existence. </w:t>
      </w:r>
      <w:r w:rsidRPr="00F933AF">
        <w:rPr>
          <w:rFonts w:cs="Calibri"/>
          <w:b/>
          <w:u w:val="single"/>
        </w:rPr>
        <w:t>Those who have talked down the social model while failing to replace it with something more meaningful or useful must bear a heavy burden of responsibility for this state of affairs.</w:t>
      </w:r>
      <w:r w:rsidRPr="00F933AF">
        <w:rPr>
          <w:rFonts w:cs="Calibri"/>
          <w:u w:val="single"/>
        </w:rPr>
        <w:t xml:space="preserve"> Remarkably they have been rather silent in speaking out or building alternative models to address what is happening to disabled people now.</w:t>
      </w:r>
      <w:r w:rsidRPr="00F933AF">
        <w:rPr>
          <w:rFonts w:cs="Calibri"/>
          <w:sz w:val="16"/>
        </w:rPr>
        <w:t xml:space="preserve"> Surely it is time to either re-invigorate the social model or replace it with something else. One thing is for sure; the talking has to stop.</w:t>
      </w:r>
    </w:p>
    <w:p w:rsidR="003F0AB2" w:rsidRDefault="003F0AB2" w:rsidP="003F0AB2">
      <w:pPr>
        <w:pStyle w:val="Heading3"/>
      </w:pPr>
      <w:r>
        <w:t>Framing – Posthumanism</w:t>
      </w:r>
    </w:p>
    <w:p w:rsidR="003F0AB2" w:rsidRDefault="003F0AB2" w:rsidP="003F0AB2">
      <w:pPr>
        <w:pStyle w:val="Heading4"/>
      </w:pPr>
      <w:r>
        <w:t xml:space="preserve">Disability debates </w:t>
      </w:r>
      <w:r>
        <w:rPr>
          <w:u w:val="single"/>
        </w:rPr>
        <w:t xml:space="preserve">requires </w:t>
      </w:r>
      <w:r>
        <w:t>a posthumanist framing- that moots the impact to human extinction</w:t>
      </w:r>
    </w:p>
    <w:p w:rsidR="003F0AB2" w:rsidRPr="00F30085" w:rsidRDefault="003F0AB2" w:rsidP="003F0AB2">
      <w:r w:rsidRPr="00F30085">
        <w:rPr>
          <w:rStyle w:val="Style13ptBold"/>
        </w:rPr>
        <w:t>Goodley 14</w:t>
      </w:r>
      <w:r>
        <w:t xml:space="preserve"> (Dan Goodley, Rebecca Lawthom</w:t>
      </w:r>
      <w:r w:rsidRPr="00F30085">
        <w:t xml:space="preserve"> and Katherine Runswick Cole,</w:t>
      </w:r>
      <w:r>
        <w:t xml:space="preserve"> Dan Goodley is Professor of Disability Studies and Education at the University of Sheffield. Recent texts include Dis/ability Studies (Routledge, 2014) and Disability Studies (Sage, 2011). His work engages critical studies of ableism and disablism to interrogate the gains and losses of those working at the dis/ability complex. Rebecca Lawthom is Professor of Community Psychology at Manchester Metropolitan University. Her work engages at the intersections of feminism, disability and migration. Publications include Community Psychology (Wiley Blackwell, 2011, with Kagan, Burton and Duckett) and Qualitative Methods in Psychology: A research guide (Open University Press, 2012, with Banister, Bunn, Burman, Daniels, Duckett, Parker, Runswick Cole, Sixsmith and Goodley). Katherine Runswick-Cole is Senior Research Fellow in Disability Studies and Psychology at Manchester Metropolitan University, UK. Her research and publications focus on the lives of disabled children and their families, this includes Disabled Children’s Childhood Studies (2013, Palgrave, edited with Tillie Curran) and Approaching disability: Critical issues and perspectives (2014, Routledge, with Mallett).</w:t>
      </w:r>
      <w:r w:rsidRPr="00F30085">
        <w:t xml:space="preserve"> " Posthuman disability studies", </w:t>
      </w:r>
      <w:r>
        <w:t>2014</w:t>
      </w:r>
      <w:r w:rsidRPr="00F30085">
        <w:t xml:space="preserve">, </w:t>
      </w:r>
      <w:r>
        <w:t>Subjectivity</w:t>
      </w:r>
      <w:r w:rsidRPr="00F30085">
        <w:t xml:space="preserve">, </w:t>
      </w:r>
      <w:hyperlink r:id="rId106" w:history="1">
        <w:r w:rsidRPr="00DF34A6">
          <w:rPr>
            <w:rStyle w:val="Hyperlink"/>
          </w:rPr>
          <w:t>https://e-space.mmu.ac.uk/618995/1/Posthuman_disability_studies_paper_for_Subjectivity-libre%20(2).pdf</w:t>
        </w:r>
      </w:hyperlink>
      <w:r>
        <w:t>)//AO</w:t>
      </w:r>
    </w:p>
    <w:p w:rsidR="003F0AB2" w:rsidRDefault="003F0AB2" w:rsidP="003F0AB2">
      <w:pPr>
        <w:rPr>
          <w:u w:val="single"/>
        </w:rPr>
      </w:pPr>
      <w:r w:rsidRPr="004F74D7">
        <w:rPr>
          <w:sz w:val="10"/>
        </w:rPr>
        <w:t xml:space="preserve">This paper explores the human through critical disability studies and the theories of Rosi Braidotti. We ask: </w:t>
      </w:r>
      <w:r w:rsidRPr="00C428E0">
        <w:rPr>
          <w:u w:val="single"/>
        </w:rPr>
        <w:t>what does it mean to be human in the 21st Century and in what ways does</w:t>
      </w:r>
      <w:r>
        <w:rPr>
          <w:u w:val="single"/>
        </w:rPr>
        <w:t xml:space="preserve"> </w:t>
      </w:r>
      <w:r w:rsidRPr="00C428E0">
        <w:rPr>
          <w:u w:val="single"/>
        </w:rPr>
        <w:t>disability enhance these meanings?</w:t>
      </w:r>
      <w:r w:rsidRPr="004F74D7">
        <w:rPr>
          <w:sz w:val="10"/>
        </w:rPr>
        <w:t xml:space="preserve"> In addressing this question we seek to work through entangled connections of nature, society, technology, medicine, biopower and culture to consider the extent to which the human might be an outdated phenomenon, replaced by Braidotti’s posthuman condition. We then introduce disability as a political category, an identity and a moment of relational ethics. </w:t>
      </w:r>
      <w:r w:rsidRPr="00C428E0">
        <w:rPr>
          <w:u w:val="single"/>
        </w:rPr>
        <w:t>Critical disability studies, we argue, are perfectly at</w:t>
      </w:r>
      <w:r>
        <w:rPr>
          <w:u w:val="single"/>
        </w:rPr>
        <w:t xml:space="preserve"> </w:t>
      </w:r>
      <w:r w:rsidRPr="00C428E0">
        <w:rPr>
          <w:u w:val="single"/>
        </w:rPr>
        <w:t>ease with the posthuman because disability has always contravened the traditional classical</w:t>
      </w:r>
      <w:r>
        <w:rPr>
          <w:u w:val="single"/>
        </w:rPr>
        <w:t xml:space="preserve"> </w:t>
      </w:r>
      <w:r w:rsidRPr="00C428E0">
        <w:rPr>
          <w:u w:val="single"/>
        </w:rPr>
        <w:t>humanist conception of what it means to be human</w:t>
      </w:r>
      <w:r w:rsidRPr="004F74D7">
        <w:rPr>
          <w:sz w:val="10"/>
        </w:rPr>
        <w:t xml:space="preserve">. Disability also invites a critical analysis of the posthuman. We examine the ways in which </w:t>
      </w:r>
      <w:r w:rsidRPr="00C428E0">
        <w:rPr>
          <w:u w:val="single"/>
        </w:rPr>
        <w:t>disability and posthuman work together,</w:t>
      </w:r>
      <w:r>
        <w:rPr>
          <w:u w:val="single"/>
        </w:rPr>
        <w:t xml:space="preserve"> </w:t>
      </w:r>
      <w:r w:rsidRPr="00C428E0">
        <w:rPr>
          <w:u w:val="single"/>
        </w:rPr>
        <w:t>enhancing and complicating one another in ways that raise important questions about the</w:t>
      </w:r>
      <w:r>
        <w:rPr>
          <w:u w:val="single"/>
        </w:rPr>
        <w:t xml:space="preserve"> </w:t>
      </w:r>
      <w:r w:rsidRPr="00C428E0">
        <w:rPr>
          <w:u w:val="single"/>
        </w:rPr>
        <w:t xml:space="preserve">kinds of life and death we value. </w:t>
      </w:r>
      <w:r w:rsidRPr="004F74D7">
        <w:rPr>
          <w:sz w:val="10"/>
        </w:rPr>
        <w:t xml:space="preserve">We consider three of Braidotti’s themes in relation to disability: I. Life beyond the self: Rethinking enhancement; II. Life beyond the species: Rethinking animal; III. Life beyond death: Rethinking death. We conclude by advocating a posthuman disability studies that responds directly to contemporary complexities around the human whilst celebrating moments of difference and disruption. (1) Introduction: Have you ever been human? ‘Not all of us can say, with any degree of certainty, that we have always been human, or that we are only that. Some of us are not even considered fully human now, let alone at previous moments of Western social, political and scientific history (Braidotti, 2013: 1). This quote kick-starts Rosi Braidotti’s text and initiates a key task of her book: to target/secure the problem/possibility of the post/human. </w:t>
      </w:r>
      <w:r w:rsidRPr="00C428E0">
        <w:rPr>
          <w:u w:val="single"/>
        </w:rPr>
        <w:t>The human, as it is classically</w:t>
      </w:r>
      <w:r>
        <w:rPr>
          <w:u w:val="single"/>
        </w:rPr>
        <w:t xml:space="preserve"> </w:t>
      </w:r>
      <w:r w:rsidRPr="00C428E0">
        <w:rPr>
          <w:u w:val="single"/>
        </w:rPr>
        <w:t>understood, is a self-aggrandising, abstract ideal and symbol of classical humanity that was</w:t>
      </w:r>
      <w:r>
        <w:rPr>
          <w:u w:val="single"/>
        </w:rPr>
        <w:t xml:space="preserve"> </w:t>
      </w:r>
      <w:r w:rsidRPr="00C428E0">
        <w:rPr>
          <w:u w:val="single"/>
        </w:rPr>
        <w:t>born in Europe ‘predicated on eighteenth and nineteenth-century renditions of classical</w:t>
      </w:r>
      <w:r>
        <w:rPr>
          <w:u w:val="single"/>
        </w:rPr>
        <w:t xml:space="preserve"> </w:t>
      </w:r>
      <w:r w:rsidRPr="00C428E0">
        <w:rPr>
          <w:u w:val="single"/>
        </w:rPr>
        <w:t>Antiquity and Italian Renaissance ideals’ (Ibid: 13) and shaped, more recently, through</w:t>
      </w:r>
      <w:r>
        <w:rPr>
          <w:u w:val="single"/>
        </w:rPr>
        <w:t xml:space="preserve"> </w:t>
      </w:r>
      <w:r w:rsidRPr="00C428E0">
        <w:rPr>
          <w:u w:val="single"/>
        </w:rPr>
        <w:t>modernist and capitalist mouldings. ‘Humanity’ Braidotti (2013: 24) notes, ‘is very much a</w:t>
      </w:r>
      <w:r>
        <w:rPr>
          <w:u w:val="single"/>
        </w:rPr>
        <w:t xml:space="preserve"> </w:t>
      </w:r>
      <w:r w:rsidRPr="00C428E0">
        <w:rPr>
          <w:u w:val="single"/>
        </w:rPr>
        <w:t>male of the species: it is a he’. Moreover, ‘he is white, European, handsome and able-bodied’</w:t>
      </w:r>
      <w:r>
        <w:rPr>
          <w:u w:val="single"/>
        </w:rPr>
        <w:t xml:space="preserve"> </w:t>
      </w:r>
      <w:r w:rsidRPr="00C428E0">
        <w:rPr>
          <w:u w:val="single"/>
        </w:rPr>
        <w:t>(Braidotti, 2013: 24), ‘an ideal of bodily perfection’ (Ibid: 13), ‘implicitly assumed to be</w:t>
      </w:r>
      <w:r>
        <w:rPr>
          <w:u w:val="single"/>
        </w:rPr>
        <w:t xml:space="preserve"> </w:t>
      </w:r>
      <w:r w:rsidRPr="00C428E0">
        <w:rPr>
          <w:u w:val="single"/>
        </w:rPr>
        <w:t>masculine, white, urbanized, speaking a standard language, heterosexually inscribed in a</w:t>
      </w:r>
      <w:r>
        <w:rPr>
          <w:u w:val="single"/>
        </w:rPr>
        <w:t xml:space="preserve"> </w:t>
      </w:r>
      <w:r w:rsidRPr="00C428E0">
        <w:rPr>
          <w:u w:val="single"/>
        </w:rPr>
        <w:t>reproductive unit and a full citizen of a recognised polity’ (Ibid: 65), ‘a rational animal</w:t>
      </w:r>
      <w:r>
        <w:rPr>
          <w:u w:val="single"/>
        </w:rPr>
        <w:t xml:space="preserve"> </w:t>
      </w:r>
      <w:r w:rsidRPr="00C428E0">
        <w:rPr>
          <w:u w:val="single"/>
        </w:rPr>
        <w:t xml:space="preserve">endowed with language’ </w:t>
      </w:r>
      <w:r w:rsidRPr="004F74D7">
        <w:rPr>
          <w:sz w:val="10"/>
        </w:rPr>
        <w:t xml:space="preserve">(Ibid: 141). </w:t>
      </w:r>
      <w:r w:rsidRPr="00C428E0">
        <w:rPr>
          <w:u w:val="single"/>
        </w:rPr>
        <w:t>This means that while all citizens are humans ‘some or</w:t>
      </w:r>
      <w:r>
        <w:rPr>
          <w:u w:val="single"/>
        </w:rPr>
        <w:t xml:space="preserve"> </w:t>
      </w:r>
      <w:r w:rsidRPr="00C428E0">
        <w:rPr>
          <w:u w:val="single"/>
        </w:rPr>
        <w:t>more mortal than others’ (Ibid: 15) and, conversely, some are more disposable than others.</w:t>
      </w:r>
      <w:r>
        <w:rPr>
          <w:u w:val="single"/>
        </w:rPr>
        <w:t xml:space="preserve"> </w:t>
      </w:r>
      <w:r w:rsidRPr="00C428E0">
        <w:rPr>
          <w:u w:val="single"/>
        </w:rPr>
        <w:t>This humanism has a Eurocentric core and Imperialist tendencies, meaning that many of</w:t>
      </w:r>
      <w:r>
        <w:rPr>
          <w:u w:val="single"/>
        </w:rPr>
        <w:t xml:space="preserve"> </w:t>
      </w:r>
      <w:r w:rsidRPr="00C428E0">
        <w:rPr>
          <w:u w:val="single"/>
        </w:rPr>
        <w:t>those outside of Europe (including many in the colonies) became known as less than human</w:t>
      </w:r>
      <w:r>
        <w:rPr>
          <w:u w:val="single"/>
        </w:rPr>
        <w:t xml:space="preserve"> </w:t>
      </w:r>
      <w:r w:rsidRPr="00C428E0">
        <w:rPr>
          <w:u w:val="single"/>
        </w:rPr>
        <w:t>or inhuman.</w:t>
      </w:r>
      <w:r>
        <w:rPr>
          <w:u w:val="single"/>
        </w:rPr>
        <w:t xml:space="preserve"> </w:t>
      </w:r>
      <w:r w:rsidRPr="004F74D7">
        <w:rPr>
          <w:sz w:val="10"/>
        </w:rPr>
        <w:t xml:space="preserve">To this, of course, critical disability studies scholars would add humanism’s convenient relationship with medicalisation and psychologisation as colonizing tendencies of the body and psyche. ‘The disabled’ and the ‘Non-Europeans’ (grouped as homogeneous categories) become known in terms of what they are not. </w:t>
      </w:r>
      <w:r w:rsidRPr="00C428E0">
        <w:rPr>
          <w:u w:val="single"/>
        </w:rPr>
        <w:t>Humanism’s arrogant centering of classical</w:t>
      </w:r>
      <w:r>
        <w:rPr>
          <w:u w:val="single"/>
        </w:rPr>
        <w:t xml:space="preserve"> </w:t>
      </w:r>
      <w:r w:rsidRPr="00C428E0">
        <w:rPr>
          <w:u w:val="single"/>
        </w:rPr>
        <w:t>‘man’ fitted directly with what Lacan (1977) would term a mis-recognition of selfdetermination</w:t>
      </w:r>
      <w:r>
        <w:rPr>
          <w:u w:val="single"/>
        </w:rPr>
        <w:t xml:space="preserve"> </w:t>
      </w:r>
      <w:r w:rsidRPr="00C428E0">
        <w:rPr>
          <w:u w:val="single"/>
        </w:rPr>
        <w:t>and authority.</w:t>
      </w:r>
      <w:r w:rsidRPr="004F74D7">
        <w:rPr>
          <w:sz w:val="10"/>
        </w:rPr>
        <w:t xml:space="preserve"> And this authoritative humanist ideal is one that people rarely match up to you. Nevertheless, </w:t>
      </w:r>
      <w:r w:rsidRPr="009F60E2">
        <w:rPr>
          <w:u w:val="single"/>
        </w:rPr>
        <w:t>Braidotti acknowledges a number of emancipatory offerings</w:t>
      </w:r>
      <w:r>
        <w:rPr>
          <w:u w:val="single"/>
        </w:rPr>
        <w:t xml:space="preserve"> </w:t>
      </w:r>
      <w:r w:rsidRPr="009F60E2">
        <w:rPr>
          <w:u w:val="single"/>
        </w:rPr>
        <w:t>of humanism. These include civil rights based upon definitions of humanity; normative legal</w:t>
      </w:r>
      <w:r>
        <w:rPr>
          <w:u w:val="single"/>
        </w:rPr>
        <w:t xml:space="preserve"> </w:t>
      </w:r>
      <w:r w:rsidRPr="009F60E2">
        <w:rPr>
          <w:u w:val="single"/>
        </w:rPr>
        <w:t>systems respecting the right to live as a human being and pan-national declarations</w:t>
      </w:r>
      <w:r>
        <w:rPr>
          <w:u w:val="single"/>
        </w:rPr>
        <w:t xml:space="preserve"> </w:t>
      </w:r>
      <w:r w:rsidRPr="009F60E2">
        <w:rPr>
          <w:u w:val="single"/>
        </w:rPr>
        <w:t>cherishing this phenomenon called the human.</w:t>
      </w:r>
      <w:r w:rsidRPr="004F74D7">
        <w:rPr>
          <w:sz w:val="10"/>
        </w:rPr>
        <w:t xml:space="preserve"> We could cite here, for example, the opportunities for humanist recognition offered by the United Nations Convention on the Rights of Persons with Disabilities. </w:t>
      </w:r>
      <w:r w:rsidRPr="009F60E2">
        <w:rPr>
          <w:u w:val="single"/>
        </w:rPr>
        <w:t>Braidotti does, though, remain antagonistic towards</w:t>
      </w:r>
      <w:r>
        <w:rPr>
          <w:u w:val="single"/>
        </w:rPr>
        <w:t xml:space="preserve"> </w:t>
      </w:r>
      <w:r w:rsidRPr="009F60E2">
        <w:rPr>
          <w:u w:val="single"/>
        </w:rPr>
        <w:t>humanism’s rigidity and narrowness, which invites some into its fold whilst banishing others.</w:t>
      </w:r>
      <w:r>
        <w:rPr>
          <w:u w:val="single"/>
        </w:rPr>
        <w:t xml:space="preserve"> </w:t>
      </w:r>
      <w:r w:rsidRPr="004F74D7">
        <w:rPr>
          <w:sz w:val="10"/>
        </w:rPr>
        <w:t xml:space="preserve">We share this view. She aligns herself with poststructuralists (like Foucault and Derrida), postcolonialists (Fanon and Shiva) and feminist philosophers (including Irigaray, Kristeva and Butler) and shares their deconstructive desires to destabilise humanist man. One way in which she differs from these thinkers is her tendency to think affirmatively rather than negatively. Instead of identifying hopelessness she asks; </w:t>
      </w:r>
      <w:r w:rsidRPr="009F60E2">
        <w:rPr>
          <w:u w:val="single"/>
        </w:rPr>
        <w:t>what productive alternatives might</w:t>
      </w:r>
      <w:r>
        <w:rPr>
          <w:u w:val="single"/>
        </w:rPr>
        <w:t xml:space="preserve"> </w:t>
      </w:r>
      <w:r w:rsidRPr="009F60E2">
        <w:rPr>
          <w:u w:val="single"/>
        </w:rPr>
        <w:t>emerge in response to the oppressive nature of humanism? Deconstructing existing frames</w:t>
      </w:r>
      <w:r>
        <w:rPr>
          <w:u w:val="single"/>
        </w:rPr>
        <w:t xml:space="preserve"> </w:t>
      </w:r>
      <w:r w:rsidRPr="009F60E2">
        <w:rPr>
          <w:u w:val="single"/>
        </w:rPr>
        <w:t>of humanity need not lead to despair nor nihilism but an affirmative positionality. This</w:t>
      </w:r>
      <w:r>
        <w:rPr>
          <w:u w:val="single"/>
        </w:rPr>
        <w:t xml:space="preserve"> </w:t>
      </w:r>
      <w:r w:rsidRPr="009F60E2">
        <w:rPr>
          <w:u w:val="single"/>
        </w:rPr>
        <w:t xml:space="preserve">stance is rooted in her accessible and politicised use of Deleuze and Guattari </w:t>
      </w:r>
      <w:r w:rsidRPr="004F74D7">
        <w:rPr>
          <w:sz w:val="10"/>
        </w:rPr>
        <w:t xml:space="preserve">(e.g. 1987) and carried forward in reference to (and dialogue with) contemporaries such as Donna Haraway, Elizabeth Grosz and Achille Mbembe. Braidotti acknowledges risks but also, crucially, identifies theoretical, political and artistic opportunities. She is clear, </w:t>
      </w:r>
      <w:r w:rsidRPr="009F60E2">
        <w:rPr>
          <w:u w:val="single"/>
        </w:rPr>
        <w:t>humans are not so</w:t>
      </w:r>
      <w:r>
        <w:rPr>
          <w:u w:val="single"/>
        </w:rPr>
        <w:t xml:space="preserve"> </w:t>
      </w:r>
      <w:r w:rsidRPr="009F60E2">
        <w:rPr>
          <w:u w:val="single"/>
        </w:rPr>
        <w:t>easily recognisable today; they have to find their selves in the ‘complexity of contemporary</w:t>
      </w:r>
      <w:r>
        <w:rPr>
          <w:u w:val="single"/>
        </w:rPr>
        <w:t xml:space="preserve"> </w:t>
      </w:r>
      <w:r w:rsidRPr="009F60E2">
        <w:rPr>
          <w:u w:val="single"/>
        </w:rPr>
        <w:t>science, politics and international relations’ (p2) which include debates, developments and</w:t>
      </w:r>
      <w:r>
        <w:rPr>
          <w:u w:val="single"/>
        </w:rPr>
        <w:t xml:space="preserve"> </w:t>
      </w:r>
      <w:r w:rsidRPr="009F60E2">
        <w:rPr>
          <w:u w:val="single"/>
        </w:rPr>
        <w:t>controversies relating to ‘robotics, prosthetic technologies, neuroscience and bio-genetic</w:t>
      </w:r>
      <w:r>
        <w:rPr>
          <w:u w:val="single"/>
        </w:rPr>
        <w:t xml:space="preserve"> </w:t>
      </w:r>
      <w:r w:rsidRPr="009F60E2">
        <w:rPr>
          <w:u w:val="single"/>
        </w:rPr>
        <w:t>capital … [through to] fuzzier new age visions of trans-humanism’</w:t>
      </w:r>
      <w:r w:rsidRPr="004F74D7">
        <w:rPr>
          <w:sz w:val="10"/>
        </w:rPr>
        <w:t xml:space="preserve"> (Ibid: 2). Like it or not; new technologies mean that we live in very different times to those of our ancestors. These new times we might define as ‘the posthuman condition’, times that ‘urge us to think critically and creatively about who and what we are actually in the process of becoming’ (Ibid: 12). This condition, she accepts, ‘provokes elation but also anxiety … about the possibility of a serious decentring of ‘man’; the former measure of things’ (Ibid). Like poststructuralists and postmodernists before her, Braidotti is clear: </w:t>
      </w:r>
      <w:r w:rsidRPr="009F60E2">
        <w:rPr>
          <w:u w:val="single"/>
        </w:rPr>
        <w:t>the old modernist</w:t>
      </w:r>
      <w:r>
        <w:rPr>
          <w:u w:val="single"/>
        </w:rPr>
        <w:t xml:space="preserve"> </w:t>
      </w:r>
      <w:r w:rsidRPr="009F60E2">
        <w:rPr>
          <w:u w:val="single"/>
        </w:rPr>
        <w:t>idealisation of the unitary, rational, independent, dislocated, solitary, able-bodied human</w:t>
      </w:r>
      <w:r>
        <w:rPr>
          <w:u w:val="single"/>
        </w:rPr>
        <w:t xml:space="preserve"> </w:t>
      </w:r>
      <w:r w:rsidRPr="009F60E2">
        <w:rPr>
          <w:u w:val="single"/>
        </w:rPr>
        <w:t xml:space="preserve">subject has been revealed as a fiction. </w:t>
      </w:r>
      <w:r w:rsidRPr="004F74D7">
        <w:rPr>
          <w:sz w:val="10"/>
        </w:rPr>
        <w:t xml:space="preserve">The self, subject, person, citizen, the human – each of these individualised entities – is now firmly interconnected, plugged into and caught up in the ever growing whirlpool of capital, technology, communication that shift us through real and virtual places and spaces. The 21st Century citizen is a ‘knowing subject’ with the potential to ‘free us from the provincialism of the mind, the sectarianism of ideologies, the dishonesty of grandiose posturing and the grip of fear’ (Ibid: 11). A recurring anxiety expressed by Braidotti, throughout the text, is that social theory is in danger of lagging behind the many posthuman transformations already occurring everyday across the globe. And they all leave from a point of departure: humanism. Braidotti (2013: 29) acknowledges that ‘one touches humanism at one’s risk and peril’ (Ibid: 29) and ‘rejecting the enlightenment legacy would be inherently contradictory for any critical project (Ibid: 36). Humanism, she acknowledges, has supported liberal notions of autonomy, responsibility, self-determination, solidarity, community-bonding, social justice and principles of equality (Ibid: 29). These practices remain important, especially for those groups of society who have, in the words of Braidotti, never been known as human. </w:t>
      </w:r>
      <w:r w:rsidRPr="00FA78C6">
        <w:rPr>
          <w:u w:val="single"/>
        </w:rPr>
        <w:t>Disabled people have historically been excluded from the category of the human</w:t>
      </w:r>
      <w:r w:rsidRPr="004F74D7">
        <w:rPr>
          <w:sz w:val="10"/>
        </w:rPr>
        <w:t xml:space="preserve"> and continue to demand inclusion into this category. Hence, we are not suggesting in this paper to give up on the functional utility of human rights nor the social justice of liberal principles of equality in our fight to challenge disablism (the exclusion of people with impairments from mainstream society). There is of course a time and place for humanism: especially when such a register remains the commonsensical and dominant way of thinking about the human. We will return to this consideration later on in the paper. We also recognise, though, that these humanist offerings come at a price: they are hegemonically enshrined through a marking of those that count as human and those that do not. </w:t>
      </w:r>
      <w:r w:rsidRPr="00FA78C6">
        <w:rPr>
          <w:u w:val="single"/>
        </w:rPr>
        <w:t>This epistemic violence of</w:t>
      </w:r>
      <w:r>
        <w:rPr>
          <w:u w:val="single"/>
        </w:rPr>
        <w:t xml:space="preserve"> </w:t>
      </w:r>
      <w:r w:rsidRPr="00FA78C6">
        <w:rPr>
          <w:u w:val="single"/>
        </w:rPr>
        <w:t>humanism, which reduces certain non-Western others to sub-human status, ‘is a constitutive</w:t>
      </w:r>
      <w:r>
        <w:rPr>
          <w:u w:val="single"/>
        </w:rPr>
        <w:t xml:space="preserve"> </w:t>
      </w:r>
      <w:r w:rsidRPr="00FA78C6">
        <w:rPr>
          <w:u w:val="single"/>
        </w:rPr>
        <w:t>source of ignorance, falsity and bad consciousness for the dominant subject who is</w:t>
      </w:r>
      <w:r>
        <w:rPr>
          <w:u w:val="single"/>
        </w:rPr>
        <w:t xml:space="preserve"> </w:t>
      </w:r>
      <w:r w:rsidRPr="00FA78C6">
        <w:rPr>
          <w:u w:val="single"/>
        </w:rPr>
        <w:t xml:space="preserve">responsible for their epistemic as well as social dehumanization’ </w:t>
      </w:r>
      <w:r w:rsidRPr="004F74D7">
        <w:rPr>
          <w:sz w:val="10"/>
        </w:rPr>
        <w:t>(Ibid: 28). It is also a common practice of Global North social scientific research (Teo, 2010). ‘</w:t>
      </w:r>
      <w:r w:rsidRPr="00FA78C6">
        <w:rPr>
          <w:u w:val="single"/>
        </w:rPr>
        <w:t>Humanism’s</w:t>
      </w:r>
      <w:r>
        <w:rPr>
          <w:u w:val="single"/>
        </w:rPr>
        <w:t xml:space="preserve"> </w:t>
      </w:r>
      <w:r w:rsidRPr="00FA78C6">
        <w:rPr>
          <w:u w:val="single"/>
        </w:rPr>
        <w:t>universalism, primacy of rationality, the unitary subject</w:t>
      </w:r>
      <w:r w:rsidRPr="004F74D7">
        <w:rPr>
          <w:sz w:val="10"/>
        </w:rPr>
        <w:t xml:space="preserve">’ (Braidotti, 2013: 31) </w:t>
      </w:r>
      <w:r w:rsidRPr="00FA78C6">
        <w:rPr>
          <w:u w:val="single"/>
        </w:rPr>
        <w:t>is the white</w:t>
      </w:r>
      <w:r>
        <w:rPr>
          <w:u w:val="single"/>
        </w:rPr>
        <w:t xml:space="preserve"> </w:t>
      </w:r>
      <w:r w:rsidRPr="00FA78C6">
        <w:rPr>
          <w:u w:val="single"/>
        </w:rPr>
        <w:t>man’s burden</w:t>
      </w:r>
      <w:r w:rsidRPr="004F74D7">
        <w:rPr>
          <w:sz w:val="10"/>
        </w:rPr>
        <w:t xml:space="preserve"> where women ‘were assigned to the pole of un-reason, passions and emotions, keeping them in the private sphere’ (Ibid: 34). The humanist subject defines himself as much by ‘what he is excluded from’ and defends himself through a violent and belligerent reaction to ‘the sexualised, racialised and naturalised others that occupied the slot of devalued difference’ (Ibid: 144). For some of these others (or perhaps we should say Others), being human already feels alien; ‘because my sex, historically speaking, never quite made it into full humanity, so my allegiance to that category is at best negotiable and never to be taken for granted’ (Braidotti, 2013: 81). </w:t>
      </w:r>
      <w:r w:rsidRPr="00FA78C6">
        <w:rPr>
          <w:u w:val="single"/>
        </w:rPr>
        <w:t>We see similar parallels with the historical disavowal of disabled people</w:t>
      </w:r>
      <w:r w:rsidRPr="004F74D7">
        <w:rPr>
          <w:sz w:val="10"/>
        </w:rPr>
        <w:t xml:space="preserve">. ‘For </w:t>
      </w:r>
      <w:proofErr w:type="gramStart"/>
      <w:r w:rsidRPr="004F74D7">
        <w:rPr>
          <w:sz w:val="10"/>
        </w:rPr>
        <w:t>me</w:t>
      </w:r>
      <w:proofErr w:type="gramEnd"/>
      <w:r w:rsidRPr="004F74D7">
        <w:rPr>
          <w:sz w:val="10"/>
        </w:rPr>
        <w:t xml:space="preserve">’, Braidotti reflects, ‘it is impossible, both intellectually and ethically, to disengage the positive elements of Humanism from their problematic counterparts: individualism breeds egotism and selfcentredness; self-determination can turn to arrogance and domination; and science is not free from its own dogmatic tendencies’ (2013: 30). We seek to take up the challenge set by Braidotti’s (2013:153) </w:t>
      </w:r>
      <w:r w:rsidRPr="00FA78C6">
        <w:rPr>
          <w:u w:val="single"/>
        </w:rPr>
        <w:t>to ‘find the courage to move beyond an exclusive concern for the</w:t>
      </w:r>
      <w:r>
        <w:rPr>
          <w:u w:val="single"/>
        </w:rPr>
        <w:t xml:space="preserve"> </w:t>
      </w:r>
      <w:r w:rsidRPr="00FA78C6">
        <w:rPr>
          <w:u w:val="single"/>
        </w:rPr>
        <w:t>human … and to embrace more planetary intellectual challenges’</w:t>
      </w:r>
      <w:r w:rsidRPr="004F74D7">
        <w:rPr>
          <w:sz w:val="10"/>
        </w:rPr>
        <w:t xml:space="preserve">. This </w:t>
      </w:r>
      <w:r w:rsidRPr="00FA78C6">
        <w:rPr>
          <w:u w:val="single"/>
        </w:rPr>
        <w:t>not only means shifting how we understand the human but also rethinking our</w:t>
      </w:r>
      <w:r>
        <w:rPr>
          <w:u w:val="single"/>
        </w:rPr>
        <w:t xml:space="preserve"> </w:t>
      </w:r>
      <w:r w:rsidRPr="00FA78C6">
        <w:rPr>
          <w:u w:val="single"/>
        </w:rPr>
        <w:t>relationships with our environments, our world and human and non-human inhabitants of</w:t>
      </w:r>
      <w:r>
        <w:rPr>
          <w:u w:val="single"/>
        </w:rPr>
        <w:t xml:space="preserve"> </w:t>
      </w:r>
      <w:r w:rsidRPr="00FA78C6">
        <w:rPr>
          <w:u w:val="single"/>
        </w:rPr>
        <w:t>our planet. And doing this rethinking through disability.</w:t>
      </w:r>
      <w:r w:rsidRPr="004F74D7">
        <w:rPr>
          <w:sz w:val="10"/>
        </w:rPr>
        <w:t xml:space="preserve"> The shift back and forth between humanism and anti-humanism has endlessly occupied theorists and activists. Instead, Braidotti demands, we need to think again: to desire ‘posthumanism as a move beyond these lethal binaries’ (Ibid: 37). </w:t>
      </w:r>
      <w:r w:rsidRPr="00506A03">
        <w:rPr>
          <w:u w:val="single"/>
        </w:rPr>
        <w:t>Posthuman ways of being and becoming reshape the identity of</w:t>
      </w:r>
      <w:r>
        <w:rPr>
          <w:u w:val="single"/>
        </w:rPr>
        <w:t xml:space="preserve"> </w:t>
      </w:r>
      <w:r w:rsidRPr="00506A03">
        <w:rPr>
          <w:u w:val="single"/>
        </w:rPr>
        <w:t>humanistic practices by ‘stressing heteronomy and multi-faceted relationality, instead of</w:t>
      </w:r>
      <w:r>
        <w:rPr>
          <w:u w:val="single"/>
        </w:rPr>
        <w:t xml:space="preserve"> </w:t>
      </w:r>
      <w:r w:rsidRPr="00506A03">
        <w:rPr>
          <w:u w:val="single"/>
        </w:rPr>
        <w:t>autonomy and self-referential disciplinary purity’</w:t>
      </w:r>
      <w:r w:rsidRPr="004F74D7">
        <w:rPr>
          <w:sz w:val="10"/>
        </w:rPr>
        <w:t xml:space="preserve"> (Ibid: 145). </w:t>
      </w:r>
      <w:r w:rsidRPr="00506A03">
        <w:rPr>
          <w:u w:val="single"/>
        </w:rPr>
        <w:t>Disability, too, encourages such</w:t>
      </w:r>
      <w:r>
        <w:rPr>
          <w:u w:val="single"/>
        </w:rPr>
        <w:t xml:space="preserve"> </w:t>
      </w:r>
      <w:r w:rsidRPr="00506A03">
        <w:rPr>
          <w:u w:val="single"/>
        </w:rPr>
        <w:t>reshaping.</w:t>
      </w:r>
    </w:p>
    <w:p w:rsidR="003F0AB2" w:rsidRDefault="003F0AB2" w:rsidP="003F0AB2">
      <w:pPr>
        <w:rPr>
          <w:u w:val="single"/>
        </w:rPr>
      </w:pPr>
    </w:p>
    <w:p w:rsidR="003F0AB2" w:rsidRPr="003F0AB2" w:rsidRDefault="003F0AB2" w:rsidP="003F0AB2"/>
    <w:p w:rsidR="00E5343F" w:rsidRPr="00F933AF" w:rsidRDefault="00E5343F" w:rsidP="00E5343F">
      <w:pPr>
        <w:pStyle w:val="Heading1"/>
        <w:rPr>
          <w:rFonts w:cs="Calibri"/>
        </w:rPr>
      </w:pPr>
      <w:r w:rsidRPr="00F933AF">
        <w:rPr>
          <w:rFonts w:cs="Calibri"/>
        </w:rPr>
        <w:t>2AC</w:t>
      </w:r>
    </w:p>
    <w:p w:rsidR="00DE4FE5" w:rsidRDefault="00DE4FE5" w:rsidP="00495F48">
      <w:pPr>
        <w:pStyle w:val="Heading1"/>
      </w:pPr>
      <w:r>
        <w:t xml:space="preserve">Adv – Status Quo </w:t>
      </w:r>
    </w:p>
    <w:p w:rsidR="00DE4FE5" w:rsidRDefault="00DE4FE5" w:rsidP="00EE31FC">
      <w:pPr>
        <w:pStyle w:val="Heading2"/>
      </w:pPr>
      <w:r>
        <w:t>Top Level</w:t>
      </w:r>
    </w:p>
    <w:p w:rsidR="00DE4FE5" w:rsidRPr="00F933AF" w:rsidRDefault="00DE4FE5" w:rsidP="00DE4FE5">
      <w:pPr>
        <w:pStyle w:val="Heading4"/>
        <w:rPr>
          <w:rFonts w:cs="Calibri"/>
        </w:rPr>
      </w:pPr>
      <w:r w:rsidRPr="00F933AF">
        <w:rPr>
          <w:rFonts w:cs="Calibri"/>
        </w:rPr>
        <w:t xml:space="preserve">The Trump Administration is barring immigrants with disabilities from obtaining LPR status </w:t>
      </w:r>
    </w:p>
    <w:p w:rsidR="00DE4FE5" w:rsidRPr="00F933AF" w:rsidRDefault="00DE4FE5" w:rsidP="00DE4FE5">
      <w:pPr>
        <w:rPr>
          <w:rFonts w:cs="Calibri"/>
          <w:sz w:val="18"/>
          <w:szCs w:val="18"/>
        </w:rPr>
      </w:pPr>
      <w:r w:rsidRPr="00F933AF">
        <w:rPr>
          <w:rFonts w:cs="Calibri"/>
          <w:b/>
        </w:rPr>
        <w:t xml:space="preserve">Davis 18 </w:t>
      </w:r>
      <w:r w:rsidRPr="00F933AF">
        <w:rPr>
          <w:rFonts w:cs="Calibri"/>
          <w:sz w:val="18"/>
          <w:szCs w:val="18"/>
        </w:rPr>
        <w:t>(Michelle R. Davis, Disability Scoop, 4/30/18, “Trump Administration Seeks To Bar Immigrants with Disabilities,” https://www.disabilityscoop.com/2018/04/30/trump-bar-immigrants-disabilities/25032/)jy</w:t>
      </w:r>
    </w:p>
    <w:p w:rsidR="00DE4FE5" w:rsidRPr="00F933AF" w:rsidRDefault="00DE4FE5" w:rsidP="00DE4FE5">
      <w:pPr>
        <w:rPr>
          <w:rFonts w:cs="Calibri"/>
          <w:sz w:val="12"/>
        </w:rPr>
      </w:pPr>
      <w:r w:rsidRPr="00F933AF">
        <w:rPr>
          <w:rFonts w:cs="Calibri"/>
          <w:u w:val="single"/>
        </w:rPr>
        <w:t>The Trump administration is moving to make it more difficult for immigrants with disabilities and their families to get a visa or attain permanent residency in the U</w:t>
      </w:r>
      <w:r w:rsidRPr="00F933AF">
        <w:rPr>
          <w:rFonts w:cs="Calibri"/>
          <w:sz w:val="12"/>
        </w:rPr>
        <w:t xml:space="preserve">nited </w:t>
      </w:r>
      <w:r w:rsidRPr="00F933AF">
        <w:rPr>
          <w:rFonts w:cs="Calibri"/>
          <w:u w:val="single"/>
        </w:rPr>
        <w:t>S</w:t>
      </w:r>
      <w:r w:rsidRPr="00F933AF">
        <w:rPr>
          <w:rFonts w:cs="Calibri"/>
          <w:sz w:val="12"/>
        </w:rPr>
        <w:t xml:space="preserve">tates. </w:t>
      </w:r>
      <w:r w:rsidRPr="00F933AF">
        <w:rPr>
          <w:rFonts w:cs="Calibri"/>
          <w:u w:val="single"/>
        </w:rPr>
        <w:t xml:space="preserve">A </w:t>
      </w:r>
      <w:hyperlink r:id="rId107" w:tgtFrame="_blank" w:history="1">
        <w:r w:rsidRPr="00F933AF">
          <w:rPr>
            <w:rStyle w:val="Hyperlink"/>
            <w:rFonts w:cs="Calibri"/>
            <w:u w:val="single"/>
          </w:rPr>
          <w:t>proposal</w:t>
        </w:r>
      </w:hyperlink>
      <w:r w:rsidRPr="00F933AF">
        <w:rPr>
          <w:rFonts w:cs="Calibri"/>
          <w:u w:val="single"/>
        </w:rPr>
        <w:t xml:space="preserve"> from the U.S.</w:t>
      </w:r>
      <w:r w:rsidRPr="00F933AF">
        <w:rPr>
          <w:rFonts w:cs="Calibri"/>
        </w:rPr>
        <w:t xml:space="preserve"> </w:t>
      </w:r>
      <w:r w:rsidRPr="00F933AF">
        <w:rPr>
          <w:rFonts w:cs="Calibri"/>
          <w:u w:val="single"/>
        </w:rPr>
        <w:t>C</w:t>
      </w:r>
      <w:r w:rsidRPr="00F933AF">
        <w:rPr>
          <w:rFonts w:cs="Calibri"/>
          <w:sz w:val="12"/>
        </w:rPr>
        <w:t xml:space="preserve">itizenship and </w:t>
      </w:r>
      <w:r w:rsidRPr="00F933AF">
        <w:rPr>
          <w:rFonts w:cs="Calibri"/>
          <w:u w:val="single"/>
        </w:rPr>
        <w:t>I</w:t>
      </w:r>
      <w:r w:rsidRPr="00F933AF">
        <w:rPr>
          <w:rFonts w:cs="Calibri"/>
          <w:sz w:val="12"/>
        </w:rPr>
        <w:t xml:space="preserve">mmigration </w:t>
      </w:r>
      <w:r w:rsidRPr="00F933AF">
        <w:rPr>
          <w:rFonts w:cs="Calibri"/>
          <w:u w:val="single"/>
        </w:rPr>
        <w:t>S</w:t>
      </w:r>
      <w:r w:rsidRPr="00F933AF">
        <w:rPr>
          <w:rFonts w:cs="Calibri"/>
          <w:sz w:val="12"/>
        </w:rPr>
        <w:t xml:space="preserve">ervices, part of the Department of Homeland Security, </w:t>
      </w:r>
      <w:r w:rsidRPr="00F933AF">
        <w:rPr>
          <w:rFonts w:cs="Calibri"/>
          <w:u w:val="single"/>
        </w:rPr>
        <w:t xml:space="preserve">would </w:t>
      </w:r>
      <w:r w:rsidRPr="00F933AF">
        <w:rPr>
          <w:rFonts w:cs="Calibri"/>
          <w:sz w:val="12"/>
        </w:rPr>
        <w:t xml:space="preserve">alter how immigrants are </w:t>
      </w:r>
      <w:r w:rsidRPr="00F933AF">
        <w:rPr>
          <w:rFonts w:cs="Calibri"/>
          <w:u w:val="single"/>
        </w:rPr>
        <w:t>evaluate</w:t>
      </w:r>
      <w:r w:rsidRPr="00F933AF">
        <w:rPr>
          <w:rFonts w:cs="Calibri"/>
          <w:sz w:val="12"/>
        </w:rPr>
        <w:t xml:space="preserve">d as they seek the right to permanent residency — the step before citizenship. </w:t>
      </w:r>
      <w:r w:rsidRPr="00F933AF">
        <w:rPr>
          <w:rFonts w:cs="Calibri"/>
          <w:u w:val="single"/>
        </w:rPr>
        <w:t>The use, or potential use, of public services by immigrants or their family members are considered “heavily weighted negative factors”</w:t>
      </w:r>
      <w:r w:rsidRPr="00F933AF">
        <w:rPr>
          <w:rFonts w:cs="Calibri"/>
          <w:sz w:val="12"/>
        </w:rPr>
        <w:t xml:space="preserve"> in the draft document. Some of the examples cited as </w:t>
      </w:r>
      <w:r w:rsidRPr="00F933AF">
        <w:rPr>
          <w:rFonts w:cs="Calibri"/>
          <w:u w:val="single"/>
        </w:rPr>
        <w:t xml:space="preserve">negatives include high-cost medical conditions and many uses of social services, like food assistance, Medicaid, unemployment and disability benefits. </w:t>
      </w:r>
      <w:r w:rsidRPr="00F933AF">
        <w:rPr>
          <w:rFonts w:cs="Calibri"/>
          <w:sz w:val="12"/>
        </w:rPr>
        <w:t>The category “</w:t>
      </w:r>
      <w:r w:rsidRPr="00F933AF">
        <w:rPr>
          <w:rFonts w:cs="Calibri"/>
          <w:u w:val="single"/>
        </w:rPr>
        <w:t>mental disorders” is on a list of the five most expensive health conditions</w:t>
      </w:r>
      <w:r w:rsidRPr="00F933AF">
        <w:rPr>
          <w:rFonts w:cs="Calibri"/>
          <w:sz w:val="12"/>
        </w:rPr>
        <w:t xml:space="preserve"> contained in the draft regulations. Advertisement - Continue Reading </w:t>
      </w:r>
      <w:proofErr w:type="gramStart"/>
      <w:r w:rsidRPr="00F933AF">
        <w:rPr>
          <w:rFonts w:cs="Calibri"/>
          <w:sz w:val="12"/>
        </w:rPr>
        <w:t>Below</w:t>
      </w:r>
      <w:proofErr w:type="gramEnd"/>
      <w:r w:rsidRPr="00F933AF">
        <w:rPr>
          <w:rFonts w:cs="Calibri"/>
          <w:sz w:val="12"/>
        </w:rPr>
        <w:t xml:space="preserve"> Disability rights groups have raised concerns about the proposed changes and said that even though </w:t>
      </w:r>
      <w:r w:rsidRPr="00F933AF">
        <w:rPr>
          <w:rFonts w:cs="Calibri"/>
          <w:u w:val="single"/>
        </w:rPr>
        <w:t>the proposal</w:t>
      </w:r>
      <w:r w:rsidRPr="00F933AF">
        <w:rPr>
          <w:rFonts w:cs="Calibri"/>
          <w:sz w:val="12"/>
        </w:rPr>
        <w:t xml:space="preserve"> has yet to be adopted, it </w:t>
      </w:r>
      <w:r w:rsidRPr="00F933AF">
        <w:rPr>
          <w:rFonts w:cs="Calibri"/>
          <w:u w:val="single"/>
        </w:rPr>
        <w:t>is already having an impact in the disability community</w:t>
      </w:r>
      <w:r w:rsidRPr="00F933AF">
        <w:rPr>
          <w:rFonts w:cs="Calibri"/>
          <w:sz w:val="12"/>
        </w:rPr>
        <w:t>. “People are very scared,” said Michelle Garcia, the Latino community organizer for Access Living, a Chicago-based disability advocacy organization. “</w:t>
      </w:r>
      <w:r w:rsidRPr="00F933AF">
        <w:rPr>
          <w:rFonts w:cs="Calibri"/>
          <w:u w:val="single"/>
        </w:rPr>
        <w:t>They’re scared of going to a hospital or getting support and services” because it may negatively impact their immigration status</w:t>
      </w:r>
      <w:r w:rsidRPr="00F933AF">
        <w:rPr>
          <w:rFonts w:cs="Calibri"/>
          <w:sz w:val="12"/>
        </w:rPr>
        <w:t xml:space="preserve">. Garcia said she works with </w:t>
      </w:r>
      <w:r w:rsidRPr="00F933AF">
        <w:rPr>
          <w:rFonts w:cs="Calibri"/>
          <w:u w:val="single"/>
        </w:rPr>
        <w:t>immigrant clients</w:t>
      </w:r>
      <w:r w:rsidRPr="00F933AF">
        <w:rPr>
          <w:rFonts w:cs="Calibri"/>
          <w:sz w:val="12"/>
        </w:rPr>
        <w:t xml:space="preserve"> who have children with disabilities who are American citizens. However, they’re </w:t>
      </w:r>
      <w:r w:rsidRPr="00F933AF">
        <w:rPr>
          <w:rFonts w:cs="Calibri"/>
          <w:u w:val="single"/>
        </w:rPr>
        <w:t>not seeking services for their children, out of fear it could lead to their own deportation or count against them in their efforts to stay in the country</w:t>
      </w:r>
      <w:r w:rsidRPr="00F933AF">
        <w:rPr>
          <w:rFonts w:cs="Calibri"/>
          <w:sz w:val="12"/>
        </w:rPr>
        <w:t xml:space="preserve">. “Already people are being told that if their child seeks services, then they as a parent may not be able to fix their (residency) status later on,” Garcia said. According to the draft document, </w:t>
      </w:r>
      <w:r w:rsidRPr="00F933AF">
        <w:rPr>
          <w:rFonts w:cs="Calibri"/>
          <w:u w:val="single"/>
        </w:rPr>
        <w:t>the goal of the proposed changes would be to make sure those seeking a visa or residency would be self-sufficient and less likely to use public services</w:t>
      </w:r>
      <w:r w:rsidRPr="00F933AF">
        <w:rPr>
          <w:rFonts w:cs="Calibri"/>
          <w:sz w:val="12"/>
        </w:rPr>
        <w:t xml:space="preserve">. Those who may need such services are defined as a “public charge” in the proposal. </w:t>
      </w:r>
      <w:r w:rsidRPr="00F933AF">
        <w:rPr>
          <w:rFonts w:cs="Calibri"/>
          <w:u w:val="single"/>
        </w:rPr>
        <w:t>The proposed changes would primarily impact immigrants who are applying for a green card through a family-based petition</w:t>
      </w:r>
      <w:r w:rsidRPr="00F933AF">
        <w:rPr>
          <w:rFonts w:cs="Calibri"/>
          <w:sz w:val="12"/>
        </w:rPr>
        <w:t xml:space="preserve">. “This rule will have a disproportionate and discriminatory impact on people with disabilities,” said Julia Bascom, executive director at the Autistic Self Advocacy Network, in a statement. “Disability or need for supports and services should never impact someone’s immigration status.” The proposal seeks to update existing federal guidance that’s been in place since 1999, said Gabrielle Lessard, senior policy attorney for the National Immigration Law Center. </w:t>
      </w:r>
      <w:r w:rsidRPr="00F933AF">
        <w:rPr>
          <w:rFonts w:cs="Calibri"/>
          <w:u w:val="single"/>
        </w:rPr>
        <w:t>That guidance only considered two benefits as negatives, she said: cash assistance and long-term hospitalization care. The proposed regulations expand that list to a wide range of social services, including most government-funded health car</w:t>
      </w:r>
      <w:r w:rsidRPr="00F933AF">
        <w:rPr>
          <w:rStyle w:val="StyleUnderline"/>
          <w:rFonts w:cs="Calibri"/>
        </w:rPr>
        <w:t>e</w:t>
      </w:r>
      <w:r w:rsidRPr="00F933AF">
        <w:rPr>
          <w:rFonts w:cs="Calibri"/>
          <w:sz w:val="12"/>
        </w:rPr>
        <w:t>, Lessard said. “Everyone should be concerned about this,” Lessard said. “</w:t>
      </w:r>
      <w:r w:rsidRPr="00F933AF">
        <w:rPr>
          <w:rFonts w:cs="Calibri"/>
          <w:u w:val="single"/>
        </w:rPr>
        <w:t>This is asking people to make cruel choices between getting assistance with health and nutrition and being able to join their family members</w:t>
      </w:r>
      <w:r w:rsidRPr="00F933AF">
        <w:rPr>
          <w:rFonts w:cs="Calibri"/>
          <w:sz w:val="12"/>
        </w:rPr>
        <w:t>.” A spokeswoman for DHS’s Citizenship and Immigration Services office said she could not comment on the proposed rule because the rulemaking process is not complete. She noted that the proposed rule will soon be published in the Federal Register and public comments are encouraged. At the same time the United States is pursuing this change, Canada is moving in the opposite direction. For decades, the Canadian government had rules in place that allowed the government to reject permanent resident applications from people with disabilities or medical conditions who would be likely to use government-funded social services, or with family members who fall into that category</w:t>
      </w:r>
      <w:r w:rsidRPr="00F933AF">
        <w:rPr>
          <w:rFonts w:cs="Calibri"/>
        </w:rPr>
        <w:t xml:space="preserve">. </w:t>
      </w:r>
      <w:r w:rsidRPr="00F933AF">
        <w:rPr>
          <w:rFonts w:cs="Calibri"/>
          <w:u w:val="single"/>
        </w:rPr>
        <w:t>The Canadian government announced</w:t>
      </w:r>
      <w:r w:rsidRPr="00F933AF">
        <w:rPr>
          <w:rFonts w:cs="Calibri"/>
          <w:sz w:val="12"/>
        </w:rPr>
        <w:t xml:space="preserve"> April 16 that </w:t>
      </w:r>
      <w:r w:rsidRPr="00F933AF">
        <w:rPr>
          <w:rFonts w:cs="Calibri"/>
          <w:u w:val="single"/>
        </w:rPr>
        <w:t>it will update its definition of social services for immigration purposes to delete language referring to special education, social and vocational rehabilitation services and personal support services as services that would allow the government to reject a permanent residency petition</w:t>
      </w:r>
      <w:r w:rsidRPr="00F933AF">
        <w:rPr>
          <w:rFonts w:cs="Calibri"/>
        </w:rPr>
        <w:t xml:space="preserve">. </w:t>
      </w:r>
      <w:r w:rsidRPr="00F933AF">
        <w:rPr>
          <w:rFonts w:cs="Calibri"/>
          <w:u w:val="single"/>
        </w:rPr>
        <w:t>The changes “are a major step forward in ensuring our immigration system is more inclusive of persons with disabilities</w:t>
      </w:r>
      <w:r w:rsidRPr="00F933AF">
        <w:rPr>
          <w:rFonts w:cs="Calibri"/>
          <w:sz w:val="12"/>
        </w:rPr>
        <w:t>, and reflects the values of Canadians,” Ahmed Hussen, the country’s minister of immigration, refugees and citizenship said in a statement.</w:t>
      </w:r>
    </w:p>
    <w:p w:rsidR="00DE4FE5" w:rsidRPr="00F933AF" w:rsidRDefault="00DE4FE5" w:rsidP="00DE4FE5">
      <w:pPr>
        <w:pStyle w:val="Heading4"/>
        <w:rPr>
          <w:rFonts w:cs="Calibri"/>
        </w:rPr>
      </w:pPr>
      <w:r w:rsidRPr="00F933AF">
        <w:rPr>
          <w:rFonts w:cs="Calibri"/>
        </w:rPr>
        <w:t>Public charge inadmissibility will be expanded to exclude “potential/future” use and non-monetary benefits</w:t>
      </w:r>
    </w:p>
    <w:p w:rsidR="00DE4FE5" w:rsidRPr="00F933AF" w:rsidRDefault="00DE4FE5" w:rsidP="00DE4FE5">
      <w:pPr>
        <w:rPr>
          <w:rFonts w:cs="Calibri"/>
        </w:rPr>
      </w:pPr>
      <w:r w:rsidRPr="00F933AF">
        <w:rPr>
          <w:rStyle w:val="Style13ptBold"/>
          <w:rFonts w:cs="Calibri"/>
        </w:rPr>
        <w:t>Miroff 18</w:t>
      </w:r>
      <w:r w:rsidRPr="00F933AF">
        <w:rPr>
          <w:rFonts w:cs="Calibri"/>
        </w:rPr>
        <w:t xml:space="preserve"> (Nick Miroff, journalist for the Washington Post since 2006, master’s degree in journalism from UC Berkeley, 3/28/18, “Trump proposal would penalize immigrants who use tax credits and other benefits”, https://www.washingtonpost.com/world/national-security/trump-proposal-would-penalize-immigrants-who-use-tax-credits-and-other-benefits/2018/03/28/4c6392e0-2924-11e8-bc72-077aa4dab9ef_story.html?utm_term=.36a66ffedbc6)/CWB</w:t>
      </w:r>
    </w:p>
    <w:p w:rsidR="00DE4FE5" w:rsidRPr="00F933AF" w:rsidRDefault="00DE4FE5" w:rsidP="00DE4FE5">
      <w:pPr>
        <w:rPr>
          <w:rStyle w:val="StyleUnderline"/>
          <w:rFonts w:cs="Calibri"/>
        </w:rPr>
      </w:pPr>
      <w:r w:rsidRPr="00F933AF">
        <w:rPr>
          <w:rStyle w:val="StyleUnderline"/>
          <w:rFonts w:cs="Calibri"/>
        </w:rPr>
        <w:t xml:space="preserve">Immigrants who accept almost any form of welfare or public benefit, even popular tax deductions, could be denied legal U.S. residency under a proposal awaiting approval by the Trump administration, which is seeking to reduce the number of foreigners living in the United States. According to </w:t>
      </w:r>
      <w:hyperlink r:id="rId108" w:tooltip="apps.washingtonpost.com" w:history="1">
        <w:r w:rsidRPr="00F933AF">
          <w:rPr>
            <w:rStyle w:val="StyleUnderline"/>
            <w:rFonts w:cs="Calibri"/>
          </w:rPr>
          <w:t>a draft of the proposal</w:t>
        </w:r>
      </w:hyperlink>
      <w:r w:rsidRPr="00F933AF">
        <w:rPr>
          <w:rStyle w:val="StyleUnderline"/>
          <w:rFonts w:cs="Calibri"/>
        </w:rPr>
        <w:t xml:space="preserve"> obtained by The Washington Post, immigration caseworkers would be required to consider a much broader range of factors when determining whether immigrants or their U.S.-citizen children are using public benefits or may be likely to do so. </w:t>
      </w:r>
      <w:r w:rsidRPr="00F933AF">
        <w:rPr>
          <w:rFonts w:cs="Calibri"/>
          <w:sz w:val="16"/>
        </w:rPr>
        <w:t xml:space="preserve">Current rules penalize immigrants who receive cash welfare payments, considering them a “public charge.” But </w:t>
      </w:r>
      <w:r w:rsidRPr="00F933AF">
        <w:rPr>
          <w:rStyle w:val="StyleUnderline"/>
          <w:rFonts w:cs="Calibri"/>
        </w:rPr>
        <w:t>the proposed changes from the Department of Homeland Security would broaden the government’s definition of benefits to include the widely used earned-income tax credit as well as health insurance subsidies and other “non-cash public benefits.” The changes would apply to those seeking immigration visas or legal permanent residency,</w:t>
      </w:r>
      <w:r w:rsidRPr="00F933AF">
        <w:rPr>
          <w:rFonts w:cs="Calibri"/>
          <w:sz w:val="16"/>
        </w:rPr>
        <w:t xml:space="preserve"> such as a foreigner with an expiring work visa. While they would make little difference to those living here illegally, it could affect immigrants protected by the </w:t>
      </w:r>
      <w:r w:rsidRPr="00F933AF">
        <w:rPr>
          <w:rFonts w:cs="Calibri"/>
          <w:sz w:val="16"/>
        </w:rPr>
        <w:softHyphen/>
        <w:t xml:space="preserve">Deferred Action for Childhood Arrivals program — whose termination has been blocked by federal courts — if they attempt to file for full legal residency. </w:t>
      </w:r>
      <w:r w:rsidRPr="00F933AF">
        <w:rPr>
          <w:rStyle w:val="StyleUnderline"/>
          <w:rFonts w:cs="Calibri"/>
        </w:rPr>
        <w:t>Immigrants and their families facing a short-term crisis could have to forgo help to avoid jeopardizing their U.S. residency status. The proposal would also require more immigrants to post cash bonds if they have a higher probability of needing or accepting public benefits. The minimum amount would be $10,000, according to the DHS proposal, but it could be set higher if an applicant is deemed at greater risk of neediness</w:t>
      </w:r>
      <w:r w:rsidRPr="00F933AF">
        <w:rPr>
          <w:rFonts w:cs="Calibri"/>
          <w:sz w:val="16"/>
        </w:rPr>
        <w:t xml:space="preserve">. DHS officials say the proposal is not finalized. But </w:t>
      </w:r>
      <w:r w:rsidRPr="00F933AF">
        <w:rPr>
          <w:rStyle w:val="StyleUnderline"/>
          <w:rFonts w:cs="Calibri"/>
        </w:rPr>
        <w:t>the overhaul is part of the Trump administration’s broader effort to curb legal immigration, and groups favoring a more restrictive approach have long insisted that immigrants are a drag on federal budgets and a siphon on American prosperity.</w:t>
      </w:r>
      <w:r w:rsidRPr="00F933AF">
        <w:rPr>
          <w:rFonts w:cs="Calibri"/>
          <w:sz w:val="16"/>
        </w:rPr>
        <w:t xml:space="preserve"> “The administration is committed to enforcing existing immigration law, which is clearly intended to protect the American taxpayer by ensuring that foreign nationals seeking to enter or remain in the U.S. are self-sufficient,” DHS spokeswoman Katie Waldman said in a statement. “Any proposed changes would ensure that the government takes the responsibility of being good stewards of taxpayer funds seriously and adjudicates immigration benefit requests in accordance with the law,” she added. </w:t>
      </w:r>
      <w:r w:rsidRPr="00F933AF">
        <w:rPr>
          <w:rStyle w:val="StyleUnderline"/>
          <w:rFonts w:cs="Calibri"/>
        </w:rPr>
        <w:t xml:space="preserve">DHS officials say the agency is preparing to publish the proposed rule changes in the Federal Register and invite public comment, </w:t>
      </w:r>
      <w:r w:rsidRPr="00F933AF">
        <w:rPr>
          <w:rFonts w:cs="Calibri"/>
          <w:sz w:val="16"/>
        </w:rPr>
        <w:t xml:space="preserve">but they have not set a date. </w:t>
      </w:r>
      <w:bookmarkStart w:id="8" w:name="BZ6W4SBJIEI6RIRH7UVQBFDGXQ"/>
      <w:bookmarkEnd w:id="8"/>
      <w:r w:rsidRPr="00F933AF">
        <w:rPr>
          <w:rFonts w:cs="Calibri"/>
          <w:sz w:val="16"/>
        </w:rPr>
        <w:t xml:space="preserve">Reuters </w:t>
      </w:r>
      <w:hyperlink r:id="rId109" w:tgtFrame="_blank" w:history="1">
        <w:r w:rsidRPr="00F933AF">
          <w:rPr>
            <w:rStyle w:val="Hyperlink"/>
            <w:rFonts w:cs="Calibri"/>
            <w:sz w:val="16"/>
          </w:rPr>
          <w:t>reported</w:t>
        </w:r>
      </w:hyperlink>
      <w:r w:rsidRPr="00F933AF">
        <w:rPr>
          <w:rFonts w:cs="Calibri"/>
          <w:sz w:val="16"/>
        </w:rPr>
        <w:t xml:space="preserve"> on the proposed changes in early February, and Vox has published </w:t>
      </w:r>
      <w:hyperlink r:id="rId110" w:tgtFrame="_blank" w:history="1">
        <w:r w:rsidRPr="00F933AF">
          <w:rPr>
            <w:rStyle w:val="Hyperlink"/>
            <w:rFonts w:cs="Calibri"/>
            <w:sz w:val="16"/>
          </w:rPr>
          <w:t>excerpts</w:t>
        </w:r>
      </w:hyperlink>
      <w:r w:rsidRPr="00F933AF">
        <w:rPr>
          <w:rFonts w:cs="Calibri"/>
          <w:sz w:val="16"/>
        </w:rPr>
        <w:t xml:space="preserve"> of a draft. </w:t>
      </w:r>
      <w:r w:rsidRPr="00F933AF">
        <w:rPr>
          <w:rStyle w:val="StyleUnderline"/>
          <w:rFonts w:cs="Calibri"/>
        </w:rPr>
        <w:t>But a more recent, 223-page version obtained by The Post shows that the proposal is more extensive than previously reported. “It’s striking that after strong public criticism of a leaked draft rule, the administration seems to be considering a version that goes even further, and they’re actively considering whether to use this rule to create new grounds for deporting legal immigrants,” said Mark Greenberg, a senior fellow at the Migration Policy Institute, which has been critical of Trump policies</w:t>
      </w:r>
      <w:r w:rsidRPr="00F933AF">
        <w:rPr>
          <w:rFonts w:cs="Calibri"/>
          <w:sz w:val="16"/>
        </w:rPr>
        <w:t xml:space="preserve">. One notable aspect of the proposal indicates that native-born Americans use public benefits at roughly the same rate as the foreign-born population. </w:t>
      </w:r>
      <w:r w:rsidRPr="00F933AF">
        <w:rPr>
          <w:rStyle w:val="StyleUnderline"/>
          <w:rFonts w:cs="Calibri"/>
        </w:rPr>
        <w:t>Out of the 41.5 million immigrants living in the United States, 3.7 percent received cash benefits in 2013, and 22.7 percent accepted noncash benefits including Medicaid, housing subsidies or home heating assistance, according to statistics compiled by U.S. Citizenship and Immigration Services. Those figures were nearly identical to the percentage of native-born Americans who get the same forms of assistance.</w:t>
      </w:r>
      <w:r w:rsidRPr="00F933AF">
        <w:rPr>
          <w:rFonts w:cs="Calibri"/>
          <w:sz w:val="16"/>
        </w:rPr>
        <w:t xml:space="preserve"> Of the 270 million nonimmigrants, 3.4 percent received cash welfare that year, USCIS research found, and 22.1 percent received noncash benefits. U</w:t>
      </w:r>
      <w:r w:rsidRPr="00F933AF">
        <w:rPr>
          <w:rStyle w:val="StyleUnderline"/>
          <w:rFonts w:cs="Calibri"/>
        </w:rPr>
        <w:t xml:space="preserve">.S. authorities have long had the ability to deny residency and other benefits to noncitizens who are dependent on public assistance. Concerns about such dependency were partly the basis for the </w:t>
      </w:r>
      <w:hyperlink r:id="rId111" w:tooltip="www.washingtonpost.com" w:history="1">
        <w:r w:rsidRPr="00F933AF">
          <w:rPr>
            <w:rStyle w:val="StyleUnderline"/>
            <w:rFonts w:cs="Calibri"/>
          </w:rPr>
          <w:t>family-based immigration model</w:t>
        </w:r>
      </w:hyperlink>
      <w:r w:rsidRPr="00F933AF">
        <w:rPr>
          <w:rStyle w:val="StyleUnderline"/>
          <w:rFonts w:cs="Calibri"/>
        </w:rPr>
        <w:t xml:space="preserve"> in place for the past half-century, requiring sponsors to assume financial responsibility for relatives they wish to bring into the country. Trump blames that model for facilitating what he calls “horrible chain migration.”</w:t>
      </w:r>
      <w:r w:rsidRPr="00F933AF">
        <w:rPr>
          <w:rFonts w:cs="Calibri"/>
          <w:sz w:val="16"/>
        </w:rPr>
        <w:t xml:space="preserve"> One of the most radical changes outlined in the proposal would consider refundable tax income credits, including the earned-income tax credit created to help working families with low and moderate incomes. According to recent estimates, it is used by nearly </w:t>
      </w:r>
      <w:hyperlink r:id="rId112" w:tgtFrame="_blank" w:tooltip="taxfoundation.org" w:history="1">
        <w:r w:rsidRPr="00F933AF">
          <w:rPr>
            <w:rStyle w:val="Hyperlink"/>
            <w:rFonts w:cs="Calibri"/>
            <w:sz w:val="16"/>
          </w:rPr>
          <w:t>one-fifth</w:t>
        </w:r>
      </w:hyperlink>
      <w:r w:rsidRPr="00F933AF">
        <w:rPr>
          <w:rFonts w:cs="Calibri"/>
          <w:sz w:val="16"/>
        </w:rPr>
        <w:t xml:space="preserve"> of American taxpayers, particularly those who work in relatively low-paid service industries. Under the proposed changes, </w:t>
      </w:r>
      <w:r w:rsidRPr="00F933AF">
        <w:rPr>
          <w:rStyle w:val="StyleUnderline"/>
          <w:rFonts w:cs="Calibri"/>
        </w:rPr>
        <w:t xml:space="preserve">immigration </w:t>
      </w:r>
      <w:hyperlink r:id="rId113" w:tgtFrame="_self" w:history="1">
        <w:r w:rsidRPr="00F933AF">
          <w:rPr>
            <w:rStyle w:val="StyleUnderline"/>
            <w:rFonts w:cs="Calibri"/>
          </w:rPr>
          <w:t>caseworkers</w:t>
        </w:r>
      </w:hyperlink>
      <w:r w:rsidRPr="00F933AF">
        <w:rPr>
          <w:rStyle w:val="StyleUnderline"/>
          <w:rFonts w:cs="Calibri"/>
        </w:rPr>
        <w:t xml:space="preserve"> would not consider benefits derived from service in the armed forces or some other government jobs, as well as disability, workers’ compensation and Medicare, unless the premiums are fully paid by the public. It would also exclude elementary and secondary public education and early childhood development programs </w:t>
      </w:r>
      <w:r w:rsidRPr="00F933AF">
        <w:rPr>
          <w:rFonts w:cs="Calibri"/>
          <w:sz w:val="16"/>
        </w:rPr>
        <w:t>in the Head Start Act. But children would be considered a negative factor for caseworkers evaluating whether an immigrant is likely to use public assistance or benefits. “An applicant’s family status is a factor that must be considered when an immigration officer is making a public charge determination,” the proposal states. “</w:t>
      </w:r>
      <w:r w:rsidRPr="00F933AF">
        <w:rPr>
          <w:rStyle w:val="StyleUnderline"/>
          <w:rFonts w:cs="Calibri"/>
        </w:rPr>
        <w:t xml:space="preserve">DHS will consider whether the alien being a dependent or having </w:t>
      </w:r>
      <w:proofErr w:type="gramStart"/>
      <w:r w:rsidRPr="00F933AF">
        <w:rPr>
          <w:rStyle w:val="StyleUnderline"/>
          <w:rFonts w:cs="Calibri"/>
        </w:rPr>
        <w:t>dependents .</w:t>
      </w:r>
      <w:proofErr w:type="gramEnd"/>
      <w:r w:rsidRPr="00F933AF">
        <w:rPr>
          <w:rStyle w:val="StyleUnderline"/>
          <w:rFonts w:cs="Calibri"/>
        </w:rPr>
        <w:t> . . makes it more or less likely that the alien will become a public charge.</w:t>
      </w:r>
      <w:r w:rsidRPr="00F933AF">
        <w:rPr>
          <w:rFonts w:cs="Calibri"/>
          <w:sz w:val="16"/>
        </w:rPr>
        <w:t xml:space="preserve">” The proposal notes that “the receipt of noncash benefits tended to increase as family size increased in 2013.” Jonathan Withington, a USCIS spokesman, said the proposed changes will be published in 2018, but he said he couldn’t discuss the contents and that no final decision has been made. “While DHS reviews the proposed change, any draft documents circulating internally are considered pre-decisional and have not been approved for submission to the Office of Management and Budget,” he said. A person with knowledge of the deliberations said the draft is essentially complete and awaiting final approval by Homeland Security Secretary Kirstjen Nielsen. The proposed rule appears to have generated consternation among some USCIS employees. At a recent town-hall-style staff meeting, one worker challenged Director L. Francis Cissna, according to a recording of the encounter shared with The Post. “On a personal level, I think I can say with confidence that my destitute and illiterate great-grandparents would not have been welcomed in this country under something like the very ill-conceived public charge rule that is currently in the process of development,” the staffer said. He told Cissna that </w:t>
      </w:r>
      <w:r w:rsidRPr="00F933AF">
        <w:rPr>
          <w:rStyle w:val="StyleUnderline"/>
          <w:rFonts w:cs="Calibri"/>
        </w:rPr>
        <w:t>such changes were hurting employee morale. “Given that neither the headquarters nor the policy environment seem likely to change in the next</w:t>
      </w:r>
      <w:r w:rsidRPr="00F933AF">
        <w:rPr>
          <w:rFonts w:cs="Calibri"/>
          <w:sz w:val="16"/>
        </w:rPr>
        <w:t xml:space="preserve"> three </w:t>
      </w:r>
      <w:r w:rsidRPr="00F933AF">
        <w:rPr>
          <w:rStyle w:val="StyleUnderline"/>
          <w:rFonts w:cs="Calibri"/>
        </w:rPr>
        <w:t>years</w:t>
      </w:r>
      <w:r w:rsidRPr="00F933AF">
        <w:rPr>
          <w:rFonts w:cs="Calibri"/>
          <w:sz w:val="16"/>
        </w:rPr>
        <w:t xml:space="preserve">, what will you do to maintain and retain, I should say, a motivated and engaged headquarters workforce?” he asked Cissna. “Administrations change. Policies change,” Cissna replied, according to the recording. “I’ve had to implement all sorts of </w:t>
      </w:r>
      <w:proofErr w:type="gramStart"/>
      <w:r w:rsidRPr="00F933AF">
        <w:rPr>
          <w:rFonts w:cs="Calibri"/>
          <w:sz w:val="16"/>
        </w:rPr>
        <w:t>things .</w:t>
      </w:r>
      <w:proofErr w:type="gramEnd"/>
      <w:r w:rsidRPr="00F933AF">
        <w:rPr>
          <w:rFonts w:cs="Calibri"/>
          <w:sz w:val="16"/>
        </w:rPr>
        <w:t> . . that I didn’t like. But we do our job.” “</w:t>
      </w:r>
      <w:r w:rsidRPr="00F933AF">
        <w:rPr>
          <w:rStyle w:val="StyleUnderline"/>
          <w:rFonts w:cs="Calibri"/>
        </w:rPr>
        <w:t xml:space="preserve">I think that we all have to remember we are civil servants, and we all serve the president,” Cissna told his staff. “We’re going to follow his directives.” </w:t>
      </w:r>
    </w:p>
    <w:p w:rsidR="00DE4FE5" w:rsidRPr="00F933AF" w:rsidRDefault="00DE4FE5" w:rsidP="00DE4FE5">
      <w:pPr>
        <w:pStyle w:val="Heading4"/>
        <w:rPr>
          <w:rFonts w:cs="Calibri"/>
        </w:rPr>
      </w:pPr>
      <w:r w:rsidRPr="00F933AF">
        <w:rPr>
          <w:rFonts w:cs="Calibri"/>
        </w:rPr>
        <w:t>Public charge expansion to deny LPR status discriminates against immigrants</w:t>
      </w:r>
    </w:p>
    <w:p w:rsidR="00DE4FE5" w:rsidRPr="00F933AF" w:rsidRDefault="00DE4FE5" w:rsidP="00DE4FE5">
      <w:pPr>
        <w:rPr>
          <w:rFonts w:cs="Calibri"/>
        </w:rPr>
      </w:pPr>
      <w:r w:rsidRPr="00F933AF">
        <w:rPr>
          <w:rStyle w:val="Style13ptBold"/>
          <w:rFonts w:cs="Calibri"/>
        </w:rPr>
        <w:t>Gupta 18</w:t>
      </w:r>
      <w:r w:rsidRPr="00F933AF">
        <w:rPr>
          <w:rFonts w:cs="Calibri"/>
        </w:rPr>
        <w:t xml:space="preserve"> (Prachi Gupta, senior reporter at Jezebel, 3/28/18, “</w:t>
      </w:r>
      <w:hyperlink r:id="rId114" w:history="1">
        <w:r w:rsidRPr="00F933AF">
          <w:rPr>
            <w:rStyle w:val="Hyperlink"/>
            <w:rFonts w:cs="Calibri"/>
          </w:rPr>
          <w:t>The Department of Homeland Security Has Found a New, Horrific Way to Punish Immigrants”,  </w:t>
        </w:r>
      </w:hyperlink>
      <w:r w:rsidRPr="00F933AF">
        <w:rPr>
          <w:rFonts w:cs="Calibri"/>
        </w:rPr>
        <w:t>The Slot, https://theslot.jezebel.com/the-department-of-homeland-security-has-found-a-new-ho-1824156841)/CWB</w:t>
      </w:r>
    </w:p>
    <w:p w:rsidR="00DE4FE5" w:rsidRDefault="00266AB6" w:rsidP="00DE4FE5">
      <w:pPr>
        <w:rPr>
          <w:rStyle w:val="Emphasis"/>
          <w:rFonts w:cs="Calibri"/>
        </w:rPr>
      </w:pPr>
      <w:hyperlink r:id="rId115" w:history="1">
        <w:r w:rsidR="00DE4FE5" w:rsidRPr="00F933AF">
          <w:rPr>
            <w:rStyle w:val="Hyperlink"/>
            <w:rFonts w:cs="Calibri"/>
            <w:sz w:val="16"/>
          </w:rPr>
          <w:t xml:space="preserve">The </w:t>
        </w:r>
        <w:r w:rsidR="00DE4FE5" w:rsidRPr="00F933AF">
          <w:rPr>
            <w:rStyle w:val="StyleUnderline"/>
            <w:rFonts w:cs="Calibri"/>
          </w:rPr>
          <w:t>D</w:t>
        </w:r>
        <w:r w:rsidR="00DE4FE5" w:rsidRPr="00F933AF">
          <w:rPr>
            <w:rStyle w:val="Hyperlink"/>
            <w:rFonts w:cs="Calibri"/>
            <w:sz w:val="16"/>
          </w:rPr>
          <w:t>epartment of</w:t>
        </w:r>
        <w:r w:rsidR="00DE4FE5" w:rsidRPr="00F933AF">
          <w:rPr>
            <w:rStyle w:val="Hyperlink"/>
            <w:rFonts w:cs="Calibri"/>
          </w:rPr>
          <w:t xml:space="preserve"> </w:t>
        </w:r>
        <w:r w:rsidR="00DE4FE5" w:rsidRPr="00F933AF">
          <w:rPr>
            <w:rStyle w:val="StyleUnderline"/>
            <w:rFonts w:cs="Calibri"/>
          </w:rPr>
          <w:t>H</w:t>
        </w:r>
        <w:r w:rsidR="00DE4FE5" w:rsidRPr="00F933AF">
          <w:rPr>
            <w:rStyle w:val="Hyperlink"/>
            <w:rFonts w:cs="Calibri"/>
            <w:sz w:val="16"/>
          </w:rPr>
          <w:t>omeland</w:t>
        </w:r>
        <w:r w:rsidR="00DE4FE5" w:rsidRPr="00F933AF">
          <w:rPr>
            <w:rStyle w:val="StyleUnderline"/>
            <w:rFonts w:cs="Calibri"/>
          </w:rPr>
          <w:t xml:space="preserve"> S</w:t>
        </w:r>
        <w:r w:rsidR="00DE4FE5" w:rsidRPr="00F933AF">
          <w:rPr>
            <w:rStyle w:val="Hyperlink"/>
            <w:rFonts w:cs="Calibri"/>
            <w:sz w:val="16"/>
          </w:rPr>
          <w:t xml:space="preserve">ecurity Has </w:t>
        </w:r>
        <w:r w:rsidR="00DE4FE5" w:rsidRPr="00F933AF">
          <w:rPr>
            <w:rStyle w:val="StyleUnderline"/>
            <w:rFonts w:cs="Calibri"/>
          </w:rPr>
          <w:t xml:space="preserve">Found a New, Horrific Way to </w:t>
        </w:r>
        <w:r w:rsidR="00DE4FE5" w:rsidRPr="00F933AF">
          <w:rPr>
            <w:rStyle w:val="Emphasis"/>
            <w:rFonts w:cs="Calibri"/>
          </w:rPr>
          <w:t>Punish Immigrants</w:t>
        </w:r>
        <w:r w:rsidR="00DE4FE5" w:rsidRPr="00F933AF">
          <w:rPr>
            <w:rStyle w:val="Hyperlink"/>
            <w:rFonts w:cs="Calibri"/>
            <w:sz w:val="16"/>
          </w:rPr>
          <w:t> </w:t>
        </w:r>
      </w:hyperlink>
      <w:r w:rsidR="00DE4FE5" w:rsidRPr="00F933AF">
        <w:rPr>
          <w:rFonts w:cs="Calibri"/>
          <w:sz w:val="16"/>
        </w:rPr>
        <w:t xml:space="preserve">The </w:t>
      </w:r>
      <w:r w:rsidR="00DE4FE5" w:rsidRPr="00F933AF">
        <w:rPr>
          <w:rStyle w:val="StyleUnderline"/>
          <w:rFonts w:cs="Calibri"/>
        </w:rPr>
        <w:t>D</w:t>
      </w:r>
      <w:r w:rsidR="00DE4FE5" w:rsidRPr="00F933AF">
        <w:rPr>
          <w:rFonts w:cs="Calibri"/>
          <w:sz w:val="16"/>
        </w:rPr>
        <w:t xml:space="preserve">epartment of </w:t>
      </w:r>
      <w:r w:rsidR="00DE4FE5" w:rsidRPr="00F933AF">
        <w:rPr>
          <w:rStyle w:val="StyleUnderline"/>
          <w:rFonts w:cs="Calibri"/>
        </w:rPr>
        <w:t>H</w:t>
      </w:r>
      <w:r w:rsidR="00DE4FE5" w:rsidRPr="00F933AF">
        <w:rPr>
          <w:rFonts w:cs="Calibri"/>
          <w:sz w:val="16"/>
        </w:rPr>
        <w:t xml:space="preserve">omeland </w:t>
      </w:r>
      <w:r w:rsidR="00DE4FE5" w:rsidRPr="00F933AF">
        <w:rPr>
          <w:rStyle w:val="StyleUnderline"/>
          <w:rFonts w:cs="Calibri"/>
        </w:rPr>
        <w:t>S</w:t>
      </w:r>
      <w:r w:rsidR="00DE4FE5" w:rsidRPr="00F933AF">
        <w:rPr>
          <w:rFonts w:cs="Calibri"/>
          <w:sz w:val="16"/>
        </w:rPr>
        <w:t>ecurity</w:t>
      </w:r>
      <w:r w:rsidR="00DE4FE5" w:rsidRPr="00F933AF">
        <w:rPr>
          <w:rStyle w:val="StyleUnderline"/>
          <w:rFonts w:cs="Calibri"/>
        </w:rPr>
        <w:t xml:space="preserve">, eternally committed to finding new and creative ways to screw immigrants and people of color in the United States, is threatening to </w:t>
      </w:r>
      <w:r w:rsidR="00DE4FE5" w:rsidRPr="00F933AF">
        <w:rPr>
          <w:rStyle w:val="Emphasis"/>
          <w:rFonts w:cs="Calibri"/>
        </w:rPr>
        <w:t>deny residency</w:t>
      </w:r>
      <w:r w:rsidR="00DE4FE5" w:rsidRPr="00F933AF">
        <w:rPr>
          <w:rStyle w:val="StyleUnderline"/>
          <w:rFonts w:cs="Calibri"/>
        </w:rPr>
        <w:t xml:space="preserve"> to immigrants who use virtually any public benefit—including claiming common tax credit</w:t>
      </w:r>
      <w:r w:rsidR="00DE4FE5" w:rsidRPr="00F933AF">
        <w:rPr>
          <w:rFonts w:cs="Calibri"/>
          <w:sz w:val="16"/>
        </w:rPr>
        <w:t xml:space="preserve">s. The Washington Post </w:t>
      </w:r>
      <w:hyperlink r:id="rId116" w:tgtFrame="_blank" w:history="1">
        <w:r w:rsidR="00DE4FE5" w:rsidRPr="00F933AF">
          <w:rPr>
            <w:rStyle w:val="Hyperlink"/>
            <w:rFonts w:cs="Calibri"/>
            <w:sz w:val="16"/>
          </w:rPr>
          <w:t>obtained a copy</w:t>
        </w:r>
      </w:hyperlink>
      <w:r w:rsidR="00DE4FE5" w:rsidRPr="00F933AF">
        <w:rPr>
          <w:rFonts w:cs="Calibri"/>
          <w:sz w:val="16"/>
        </w:rPr>
        <w:t xml:space="preserve"> of a </w:t>
      </w:r>
      <w:r w:rsidR="00DE4FE5" w:rsidRPr="00F933AF">
        <w:rPr>
          <w:rStyle w:val="StyleUnderline"/>
          <w:rFonts w:cs="Calibri"/>
        </w:rPr>
        <w:t>new DHS policy</w:t>
      </w:r>
      <w:r w:rsidR="00DE4FE5" w:rsidRPr="00F933AF">
        <w:rPr>
          <w:rFonts w:cs="Calibri"/>
          <w:sz w:val="16"/>
        </w:rPr>
        <w:t xml:space="preserve"> proposal that will, </w:t>
      </w:r>
      <w:hyperlink r:id="rId117" w:tgtFrame="_blank" w:history="1">
        <w:r w:rsidR="00DE4FE5" w:rsidRPr="00F933AF">
          <w:rPr>
            <w:rStyle w:val="Hyperlink"/>
            <w:rFonts w:cs="Calibri"/>
            <w:sz w:val="16"/>
          </w:rPr>
          <w:t>per</w:t>
        </w:r>
      </w:hyperlink>
      <w:r w:rsidR="00DE4FE5" w:rsidRPr="00F933AF">
        <w:rPr>
          <w:rFonts w:cs="Calibri"/>
          <w:sz w:val="16"/>
        </w:rPr>
        <w:t xml:space="preserve"> the Post, </w:t>
      </w:r>
      <w:r w:rsidR="00DE4FE5" w:rsidRPr="00F933AF">
        <w:rPr>
          <w:rStyle w:val="StyleUnderline"/>
          <w:rFonts w:cs="Calibri"/>
        </w:rPr>
        <w:t xml:space="preserve">punish immigrants “who accept almost any form of welfare or public benefit, even popular tax deductions” by denying immigrants visas, visa extensions, or permanent residency status if officials deem that they receive, or are likely to receive such benefits. </w:t>
      </w:r>
      <w:r w:rsidR="00DE4FE5" w:rsidRPr="00F933AF">
        <w:rPr>
          <w:rFonts w:cs="Calibri"/>
          <w:sz w:val="16"/>
        </w:rPr>
        <w:t xml:space="preserve">While media outlets </w:t>
      </w:r>
      <w:hyperlink r:id="rId118" w:tgtFrame="_blank" w:history="1">
        <w:r w:rsidR="00DE4FE5" w:rsidRPr="00F933AF">
          <w:rPr>
            <w:rStyle w:val="Hyperlink"/>
            <w:rFonts w:cs="Calibri"/>
            <w:sz w:val="16"/>
          </w:rPr>
          <w:t>previously</w:t>
        </w:r>
      </w:hyperlink>
      <w:r w:rsidR="00DE4FE5" w:rsidRPr="00F933AF">
        <w:rPr>
          <w:rFonts w:cs="Calibri"/>
          <w:sz w:val="16"/>
        </w:rPr>
        <w:t xml:space="preserve"> reported on the proposal, the full draft shows how far </w:t>
      </w:r>
      <w:r w:rsidR="00DE4FE5" w:rsidRPr="00F933AF">
        <w:rPr>
          <w:rStyle w:val="StyleUnderline"/>
          <w:rFonts w:cs="Calibri"/>
        </w:rPr>
        <w:t xml:space="preserve">Trump’s administration is willing to go to deny immigrants </w:t>
      </w:r>
      <w:r w:rsidR="00DE4FE5" w:rsidRPr="00F933AF">
        <w:rPr>
          <w:rStyle w:val="Emphasis"/>
          <w:rFonts w:cs="Calibri"/>
        </w:rPr>
        <w:t>basic public services</w:t>
      </w:r>
      <w:r w:rsidR="00DE4FE5" w:rsidRPr="00F933AF">
        <w:rPr>
          <w:rStyle w:val="StyleUnderline"/>
          <w:rFonts w:cs="Calibri"/>
        </w:rPr>
        <w:t xml:space="preserve"> and increase their </w:t>
      </w:r>
      <w:r w:rsidR="00DE4FE5" w:rsidRPr="00F933AF">
        <w:rPr>
          <w:rStyle w:val="Emphasis"/>
          <w:rFonts w:cs="Calibri"/>
        </w:rPr>
        <w:t>vulnerability to deportation</w:t>
      </w:r>
      <w:r w:rsidR="00DE4FE5" w:rsidRPr="00F933AF">
        <w:rPr>
          <w:rFonts w:cs="Calibri"/>
          <w:sz w:val="16"/>
        </w:rPr>
        <w:t xml:space="preserve">—regardless of status. Currently, DHS’s U.S. Citizenship and Immigration Services </w:t>
      </w:r>
      <w:hyperlink r:id="rId119" w:tgtFrame="_blank" w:history="1">
        <w:r w:rsidR="00DE4FE5" w:rsidRPr="00F933AF">
          <w:rPr>
            <w:rStyle w:val="Hyperlink"/>
            <w:rFonts w:cs="Calibri"/>
            <w:sz w:val="16"/>
          </w:rPr>
          <w:t>considers</w:t>
        </w:r>
      </w:hyperlink>
      <w:r w:rsidR="00DE4FE5" w:rsidRPr="00F933AF">
        <w:rPr>
          <w:rFonts w:cs="Calibri"/>
          <w:sz w:val="16"/>
        </w:rPr>
        <w:t xml:space="preserve">non-citizens inadmissible if they are seen as a “public charge”—that is, if they are “likely to become primarily dependent on the government for subsistence, as demonstrated by either the receipt of public cash assistance for income maintenance or institutionalization for long-term care at government expense.” In the new proposal, </w:t>
      </w:r>
      <w:r w:rsidR="00DE4FE5" w:rsidRPr="00F933AF">
        <w:rPr>
          <w:rStyle w:val="StyleUnderline"/>
          <w:rFonts w:cs="Calibri"/>
        </w:rPr>
        <w:t>DHS outlines that individuals applying for residency must prove they are “not likely at any time to become a public charge”</w:t>
      </w:r>
      <w:r w:rsidR="00DE4FE5" w:rsidRPr="00F933AF">
        <w:rPr>
          <w:rFonts w:cs="Calibri"/>
          <w:sz w:val="16"/>
        </w:rPr>
        <w:t>: The Department of Homeland Security (DHS) proposes to change how it determine whether an alien is inadmissible to the United States because he or she is likely at any time to become a public charge consistent with section 212(a</w:t>
      </w:r>
      <w:proofErr w:type="gramStart"/>
      <w:r w:rsidR="00DE4FE5" w:rsidRPr="00F933AF">
        <w:rPr>
          <w:rFonts w:cs="Calibri"/>
          <w:sz w:val="16"/>
        </w:rPr>
        <w:t>)(</w:t>
      </w:r>
      <w:proofErr w:type="gramEnd"/>
      <w:r w:rsidR="00DE4FE5" w:rsidRPr="00F933AF">
        <w:rPr>
          <w:rFonts w:cs="Calibri"/>
          <w:sz w:val="16"/>
        </w:rPr>
        <w:t xml:space="preserve">4) of the Immigration and Nationality Act (INA). Aliens who are seeking adjustment of status or an immigrant visa, or who are applicants for admission, must all establish that they are not likely at any time to become a public charge. Moreover, DHS will require aliens seeking an extension of stay or change of status demonstrate that they are not using or receiving, nor likely to use or receive, public benefits. However, </w:t>
      </w:r>
      <w:r w:rsidR="00DE4FE5" w:rsidRPr="00F933AF">
        <w:rPr>
          <w:rStyle w:val="StyleUnderline"/>
          <w:rFonts w:cs="Calibri"/>
        </w:rPr>
        <w:t xml:space="preserve">DHS is sneakily trying to expand the definition of “public charge” to include additional government programs, including health insurance subsidies, the Earned Income Tax Credit—claimed by </w:t>
      </w:r>
      <w:hyperlink r:id="rId120" w:tgtFrame="_blank" w:history="1">
        <w:r w:rsidR="00DE4FE5" w:rsidRPr="00F933AF">
          <w:rPr>
            <w:rStyle w:val="StyleUnderline"/>
            <w:rFonts w:cs="Calibri"/>
          </w:rPr>
          <w:t>an estimated</w:t>
        </w:r>
      </w:hyperlink>
      <w:r w:rsidR="00DE4FE5" w:rsidRPr="00F933AF">
        <w:rPr>
          <w:rStyle w:val="StyleUnderline"/>
          <w:rFonts w:cs="Calibri"/>
        </w:rPr>
        <w:t xml:space="preserve"> 20 percent of all Americans—and other “non-cash public benefits.”</w:t>
      </w:r>
      <w:r w:rsidR="00DE4FE5" w:rsidRPr="00F933AF">
        <w:rPr>
          <w:rFonts w:cs="Calibri"/>
          <w:sz w:val="16"/>
        </w:rPr>
        <w:t xml:space="preserve"> The Post describes the changes: </w:t>
      </w:r>
      <w:r w:rsidR="00DE4FE5" w:rsidRPr="00F933AF">
        <w:rPr>
          <w:rStyle w:val="StyleUnderline"/>
          <w:rFonts w:cs="Calibri"/>
        </w:rPr>
        <w:t xml:space="preserve">Under the proposed changes, immigration </w:t>
      </w:r>
      <w:hyperlink r:id="rId121" w:tgtFrame="_self" w:history="1">
        <w:r w:rsidR="00DE4FE5" w:rsidRPr="00F933AF">
          <w:rPr>
            <w:rStyle w:val="StyleUnderline"/>
            <w:rFonts w:cs="Calibri"/>
          </w:rPr>
          <w:t>caseworkers</w:t>
        </w:r>
      </w:hyperlink>
      <w:r w:rsidR="00DE4FE5" w:rsidRPr="00F933AF">
        <w:rPr>
          <w:rStyle w:val="StyleUnderline"/>
          <w:rFonts w:cs="Calibri"/>
        </w:rPr>
        <w:t xml:space="preserve"> would not consider benefits derived from service in the armed forces or some other government job, as well as disability, workers’ compensation and Medicare, unless the premiums are fully paid by the public. It would also exclude elementary and secondary public education and early childhood development programs offered under the Head Start Act</w:t>
      </w:r>
      <w:r w:rsidR="00DE4FE5" w:rsidRPr="00F933AF">
        <w:rPr>
          <w:rFonts w:cs="Calibri"/>
          <w:sz w:val="16"/>
        </w:rPr>
        <w:t xml:space="preserve">. But children would be considered a negative factor for caseworkers evaluating whether an immigrant is likely to use some form of public assistance or benefit. “An applicant’s family status is a factor that must be considered when an immigration officer is making a public charge determination,” the proposal states. “DHS will consider whether the alien being a dependent or having </w:t>
      </w:r>
      <w:proofErr w:type="gramStart"/>
      <w:r w:rsidR="00DE4FE5" w:rsidRPr="00F933AF">
        <w:rPr>
          <w:rFonts w:cs="Calibri"/>
          <w:sz w:val="16"/>
        </w:rPr>
        <w:t>dependents .</w:t>
      </w:r>
      <w:proofErr w:type="gramEnd"/>
      <w:r w:rsidR="00DE4FE5" w:rsidRPr="00F933AF">
        <w:rPr>
          <w:rFonts w:cs="Calibri"/>
          <w:sz w:val="16"/>
        </w:rPr>
        <w:t xml:space="preserve"> . . makes it more or less likely that the alien will become a public charge.” It’s worth noting, too, that </w:t>
      </w:r>
      <w:r w:rsidR="00DE4FE5" w:rsidRPr="00F933AF">
        <w:rPr>
          <w:rStyle w:val="StyleUnderline"/>
          <w:rFonts w:cs="Calibri"/>
        </w:rPr>
        <w:t xml:space="preserve">according to USCIS, immigrants use public assistance at the same rates as U.S. citizens—so </w:t>
      </w:r>
      <w:r w:rsidR="00DE4FE5" w:rsidRPr="00F933AF">
        <w:rPr>
          <w:rStyle w:val="Emphasis"/>
          <w:rFonts w:cs="Calibri"/>
        </w:rPr>
        <w:t>this new policy isn’t just an overreaction to immigrants using public benefits. It’s simply a reaction to immigrants existing in America.</w:t>
      </w:r>
    </w:p>
    <w:p w:rsidR="00DE4FE5" w:rsidRPr="00F933AF" w:rsidRDefault="00DE4FE5" w:rsidP="00DE4FE5">
      <w:pPr>
        <w:pStyle w:val="Heading4"/>
        <w:rPr>
          <w:rStyle w:val="Hyperlink"/>
          <w:rFonts w:cs="Calibri"/>
        </w:rPr>
      </w:pPr>
      <w:r w:rsidRPr="00F933AF">
        <w:rPr>
          <w:rStyle w:val="Hyperlink"/>
          <w:rFonts w:cs="Calibri"/>
        </w:rPr>
        <w:t>Trump increasing public charge requirements- means applicants, immigrants and children face negative health and financial consequences along with fear of deportation</w:t>
      </w:r>
    </w:p>
    <w:p w:rsidR="00DE4FE5" w:rsidRPr="00F933AF" w:rsidRDefault="00DE4FE5" w:rsidP="00DE4FE5">
      <w:pPr>
        <w:rPr>
          <w:rFonts w:cs="Calibri"/>
        </w:rPr>
      </w:pPr>
      <w:r w:rsidRPr="00F933AF">
        <w:rPr>
          <w:rStyle w:val="Style13ptBold"/>
          <w:rFonts w:cs="Calibri"/>
        </w:rPr>
        <w:t>Altman 18</w:t>
      </w:r>
      <w:r w:rsidRPr="00F933AF">
        <w:rPr>
          <w:rFonts w:cs="Calibri"/>
        </w:rPr>
        <w:t xml:space="preserve"> (Drew Altman, PhD in political science from MIT, President of the Henry J. Kaiser Family Foundation, journal on public heath, honorary doctorate from the Morehouse School of Medicine, member of the Council on Foreign Relations and the Institute of Medicine, former Director of the Health and Human Services at the Pew Charitable Trusts, former Vice President of the Robert Wood Johnson Foundation, February 2018, “Proposed Changes to “Public Charge” Policies for Immigrants: Implications for Health Coverage”, </w:t>
      </w:r>
      <w:hyperlink r:id="rId122" w:history="1">
        <w:r w:rsidRPr="00F933AF">
          <w:rPr>
            <w:rStyle w:val="Hyperlink"/>
            <w:rFonts w:cs="Calibri"/>
          </w:rPr>
          <w:t>http://files.kff.org/attachment/Issue-Brief-Proposed-Changes-to-Public-Charge-Policies-for-Immigrants-Implications-for-Health-Coverage</w:t>
        </w:r>
      </w:hyperlink>
      <w:r w:rsidRPr="00F933AF">
        <w:rPr>
          <w:rFonts w:cs="Calibri"/>
        </w:rPr>
        <w:t>)/CWB</w:t>
      </w:r>
    </w:p>
    <w:p w:rsidR="00DE4FE5" w:rsidRPr="00F933AF" w:rsidRDefault="00DE4FE5" w:rsidP="00DE4FE5">
      <w:pPr>
        <w:rPr>
          <w:rStyle w:val="StyleUnderline"/>
          <w:rFonts w:cs="Calibri"/>
        </w:rPr>
      </w:pPr>
      <w:r w:rsidRPr="00F933AF">
        <w:rPr>
          <w:rFonts w:cs="Calibri"/>
          <w:sz w:val="16"/>
        </w:rPr>
        <w:t xml:space="preserve">A draft version of a </w:t>
      </w:r>
      <w:r w:rsidRPr="00F933AF">
        <w:rPr>
          <w:rStyle w:val="StyleUnderline"/>
          <w:rFonts w:cs="Calibri"/>
        </w:rPr>
        <w:t>proposed rule by</w:t>
      </w:r>
      <w:r w:rsidRPr="00F933AF">
        <w:rPr>
          <w:rFonts w:cs="Calibri"/>
          <w:sz w:val="16"/>
        </w:rPr>
        <w:t xml:space="preserve"> the </w:t>
      </w:r>
      <w:r w:rsidRPr="00F933AF">
        <w:rPr>
          <w:rStyle w:val="StyleUnderline"/>
          <w:rFonts w:cs="Calibri"/>
        </w:rPr>
        <w:t xml:space="preserve">Trump </w:t>
      </w:r>
      <w:r w:rsidRPr="00F933AF">
        <w:rPr>
          <w:rFonts w:cs="Calibri"/>
          <w:sz w:val="16"/>
        </w:rPr>
        <w:t xml:space="preserve">Administration </w:t>
      </w:r>
      <w:r w:rsidRPr="00F933AF">
        <w:rPr>
          <w:rStyle w:val="StyleUnderline"/>
          <w:rFonts w:cs="Calibri"/>
        </w:rPr>
        <w:t>would make changes to “public charge” policies that govern how use of public benefits may affect individuals’ immigration status.</w:t>
      </w:r>
      <w:r w:rsidRPr="00F933AF">
        <w:rPr>
          <w:rFonts w:cs="Calibri"/>
          <w:sz w:val="16"/>
        </w:rPr>
        <w:t xml:space="preserve"> This fact sheet provides an overview of the proposed changes and their implications for health and health coverage. </w:t>
      </w:r>
      <w:r w:rsidRPr="00F933AF">
        <w:rPr>
          <w:rFonts w:cs="Calibri"/>
          <w:sz w:val="16"/>
        </w:rPr>
        <w:sym w:font="Symbol" w:char="F0B7"/>
      </w:r>
      <w:r w:rsidRPr="00F933AF">
        <w:rPr>
          <w:rFonts w:cs="Calibri"/>
          <w:sz w:val="16"/>
        </w:rPr>
        <w:t xml:space="preserve"> </w:t>
      </w:r>
      <w:r w:rsidRPr="00F933AF">
        <w:rPr>
          <w:rStyle w:val="StyleUnderline"/>
          <w:rFonts w:cs="Calibri"/>
        </w:rPr>
        <w:t>Individuals who are determined to be a “public charge” can be denied lawful permanent residence or entry into the U.S., and,</w:t>
      </w:r>
      <w:r w:rsidRPr="00F933AF">
        <w:rPr>
          <w:rFonts w:cs="Calibri"/>
          <w:sz w:val="16"/>
        </w:rPr>
        <w:t xml:space="preserve"> in very limited cases, </w:t>
      </w:r>
      <w:r w:rsidRPr="00F933AF">
        <w:rPr>
          <w:rStyle w:val="StyleUnderline"/>
          <w:rFonts w:cs="Calibri"/>
        </w:rPr>
        <w:t>deported. Under current policy, individuals may be determined a public charge if they rely on or are likely to rely on public cash assistance or government funded long-term institutional care</w:t>
      </w:r>
      <w:r w:rsidRPr="00F933AF">
        <w:rPr>
          <w:rFonts w:cs="Calibri"/>
          <w:sz w:val="16"/>
        </w:rPr>
        <w:t xml:space="preserve">. Current policy does not allow the federal government to consider the use of non-cash benefits, such as health and nutrition programs, in public charge determinations. </w:t>
      </w:r>
      <w:r w:rsidRPr="00F933AF">
        <w:rPr>
          <w:rFonts w:cs="Calibri"/>
          <w:sz w:val="16"/>
        </w:rPr>
        <w:sym w:font="Symbol" w:char="F0B7"/>
      </w:r>
      <w:r w:rsidRPr="00F933AF">
        <w:rPr>
          <w:rFonts w:cs="Calibri"/>
          <w:sz w:val="16"/>
        </w:rPr>
        <w:t xml:space="preserve"> </w:t>
      </w:r>
      <w:r w:rsidRPr="00F933AF">
        <w:rPr>
          <w:rStyle w:val="StyleUnderline"/>
          <w:rFonts w:cs="Calibri"/>
        </w:rPr>
        <w:t xml:space="preserve">Under the draft proposed policy, the federal government could consider previously excluded health, nutrition, and other non-cash programs in public charge determinations. In addition, the changes would newly allow the federal government to take into account use of programs by citizen children and other family members in making a public charge determination. </w:t>
      </w:r>
      <w:r w:rsidRPr="00F933AF">
        <w:rPr>
          <w:rStyle w:val="StyleUnderline"/>
          <w:rFonts w:cs="Calibri"/>
        </w:rPr>
        <w:sym w:font="Symbol" w:char="F0B7"/>
      </w:r>
      <w:r w:rsidRPr="00F933AF">
        <w:rPr>
          <w:rStyle w:val="StyleUnderline"/>
          <w:rFonts w:cs="Calibri"/>
        </w:rPr>
        <w:t xml:space="preserve"> The changes would likely lead to decreased participation in Medicaid, the Children’s Health Insurance Program (CHIP), and other programs among legal immigrant families, including their citizen children.</w:t>
      </w:r>
      <w:r w:rsidRPr="00F933AF">
        <w:rPr>
          <w:rFonts w:cs="Calibri"/>
          <w:sz w:val="16"/>
        </w:rPr>
        <w:t xml:space="preserve"> The primary group affected by the changes would be individuals seeking a green card through a family-based petition. However, </w:t>
      </w:r>
      <w:r w:rsidRPr="00F933AF">
        <w:rPr>
          <w:rStyle w:val="StyleUnderline"/>
          <w:rFonts w:cs="Calibri"/>
        </w:rPr>
        <w:t>the changes would likely increase fear and confusion among all legal immigrant families, leading to decreased participation in health coverage and other programs for themselves and their children. Decreased participation in these programs would contribute to more uninsured and negatively affect the health and financial stability of families as well as growth and healthy development of their predominantly U.S.-born citizen children</w:t>
      </w:r>
      <w:r w:rsidRPr="00F933AF">
        <w:rPr>
          <w:rFonts w:cs="Calibri"/>
          <w:sz w:val="16"/>
        </w:rPr>
        <w:t xml:space="preserve">. A draft version of a </w:t>
      </w:r>
      <w:r w:rsidRPr="00F933AF">
        <w:rPr>
          <w:rStyle w:val="StyleUnderline"/>
          <w:rFonts w:cs="Calibri"/>
        </w:rPr>
        <w:t>proposed rule by the Trump Administration would make changes to “public charge” policies that govern how use of public benefits may affect individuals’ immigration status</w:t>
      </w:r>
      <w:r w:rsidRPr="00F933AF">
        <w:rPr>
          <w:rFonts w:cs="Calibri"/>
          <w:sz w:val="16"/>
        </w:rPr>
        <w:t xml:space="preserve">. This fact sheet provides an overview of the proposed changes and their implications for health and health coverage of legal immigrant families and their predominantly U.S.-born citizen children. The proposed changes to public charge policies would primarily affect immigrants who are applying for a green card through a family-based petition. </w:t>
      </w:r>
      <w:r w:rsidRPr="00F933AF">
        <w:rPr>
          <w:rStyle w:val="StyleUnderline"/>
          <w:rFonts w:cs="Calibri"/>
        </w:rPr>
        <w:t>The draft changes would affect</w:t>
      </w:r>
      <w:r w:rsidRPr="00F933AF">
        <w:rPr>
          <w:rFonts w:cs="Calibri"/>
          <w:sz w:val="16"/>
        </w:rPr>
        <w:t xml:space="preserve"> lawfully present immigrants seeking to become </w:t>
      </w:r>
      <w:r w:rsidRPr="00F933AF">
        <w:rPr>
          <w:rStyle w:val="StyleUnderline"/>
          <w:rFonts w:cs="Calibri"/>
        </w:rPr>
        <w:t xml:space="preserve">LPRs </w:t>
      </w:r>
      <w:r w:rsidRPr="00F933AF">
        <w:rPr>
          <w:rFonts w:cs="Calibri"/>
          <w:sz w:val="16"/>
        </w:rPr>
        <w:t xml:space="preserve">or “green card” holders and individuals </w:t>
      </w:r>
      <w:r w:rsidRPr="00F933AF">
        <w:rPr>
          <w:rStyle w:val="StyleUnderline"/>
          <w:rFonts w:cs="Calibri"/>
        </w:rPr>
        <w:t>seeking to immigrate to the U.S</w:t>
      </w:r>
      <w:r w:rsidRPr="00F933AF">
        <w:rPr>
          <w:rFonts w:cs="Calibri"/>
          <w:sz w:val="16"/>
        </w:rPr>
        <w:t xml:space="preserve">. 1 Most individuals seeking to adjust to LPR status or seeking to immigrate to the U.S. are immediate relatives of U.S. citizens or have a family-based sponsor. In 2016, 1.2 million individuals obtained LPR status, including over half a million who were already present in the U.S.2 Some immigrants remain exempt from public charge determinations under law, including refugees, asylees, and certain other groups. Public charge policies do not apply to LPRs seeking to obtain citizenship. However, obtaining LPR status is a key step toward citizenship for immigrants seeking naturalize. The proposed changes would likely increase confusion and fear among all legal immigrant families about using public programs for themselves and their children regardless of whether they are directly affected by the policy change. In 2016, there were 23 million noncitizens residing in the U.S. About six in ten noncitizens were lawfully present immigrants, who include LPRs, refugees, asylees, and other individuals who are authorized to live in the U.S. temporarily or permanently.3 In addition, over 19 million or one in four (25%) children live with an immigrant parent, and nearly nine in ten (86%) of these children are U.S.-born citizens.4 </w:t>
      </w:r>
      <w:r w:rsidRPr="00F933AF">
        <w:rPr>
          <w:rStyle w:val="StyleUnderline"/>
          <w:rFonts w:cs="Calibri"/>
        </w:rPr>
        <w:t>Individuals who are determined likely to become a “public charge” can be denied lawful permanent residence or entry into the U.S. Under longstanding policy, if authorities determine that an individual is “likely to become a public charge” (i.e., a person dependent on the government for subsistence), they may deny that person’s application for lawful permanent residence or their entry into the U.S.5 Becoming a public charge may also be a basis for deportation</w:t>
      </w:r>
      <w:r w:rsidRPr="00F933AF">
        <w:rPr>
          <w:rFonts w:cs="Calibri"/>
          <w:sz w:val="16"/>
        </w:rPr>
        <w:t xml:space="preserve"> in extremely limited circumstances.6 Certain immigrants, including refugees and asylees, are exempt from public charge determinations under law. Under current policy, the federal government does not consider use of Medicaid, CHIP, or other non-cash benefits in public charge determinations. Historically, there has been confusion about whether use of Medicaid or CHIP and other non-cash programs apply in public charge determinations. 7 In 1999, the Immigration and Naturalization Service (now part of the Department of Homeland Security) issued clarifying guidance specifying that acceptance of cash assistance for income maintenance as well as government funded long-term institutional care may be considered in conjunction with other factors in public charge determinations. 8 Use of Medicaid, CHIP, or other supportive programs cannot be considered in public charge determinations, with the exception of use of Medicaid for long-term institutional care.9 The guidance noted that this clarification was necessary because ongoing confusion about public charge policies has, “deterred eligible aliens and their families, including U.S. citizen children, from seeking important health and nutrition benefits that they are legally entitled to receive. This reluctance to access benefits has an adverse impact not just on the potential recipients, but on public health and the general welfare.” 10 Under current policy, use of benefits by family members, including citizen children, is not considered in public charge determinations. The guidance specifies that officers should not attribute cash benefits received by children or other family members to the individual for purposes of making a public charge determination, except in cases in which the family is reliant solely on that assistance. </w:t>
      </w:r>
      <w:r w:rsidRPr="00F933AF">
        <w:rPr>
          <w:rStyle w:val="StyleUnderline"/>
          <w:rFonts w:cs="Calibri"/>
        </w:rPr>
        <w:t>The draft proposed rule would substantially broaden the programs that the federal government could consider in public charge determinations to include health, nutrition, and other non-cash programs</w:t>
      </w:r>
      <w:r w:rsidRPr="00F933AF">
        <w:rPr>
          <w:rFonts w:cs="Calibri"/>
          <w:sz w:val="16"/>
        </w:rPr>
        <w:t xml:space="preserve">. The draft proposed rule defines a public charge as a person who is dependent on public benefits or likely to become dependent on public benefits at any time. It specifies certain health and nutrition programs as public benefits, including Medicaid, CHIP, and subsidies for Marketplace coverage as well as the Supplemental Nutrition Assistance Program (SNAP) and the Women Infants and Children (WIC) program (Table 1). Cash assistance for income maintenance, including Supplemental Security Income (SSI), the Temporary Assistance for Needy Families (TANFI) program, and state and local general assistance continue to count as public benefits. The draft proposed rule also specifies certain types of assistance that the federal government may not consider in public charge determinations, including emergency disaster relief and school lunch programs. The draft proposed rule would newly allow the federal government to consider use of benefits by citizen children and other family members in making public charge determinations. The draft proposed rule notes that the federal government may consider whether the individual is receiving any public benefit, has received any benefit within the last two years, and whether dependent family members, including a citizen child, has received benefits. </w:t>
      </w:r>
      <w:r w:rsidRPr="00F933AF">
        <w:rPr>
          <w:rStyle w:val="StyleUnderline"/>
          <w:rFonts w:cs="Calibri"/>
        </w:rPr>
        <w:t xml:space="preserve">In making a determination, use of public benefits would be considered as part of the totality of an individual’s circumstances and weighed against other factors, including age; health; family status; assets, resources, financial status; and education and skills. </w:t>
      </w:r>
      <w:r w:rsidRPr="00F933AF">
        <w:rPr>
          <w:rFonts w:cs="Calibri"/>
          <w:sz w:val="16"/>
        </w:rPr>
        <w:t xml:space="preserve">However, the draft proposed rule notes that current use of public benefits or having received benefits for more than six months within the previous two years would be a heavily weighted negative factor in determinations. Certain health circumstances also would be a heavily weighted negative factor. </w:t>
      </w:r>
      <w:r w:rsidRPr="00F933AF">
        <w:rPr>
          <w:rStyle w:val="StyleUnderline"/>
          <w:rFonts w:cs="Calibri"/>
        </w:rPr>
        <w:t>These would include,</w:t>
      </w:r>
      <w:r w:rsidRPr="00F933AF">
        <w:rPr>
          <w:rFonts w:cs="Calibri"/>
          <w:sz w:val="16"/>
        </w:rPr>
        <w:t xml:space="preserve"> for example, an </w:t>
      </w:r>
      <w:r w:rsidRPr="00F933AF">
        <w:rPr>
          <w:rStyle w:val="StyleUnderline"/>
          <w:rFonts w:cs="Calibri"/>
        </w:rPr>
        <w:t>individual</w:t>
      </w:r>
      <w:r w:rsidRPr="00F933AF">
        <w:rPr>
          <w:rFonts w:cs="Calibri"/>
          <w:sz w:val="16"/>
        </w:rPr>
        <w:t xml:space="preserve"> having a costly medical condition and being </w:t>
      </w:r>
      <w:r w:rsidRPr="00F933AF">
        <w:rPr>
          <w:rStyle w:val="StyleUnderline"/>
          <w:rFonts w:cs="Calibri"/>
        </w:rPr>
        <w:t>unable to show proof of unsubsidized health insurance</w:t>
      </w:r>
      <w:r w:rsidRPr="00F933AF">
        <w:rPr>
          <w:rFonts w:cs="Calibri"/>
          <w:sz w:val="16"/>
        </w:rPr>
        <w:t xml:space="preserve"> or means to pay for treatment without government funds. Today, Medicaid and CHIP help fill gaps in private coverage for lawfully present immigrants, providing them access to needed care and financial protections that support their ability to work and the growth and healthy development of their children. </w:t>
      </w:r>
      <w:r w:rsidRPr="00F933AF">
        <w:rPr>
          <w:rStyle w:val="StyleUnderline"/>
          <w:rFonts w:cs="Calibri"/>
        </w:rPr>
        <w:t>Medicaid and CHIP provide families access to preventive and primary care, including prenatal care, as well as care for chronic conditions. In addition, the coverage provides families financial protection from high medical costs. By enabling families to meet their health care needs, Medicaid and CHIP support families’ ability to work and promote growth and healthy development of their children</w:t>
      </w:r>
      <w:r w:rsidRPr="00F933AF">
        <w:rPr>
          <w:rFonts w:cs="Calibri"/>
          <w:sz w:val="16"/>
        </w:rPr>
        <w:t xml:space="preserve">. The majority of lawfully present immigrants live in a family with at least one full-time worker (83%), a rate equal to that of citizens.11 However, lawfully present immigrants are more likely than citizens to live in low-income families and often work in jobs and industries that do not offer health coverage. </w:t>
      </w:r>
      <w:r w:rsidRPr="00F933AF">
        <w:rPr>
          <w:rStyle w:val="StyleUnderline"/>
          <w:rFonts w:cs="Calibri"/>
        </w:rPr>
        <w:t>Reflecting their lower incomes and limited access to private coverage, one in four nonelderly lawfully present immigrants has Medicaid or CHIP coverage</w:t>
      </w:r>
      <w:r w:rsidRPr="00F933AF">
        <w:rPr>
          <w:rFonts w:cs="Calibri"/>
          <w:sz w:val="16"/>
        </w:rPr>
        <w:t xml:space="preserve">.12 However, among the low-income nonelderly population, </w:t>
      </w:r>
      <w:r w:rsidRPr="00F933AF">
        <w:rPr>
          <w:rStyle w:val="StyleUnderline"/>
          <w:rFonts w:cs="Calibri"/>
        </w:rPr>
        <w:t>lawfully present immigrants are less likely than citizens to have Medicaid or CHIP coverage, reflecting eligibility restrictions for immigrants</w:t>
      </w:r>
      <w:r w:rsidRPr="00F933AF">
        <w:rPr>
          <w:rFonts w:cs="Calibri"/>
          <w:sz w:val="16"/>
        </w:rPr>
        <w:t xml:space="preserve">. 13 Lawfully present immigrants may qualify for Medicaid and CHIP, including the Affordable Care Act (ACA) Medicaid expansion to low-income adults, but </w:t>
      </w:r>
      <w:r w:rsidRPr="00F933AF">
        <w:rPr>
          <w:rStyle w:val="StyleUnderline"/>
          <w:rFonts w:cs="Calibri"/>
        </w:rPr>
        <w:t>many must wait five years after obtaining lawful status before they may enroll.</w:t>
      </w:r>
      <w:r w:rsidRPr="00F933AF">
        <w:rPr>
          <w:rFonts w:cs="Calibri"/>
          <w:sz w:val="16"/>
        </w:rPr>
        <w:t xml:space="preserve"> In addition, many eligible lawfully present immigrants are not enrolled due to multiple enrollment barriers, including fear. The proposed changes would likely lead to decreased participation in Medicaid, CHIP, Marketplace coverage, and other programs among immigrant families, including their citizen children. </w:t>
      </w:r>
      <w:r w:rsidRPr="00F933AF">
        <w:rPr>
          <w:rStyle w:val="StyleUnderline"/>
          <w:rFonts w:cs="Calibri"/>
        </w:rPr>
        <w:t>Despite broad efforts to assure the immigrant community that Medicaid and CHIP could not be used in public charge determinations under current policy, many eligible lawfully present immigrants did not enroll themselves or their children because they feared it could negatively affect their status. This policy change would amplify these fears because use of Medicaid and CHIP and other programs could now have negative repercussions on immigration status. Further, the Administration’s increased focus on immigration enforcement and restriction has led to growing fears among legal immigrants about the stability of their status.</w:t>
      </w:r>
      <w:r w:rsidRPr="00F933AF">
        <w:rPr>
          <w:rFonts w:cs="Calibri"/>
          <w:sz w:val="16"/>
        </w:rPr>
        <w:t xml:space="preserve"> 14 </w:t>
      </w:r>
      <w:r w:rsidRPr="00F933AF">
        <w:rPr>
          <w:rStyle w:val="StyleUnderline"/>
          <w:rFonts w:cs="Calibri"/>
        </w:rPr>
        <w:t>Increased fears would likely extend beyond individuals directly affected by the policy to the broader immigrant community. Due to increased fears, it is likely that fewer eligible individuals would enroll themselves and their children in health coverage and that individuals who are currently enrolled in programs would disenroll themselves and their children. Participation in nutrition programs, like SNAP and WIC, would also likely decrease. Decreased participation in Medicaid, CHIP, and Marketplace coverage would increase the uninsured rate among immigrant families, negatively affecting their health and financial stability and the growth and healthy development of their children</w:t>
      </w:r>
      <w:r w:rsidRPr="00F933AF">
        <w:rPr>
          <w:rFonts w:cs="Calibri"/>
          <w:sz w:val="16"/>
        </w:rPr>
        <w:t xml:space="preserve">. Without Medicaid, CHIP, or Marketplace coverage, </w:t>
      </w:r>
      <w:r w:rsidRPr="00F933AF">
        <w:rPr>
          <w:rStyle w:val="StyleUnderline"/>
          <w:rFonts w:cs="Calibri"/>
        </w:rPr>
        <w:t>more lawfully present immigrants would become uninsured, widening the disparity in coverage they already face. As of 2016, 17% of lawfully present immigrants were uninsured compared to 9% of citizens.15 Coverage losses would lead to reduced access to care for families, contributing to worse health outcomes over time. Moreover, these effects would likely be compounded by reduced participation in nutrition and other support programs. Decreased participation in these programs would negatively affect the financial stability of families and the growth and healthy development of children in these families, who are predominantly U.S. born citizens.</w:t>
      </w:r>
    </w:p>
    <w:p w:rsidR="00DE4FE5" w:rsidRPr="00F933AF" w:rsidRDefault="00DE4FE5" w:rsidP="00DE4FE5">
      <w:pPr>
        <w:rPr>
          <w:rFonts w:cs="Calibri"/>
        </w:rPr>
      </w:pPr>
    </w:p>
    <w:p w:rsidR="00DE4FE5" w:rsidRPr="00DE4FE5" w:rsidRDefault="00DE4FE5" w:rsidP="00DE4FE5"/>
    <w:p w:rsidR="00A407E4" w:rsidRDefault="00125A1B" w:rsidP="00495F48">
      <w:pPr>
        <w:pStyle w:val="Heading1"/>
      </w:pPr>
      <w:r>
        <w:t>Adv – Health</w:t>
      </w:r>
    </w:p>
    <w:p w:rsidR="00AD6806" w:rsidRDefault="001F30DE" w:rsidP="001F30DE">
      <w:pPr>
        <w:pStyle w:val="Heading2"/>
      </w:pPr>
      <w:r>
        <w:t>Top Level</w:t>
      </w:r>
    </w:p>
    <w:p w:rsidR="001F30DE" w:rsidRDefault="001F30DE" w:rsidP="001F30DE">
      <w:pPr>
        <w:pStyle w:val="Heading4"/>
      </w:pPr>
      <w:r>
        <w:t xml:space="preserve">Public charge criminalizes access to healthcare, perpetuating the cycle of poverty among low-income immigrant women </w:t>
      </w:r>
    </w:p>
    <w:p w:rsidR="001F30DE" w:rsidRPr="00CF050F" w:rsidRDefault="001F30DE" w:rsidP="001F30DE">
      <w:r>
        <w:rPr>
          <w:b/>
        </w:rPr>
        <w:t xml:space="preserve">Park 1 </w:t>
      </w:r>
      <w:r w:rsidRPr="001D4EEE">
        <w:rPr>
          <w:sz w:val="18"/>
          <w:szCs w:val="18"/>
        </w:rPr>
        <w:t>(Lisa Sun-Hee Park, Assistant Professor in the Ethnic Studies Department and the Urban Studies and Planning Program at the University of California, Hein Online,</w:t>
      </w:r>
      <w:r>
        <w:rPr>
          <w:sz w:val="18"/>
          <w:szCs w:val="18"/>
        </w:rPr>
        <w:t xml:space="preserve"> EBSCO Host,</w:t>
      </w:r>
      <w:r w:rsidRPr="001D4EEE">
        <w:rPr>
          <w:sz w:val="18"/>
          <w:szCs w:val="18"/>
        </w:rPr>
        <w:t xml:space="preserve"> 2001, “Perpetuation of Poverty Through ‘Public Charge,’”</w:t>
      </w:r>
      <w:r>
        <w:rPr>
          <w:sz w:val="18"/>
          <w:szCs w:val="18"/>
        </w:rPr>
        <w:t xml:space="preserve"> Conclusion,</w:t>
      </w:r>
      <w:r w:rsidRPr="001D4EEE">
        <w:rPr>
          <w:sz w:val="18"/>
          <w:szCs w:val="18"/>
        </w:rPr>
        <w:t xml:space="preserve"> Denver University Law Review)</w:t>
      </w:r>
      <w:r>
        <w:rPr>
          <w:sz w:val="18"/>
          <w:szCs w:val="18"/>
        </w:rPr>
        <w:t>//jy</w:t>
      </w:r>
    </w:p>
    <w:p w:rsidR="001F30DE" w:rsidRPr="002858AB" w:rsidRDefault="001F30DE" w:rsidP="001F30DE">
      <w:pPr>
        <w:rPr>
          <w:sz w:val="14"/>
        </w:rPr>
      </w:pPr>
      <w:r w:rsidRPr="002858AB">
        <w:rPr>
          <w:sz w:val="14"/>
        </w:rPr>
        <w:t xml:space="preserve">CONCLUSION </w:t>
      </w:r>
      <w:r w:rsidRPr="007C6609">
        <w:rPr>
          <w:u w:val="single"/>
        </w:rPr>
        <w:t>The emergence of these highly nationalistic and ethnocentric policies signifies a society that is opposed to a sizable foreign-born population in their midst</w:t>
      </w:r>
      <w:proofErr w:type="gramStart"/>
      <w:r w:rsidRPr="007C6609">
        <w:rPr>
          <w:u w:val="single"/>
        </w:rPr>
        <w:t>.</w:t>
      </w:r>
      <w:r w:rsidRPr="002858AB">
        <w:rPr>
          <w:sz w:val="14"/>
        </w:rPr>
        <w:t>(</w:t>
      </w:r>
      <w:proofErr w:type="gramEnd"/>
      <w:r w:rsidRPr="002858AB">
        <w:rPr>
          <w:sz w:val="14"/>
        </w:rPr>
        <w:t xml:space="preserve">FN52) The continued "browning" of America is certainly evident in the recent numbers provided by the U.S. Census Bureau. From July 1, 1990, to July 1, 1999, the nation's Asian and Pacific Islander population grew 43% and the Latino (or Hispanic, as defined by the Census Bureau) population grew </w:t>
      </w:r>
      <w:proofErr w:type="gramStart"/>
      <w:r w:rsidRPr="002858AB">
        <w:rPr>
          <w:sz w:val="14"/>
        </w:rPr>
        <w:t>38.8%</w:t>
      </w:r>
      <w:proofErr w:type="gramEnd"/>
      <w:r w:rsidRPr="002858AB">
        <w:rPr>
          <w:sz w:val="14"/>
        </w:rPr>
        <w:t xml:space="preserve">.(FN53) </w:t>
      </w:r>
      <w:r w:rsidRPr="007C6609">
        <w:rPr>
          <w:u w:val="single"/>
        </w:rPr>
        <w:t>These policies and associated programs particularly target immigrant women who are pregnant or of child-bearing age. This was evident in the profile of individuals targeted for Medi-Cal fraud investigations at the Port of Entry Detection program.</w:t>
      </w:r>
      <w:r w:rsidRPr="002858AB">
        <w:rPr>
          <w:sz w:val="14"/>
        </w:rPr>
        <w:t xml:space="preserve"> The federal INS and state DHS agencies collaborated in devising a method to slow down the rate of population increase among Latinos and Asians. </w:t>
      </w:r>
      <w:r w:rsidRPr="007C6609">
        <w:rPr>
          <w:u w:val="single"/>
        </w:rPr>
        <w:t>By targeting immigrant women with children, it appears that they attempted to interrupt the flow of immigration as well as the likelihood of more childbirth by immigrant women.</w:t>
      </w:r>
      <w:r w:rsidRPr="002858AB">
        <w:rPr>
          <w:sz w:val="14"/>
        </w:rPr>
        <w:t xml:space="preserve"> However, recent </w:t>
      </w:r>
      <w:r w:rsidRPr="007C6609">
        <w:rPr>
          <w:u w:val="single"/>
        </w:rPr>
        <w:t>immigration numbers show that these policies have not worked</w:t>
      </w:r>
      <w:r w:rsidRPr="002858AB">
        <w:rPr>
          <w:sz w:val="14"/>
        </w:rPr>
        <w:t xml:space="preserve"> as intended</w:t>
      </w:r>
      <w:proofErr w:type="gramStart"/>
      <w:r w:rsidRPr="002858AB">
        <w:rPr>
          <w:sz w:val="14"/>
        </w:rPr>
        <w:t>.(</w:t>
      </w:r>
      <w:proofErr w:type="gramEnd"/>
      <w:r w:rsidRPr="002858AB">
        <w:rPr>
          <w:sz w:val="14"/>
        </w:rPr>
        <w:t xml:space="preserve">FN54) Sassen writes: Recent reforms in immigration law, ostensibly designed to rationalize immigration policy, have not only failed to slow immigration but threatens to do harm both to our own society and to the immigrants themselves.... </w:t>
      </w:r>
      <w:r w:rsidRPr="007C6609">
        <w:rPr>
          <w:u w:val="single"/>
        </w:rPr>
        <w:t>The combination of such sanctions and a regularization program that excludes a large number of undocumented workers will contribute to the formation of an immigrant underclass that is legally as well as economically disadvantaged</w:t>
      </w:r>
      <w:proofErr w:type="gramStart"/>
      <w:r w:rsidRPr="002858AB">
        <w:rPr>
          <w:sz w:val="14"/>
        </w:rPr>
        <w:t>.(</w:t>
      </w:r>
      <w:proofErr w:type="gramEnd"/>
      <w:r w:rsidRPr="002858AB">
        <w:rPr>
          <w:sz w:val="14"/>
        </w:rPr>
        <w:t xml:space="preserve">FN55) </w:t>
      </w:r>
      <w:r w:rsidRPr="007C6609">
        <w:rPr>
          <w:u w:val="single"/>
        </w:rPr>
        <w:t>These programs perpetuate the cycle of poverty among low-income immigrant women. By criminalizing access to health care, immigrant women are reluctant to receive prenatal care that may alleviate potentially costly future health problems. Low-income immigrant families' already tenuous financial situation becomes more stressed as they seek other means to recover a public benefit for which they are ineligible</w:t>
      </w:r>
      <w:r w:rsidRPr="002858AB">
        <w:rPr>
          <w:sz w:val="14"/>
        </w:rPr>
        <w:t xml:space="preserve">. The recent welfare reform measure sends a clear message against the use of public benefits in the United States. </w:t>
      </w:r>
      <w:r w:rsidRPr="007C6609">
        <w:rPr>
          <w:u w:val="single"/>
        </w:rPr>
        <w:t>Those who argue for stricter immigration laws view the use of public benefits as an indication of declining "quality" of immigrants admitted</w:t>
      </w:r>
      <w:proofErr w:type="gramStart"/>
      <w:r w:rsidRPr="002858AB">
        <w:rPr>
          <w:sz w:val="14"/>
        </w:rPr>
        <w:t>.(</w:t>
      </w:r>
      <w:proofErr w:type="gramEnd"/>
      <w:r w:rsidRPr="002858AB">
        <w:rPr>
          <w:sz w:val="14"/>
        </w:rPr>
        <w:t xml:space="preserve">FN56) It is apparent that immigrants are well aware of this anti-immigrant message. </w:t>
      </w:r>
      <w:r w:rsidRPr="007C6609">
        <w:rPr>
          <w:u w:val="single"/>
        </w:rPr>
        <w:t>It is apparent that, within contemporary social welfare discourse, welfare dependence and not poverty or unemployment is viewed as the social ill that is the appropriate target for state action</w:t>
      </w:r>
      <w:r w:rsidRPr="002858AB">
        <w:rPr>
          <w:sz w:val="14"/>
        </w:rPr>
        <w:t>.(FN57) The threat of public charge, or the potential dependence on welfare benefits, has made it clear that immigrant women are undeserving and unwanted.</w:t>
      </w:r>
    </w:p>
    <w:p w:rsidR="001F30DE" w:rsidRPr="001F30DE" w:rsidRDefault="001F30DE" w:rsidP="001F30DE"/>
    <w:p w:rsidR="00AD6806" w:rsidRDefault="00AD6806" w:rsidP="00495F48">
      <w:pPr>
        <w:pStyle w:val="Heading2"/>
      </w:pPr>
      <w:r>
        <w:t>Econ Scenario</w:t>
      </w:r>
    </w:p>
    <w:p w:rsidR="000213B7" w:rsidRDefault="000213B7" w:rsidP="000213B7">
      <w:pPr>
        <w:pStyle w:val="Heading3"/>
      </w:pPr>
      <w:r>
        <w:t>“Chilling Effect”</w:t>
      </w:r>
    </w:p>
    <w:p w:rsidR="001931F4" w:rsidRPr="00F933AF" w:rsidRDefault="001931F4" w:rsidP="001931F4">
      <w:pPr>
        <w:pStyle w:val="Heading4"/>
        <w:rPr>
          <w:rFonts w:cs="Calibri"/>
        </w:rPr>
      </w:pPr>
      <w:r w:rsidRPr="00F933AF">
        <w:rPr>
          <w:rFonts w:cs="Calibri"/>
        </w:rPr>
        <w:t>Public charge destroys trust between immigrants and their health care providers, deterring them from using benefits despite having legal access</w:t>
      </w:r>
    </w:p>
    <w:p w:rsidR="001931F4" w:rsidRPr="00F933AF" w:rsidRDefault="001931F4" w:rsidP="001931F4">
      <w:pPr>
        <w:rPr>
          <w:rFonts w:cs="Calibri"/>
        </w:rPr>
      </w:pPr>
      <w:r w:rsidRPr="00F933AF">
        <w:rPr>
          <w:rFonts w:cs="Calibri"/>
          <w:b/>
        </w:rPr>
        <w:t xml:space="preserve">Park 10 </w:t>
      </w:r>
      <w:r w:rsidRPr="00F933AF">
        <w:rPr>
          <w:rFonts w:cs="Calibri"/>
          <w:sz w:val="18"/>
          <w:szCs w:val="18"/>
        </w:rPr>
        <w:t>(Lisa Sun-Hee Park, “Challenging Public Charge Policy: Coalitional Immigrant Community Strategies, “Project Muse, Journal of Asian American Studies, Volume 13, Number 3, pg. 381-382, October 2010)//jy</w:t>
      </w:r>
    </w:p>
    <w:p w:rsidR="001931F4" w:rsidRPr="001931F4" w:rsidRDefault="001931F4" w:rsidP="001931F4">
      <w:pPr>
        <w:rPr>
          <w:rFonts w:cs="Calibri"/>
          <w:sz w:val="14"/>
        </w:rPr>
      </w:pPr>
      <w:r w:rsidRPr="00F933AF">
        <w:rPr>
          <w:rFonts w:cs="Calibri"/>
          <w:sz w:val="14"/>
        </w:rPr>
        <w:t xml:space="preserve">As important as clarification is from a policy standpoint, it did not resolve all public charge issues nor did it increase an overall sense of free- </w:t>
      </w:r>
      <w:proofErr w:type="gramStart"/>
      <w:r w:rsidRPr="00F933AF">
        <w:rPr>
          <w:rFonts w:cs="Calibri"/>
          <w:sz w:val="14"/>
        </w:rPr>
        <w:t>dom</w:t>
      </w:r>
      <w:proofErr w:type="gramEnd"/>
      <w:r w:rsidRPr="00F933AF">
        <w:rPr>
          <w:rFonts w:cs="Calibri"/>
          <w:sz w:val="14"/>
        </w:rPr>
        <w:t xml:space="preserve"> or security for Asian and Latino/a immigrant families. One advocate recalled her disappointment from “just peeling off one layer of issues [to find] that there were other issues that remained.” Perhaps </w:t>
      </w:r>
      <w:r w:rsidRPr="00F933AF">
        <w:rPr>
          <w:rFonts w:cs="Calibri"/>
          <w:u w:val="single"/>
        </w:rPr>
        <w:t>the biggest source of continued confusion for immigrant families is that public charge law still exists, just in more prescribed terms. Pressing questions remain, including what kinds of benefits recipients are obligated to repay, and what, if any, avenues of appeal or legal waivers are possible</w:t>
      </w:r>
      <w:r w:rsidRPr="00F933AF">
        <w:rPr>
          <w:rFonts w:cs="Calibri"/>
          <w:sz w:val="14"/>
        </w:rPr>
        <w:t xml:space="preserve">. However, a policy analyst cautioned against rushing into a situation that would make things worse for those for whom they are advocating. Peeling back all layers of a policy at once may not be the best strategy. The analyst explained, “The policy that was passed in 1996 is so horrible that quite frankly we don’t know what a clarification would look like and whether or not the government would come out with something that again would scare people away from accessing things they’re entitled to.” </w:t>
      </w:r>
      <w:r w:rsidRPr="00F933AF">
        <w:rPr>
          <w:rFonts w:cs="Calibri"/>
          <w:u w:val="single"/>
        </w:rPr>
        <w:t>Perhaps one of the most profound lessons learned from this policy clarification effort is how difficult it is to regain the trust of immigrant communities once it is broken.</w:t>
      </w:r>
      <w:r w:rsidRPr="00F933AF">
        <w:rPr>
          <w:rFonts w:cs="Calibri"/>
          <w:sz w:val="14"/>
        </w:rPr>
        <w:t xml:space="preserve"> Many public health workers, community clinics, and safety-net hospitals in California have worked diligently for years to ensure that they achieve their mandate of serving the health care needs of their communities. Given the high concentration of foreign-born populations in California, Asian and Latino/</w:t>
      </w:r>
      <w:proofErr w:type="gramStart"/>
      <w:r w:rsidRPr="00F933AF">
        <w:rPr>
          <w:rFonts w:cs="Calibri"/>
          <w:sz w:val="14"/>
        </w:rPr>
        <w:t>a</w:t>
      </w:r>
      <w:proofErr w:type="gramEnd"/>
      <w:r w:rsidRPr="00F933AF">
        <w:rPr>
          <w:rFonts w:cs="Calibri"/>
          <w:sz w:val="14"/>
        </w:rPr>
        <w:t xml:space="preserve"> immigrants comprise a sig- nificant portion of potential constituents for many health care providers. In addition, many safety-net health care providers depend upon Medi-Cal reimbursements for caring for low-income residents. This has meant that many health care facilities have worked very hard to reach out to these communities and develop bonds of trust. </w:t>
      </w:r>
      <w:r w:rsidRPr="00F933AF">
        <w:rPr>
          <w:rFonts w:cs="Calibri"/>
          <w:u w:val="single"/>
        </w:rPr>
        <w:t>The public charge test deeply debilitated this trust between immigrants and their health care providers. Since immigrants were initially told that it was safe to use publicly funded health care, the public charge scare led to questioning the reliability of the doctor’s reassurance and raised the possibility that prenatal care was another “trap” for immigrants</w:t>
      </w:r>
      <w:r w:rsidRPr="00F933AF">
        <w:rPr>
          <w:rFonts w:cs="Calibri"/>
          <w:sz w:val="14"/>
        </w:rPr>
        <w:t xml:space="preserve">. One advocate said, “The main lesson is 382 • JAAS • 13:3 that </w:t>
      </w:r>
      <w:r w:rsidRPr="00F933AF">
        <w:rPr>
          <w:rFonts w:cs="Calibri"/>
          <w:u w:val="single"/>
        </w:rPr>
        <w:t>once you destroy the community’s trust, people are not going to give it back to you easily. You have to work to get it back.</w:t>
      </w:r>
      <w:r w:rsidRPr="00F933AF">
        <w:rPr>
          <w:rFonts w:cs="Calibri"/>
          <w:sz w:val="14"/>
        </w:rPr>
        <w:t xml:space="preserve"> You misinformed them in the past. People aren’t stupid.” </w:t>
      </w:r>
      <w:r w:rsidRPr="00F933AF">
        <w:rPr>
          <w:rFonts w:cs="Calibri"/>
          <w:u w:val="single"/>
        </w:rPr>
        <w:t>Trust is a hard-earned sentiment given the level of reticence and the fear of accessing public benefits experienced by immigrants. Given the political climate of growing nativism, many immigrants report endur- ing a sense of siege and would rather avoid undue scrutiny</w:t>
      </w:r>
      <w:r w:rsidRPr="00F933AF">
        <w:rPr>
          <w:rFonts w:cs="Calibri"/>
          <w:sz w:val="14"/>
        </w:rPr>
        <w:t xml:space="preserve">. Those areas reporting a strong sense of trust despite these fears are in places where the community feels in touch with known clinic staff who have specialized, local knowledge and policy expertise. However, even these clinics found themselves in a very difficult situation trying to retain a meaningful level of trust with their immigrant patients. A policy analyst working with a strong immigrant collaborative on issues of welfare and health care de- scribed a community event to disseminate news regarding the clarification of public charge: The day after the clarification, some of our L.A. partners pulled together a press conference to announce the public charge clarification as a way to get a word in the community that it’s no longer a problem. </w:t>
      </w:r>
      <w:r w:rsidRPr="00F933AF">
        <w:rPr>
          <w:rFonts w:cs="Calibri"/>
          <w:u w:val="single"/>
        </w:rPr>
        <w:t>People should feel safe to access benefits</w:t>
      </w:r>
      <w:r w:rsidRPr="00F933AF">
        <w:rPr>
          <w:rFonts w:cs="Calibri"/>
          <w:sz w:val="14"/>
        </w:rPr>
        <w:t xml:space="preserve">. They invited a woman community member who herself had been in the position of not enrolling her kids or herself in any health care programs because she thought it would be an issue. They talked to her several times beforehand and invited her to speak. She was great. She really spoke to the impact the policy had had prior to the clarification. The funny thing is, afterwards, some of our folks said, “Thanks for speaking at the press conference. Are you going to enroll in health programs now?” She said, “No, no way.” </w:t>
      </w:r>
      <w:r w:rsidRPr="00F933AF">
        <w:rPr>
          <w:rFonts w:cs="Calibri"/>
          <w:u w:val="single"/>
        </w:rPr>
        <w:t>While the community member intellectually understood the importance of health insurance and encouraged others to access Medi-Cal, the fear of future punitive governmental action kept her away. Dissemination of public policy change in this political environment poses a formidable challenge</w:t>
      </w:r>
      <w:r w:rsidRPr="00F933AF">
        <w:rPr>
          <w:rFonts w:cs="Calibri"/>
          <w:sz w:val="14"/>
        </w:rPr>
        <w:t>. Adding to this challenge is the state of California’s refusal to disseminate news of this legal clarification. In our interviews with key informants a year after clarification, many immigrant health advocates and health care providers had no idea this had even happened.</w:t>
      </w:r>
    </w:p>
    <w:p w:rsidR="000213B7" w:rsidRPr="00F933AF" w:rsidRDefault="000213B7" w:rsidP="000213B7">
      <w:pPr>
        <w:pStyle w:val="Heading4"/>
        <w:rPr>
          <w:rFonts w:cs="Calibri"/>
        </w:rPr>
      </w:pPr>
      <w:r w:rsidRPr="00F933AF">
        <w:rPr>
          <w:rFonts w:cs="Calibri"/>
        </w:rPr>
        <w:t>Trump’s imminent expansion of public charge inadmissibility and deportability causes to immigrant and child fear, discrimination and poverty- impacts disease spread and economic collapse</w:t>
      </w:r>
    </w:p>
    <w:p w:rsidR="000213B7" w:rsidRPr="00F933AF" w:rsidRDefault="000213B7" w:rsidP="000213B7">
      <w:pPr>
        <w:rPr>
          <w:rFonts w:cs="Calibri"/>
        </w:rPr>
      </w:pPr>
      <w:r w:rsidRPr="00F933AF">
        <w:rPr>
          <w:rStyle w:val="Style13ptBold"/>
          <w:rFonts w:cs="Calibri"/>
        </w:rPr>
        <w:t>Kearney et al. 18</w:t>
      </w:r>
      <w:r w:rsidRPr="00F933AF">
        <w:rPr>
          <w:rFonts w:cs="Calibri"/>
        </w:rPr>
        <w:t xml:space="preserve"> (Gavin Kearney, former director of the Environmental Justice Program at New York Lawyers for the Public Interest, former Director of Research and Programs at the Institute on Race &amp; Poverty at the University of Minnesota Law School, Madison Hardee, Senior Policy Analyst for</w:t>
      </w:r>
      <w:r w:rsidRPr="00F933AF">
        <w:rPr>
          <w:rFonts w:cs="Calibri"/>
        </w:rPr>
        <w:br/>
        <w:t>Center for Law and Social Policy, Gabrielle Lessard, senior policy attorney at the National Immigration law Center, Sonya Schwartz, Research Fellow at the Georgetown University McCourt School of Public Policy’s Center for Children and Families, former director at the National Academy for State Health Policy, May 2018, “The Trump Administration’s Next Attack on Immigrant Families”, Sargent Shriver National Center on Poverty Law, http://povertylaw.org/files/docs/article/ClearinghouseCommunity_Kearney.pdf)/CWB</w:t>
      </w:r>
    </w:p>
    <w:p w:rsidR="000213B7" w:rsidRPr="00F933AF" w:rsidRDefault="000213B7" w:rsidP="000213B7">
      <w:pPr>
        <w:rPr>
          <w:rStyle w:val="StyleUnderline"/>
          <w:rFonts w:cs="Calibri"/>
        </w:rPr>
      </w:pPr>
      <w:r w:rsidRPr="00F933AF">
        <w:rPr>
          <w:rStyle w:val="StyleUnderline"/>
          <w:rFonts w:cs="Calibri"/>
        </w:rPr>
        <w:t xml:space="preserve">Any day now the Trump administration is expected to issue draft regulations that would further its attacks on immigrant families and people living in poverty. These regulations would jeopardize the status of millions of immigrants who use—or whose children use—health, housing, nutrition, and other key services and supports. It would do this </w:t>
      </w:r>
      <w:r w:rsidRPr="00F933AF">
        <w:rPr>
          <w:rStyle w:val="Emphasis"/>
          <w:rFonts w:cs="Calibri"/>
        </w:rPr>
        <w:t>by radically altering the way in which federal officials evaluate whether certain immigrants are</w:t>
      </w:r>
      <w:r w:rsidRPr="00F933AF">
        <w:rPr>
          <w:rStyle w:val="StyleUnderline"/>
          <w:rFonts w:cs="Calibri"/>
        </w:rPr>
        <w:t>—or are likely to become—</w:t>
      </w:r>
      <w:r w:rsidRPr="00F933AF">
        <w:rPr>
          <w:rStyle w:val="Emphasis"/>
          <w:rFonts w:cs="Calibri"/>
        </w:rPr>
        <w:t>a “public charge</w:t>
      </w:r>
      <w:r w:rsidRPr="00F933AF">
        <w:rPr>
          <w:rStyle w:val="StyleUnderline"/>
          <w:rFonts w:cs="Calibri"/>
        </w:rPr>
        <w:t xml:space="preserve">.” The mere threat of these rules, which have been leaked to several national news publications, has already contributed to the </w:t>
      </w:r>
      <w:r w:rsidRPr="00F933AF">
        <w:rPr>
          <w:rStyle w:val="Emphasis"/>
          <w:rFonts w:cs="Calibri"/>
        </w:rPr>
        <w:t>climate of fear and stress</w:t>
      </w:r>
      <w:r w:rsidRPr="00F933AF">
        <w:rPr>
          <w:rStyle w:val="StyleUnderline"/>
          <w:rFonts w:cs="Calibri"/>
        </w:rPr>
        <w:t xml:space="preserve"> faced by immigrant communities today</w:t>
      </w:r>
      <w:r w:rsidRPr="00F933AF">
        <w:rPr>
          <w:rFonts w:cs="Calibri"/>
          <w:sz w:val="16"/>
        </w:rPr>
        <w:t>.</w:t>
      </w:r>
      <w:bookmarkStart w:id="9" w:name="sdfootnote1anc"/>
      <w:r w:rsidRPr="00F933AF">
        <w:rPr>
          <w:rFonts w:cs="Calibri"/>
          <w:sz w:val="16"/>
        </w:rPr>
        <w:fldChar w:fldCharType="begin"/>
      </w:r>
      <w:r w:rsidRPr="00F933AF">
        <w:rPr>
          <w:rFonts w:cs="Calibri"/>
          <w:sz w:val="16"/>
        </w:rPr>
        <w:instrText xml:space="preserve"> HYPERLINK "http://povertylaw.org/clearinghouse/articles/pif" \l "sdfootnote1sym" </w:instrText>
      </w:r>
      <w:r w:rsidRPr="00F933AF">
        <w:rPr>
          <w:rFonts w:cs="Calibri"/>
          <w:sz w:val="16"/>
        </w:rPr>
        <w:fldChar w:fldCharType="separate"/>
      </w:r>
      <w:r w:rsidRPr="00F933AF">
        <w:rPr>
          <w:rStyle w:val="Hyperlink"/>
          <w:rFonts w:cs="Calibri"/>
          <w:sz w:val="16"/>
        </w:rPr>
        <w:t>1</w:t>
      </w:r>
      <w:r w:rsidRPr="00F933AF">
        <w:rPr>
          <w:rFonts w:cs="Calibri"/>
          <w:sz w:val="16"/>
        </w:rPr>
        <w:fldChar w:fldCharType="end"/>
      </w:r>
      <w:bookmarkEnd w:id="9"/>
      <w:r w:rsidRPr="00F933AF">
        <w:rPr>
          <w:rFonts w:cs="Calibri"/>
          <w:sz w:val="16"/>
        </w:rPr>
        <w:t xml:space="preserve"> Adoption of the rules by the Trump administration could make this anxiety much worse. Advocates throughout the country have joined together to create the Protecting Immigrant Families, Advancing Our Future Campaign to fight these impending draft rules. The campaign is co-led by the National Immigration Law Center and the Center for Law and Social Policy (CLASP). The Sargent Shriver National Center on Poverty Law is an active member. The Protecting Immigrant Families Campaign is working to oppose enactment of these rules through coordinated action on several fronts. To be successful, we need all hands on deck, and meaningful opportunities to contribute are available even for those with limited bandwidth. Here we describe public-charge provisions in current immigration law and the proposed changes, the impact they could have, and the opportunities for the advocacy community to advance this important fight. </w:t>
      </w:r>
      <w:r w:rsidRPr="00F933AF">
        <w:rPr>
          <w:rStyle w:val="StyleUnderline"/>
          <w:rFonts w:cs="Calibri"/>
        </w:rPr>
        <w:t xml:space="preserve">Xenophobic Attacks and Harm to Immigrant Communities and Children </w:t>
      </w:r>
      <w:proofErr w:type="gramStart"/>
      <w:r w:rsidRPr="00F933AF">
        <w:rPr>
          <w:rStyle w:val="StyleUnderline"/>
          <w:rFonts w:cs="Calibri"/>
        </w:rPr>
        <w:t>The</w:t>
      </w:r>
      <w:proofErr w:type="gramEnd"/>
      <w:r w:rsidRPr="00F933AF">
        <w:rPr>
          <w:rStyle w:val="StyleUnderline"/>
          <w:rFonts w:cs="Calibri"/>
        </w:rPr>
        <w:t xml:space="preserve"> public-charge proposal is yet one more action in a persistent attack on immigrant families. On the campaign trail and in the White House, Pres. Donald Trump has routinely expressed </w:t>
      </w:r>
      <w:r w:rsidRPr="00F933AF">
        <w:rPr>
          <w:rStyle w:val="Emphasis"/>
          <w:rFonts w:cs="Calibri"/>
        </w:rPr>
        <w:t>racist, xenophobic, and classist vitriol</w:t>
      </w:r>
      <w:r w:rsidRPr="00F933AF">
        <w:rPr>
          <w:rStyle w:val="StyleUnderline"/>
          <w:rFonts w:cs="Calibri"/>
        </w:rPr>
        <w:t>.</w:t>
      </w:r>
      <w:bookmarkStart w:id="10" w:name="sdfootnote2anc"/>
      <w:r w:rsidRPr="00F933AF">
        <w:rPr>
          <w:rStyle w:val="StyleUnderline"/>
          <w:rFonts w:cs="Calibri"/>
        </w:rPr>
        <w:fldChar w:fldCharType="begin"/>
      </w:r>
      <w:r w:rsidRPr="00F933AF">
        <w:rPr>
          <w:rStyle w:val="StyleUnderline"/>
          <w:rFonts w:cs="Calibri"/>
        </w:rPr>
        <w:instrText xml:space="preserve"> HYPERLINK "http://povertylaw.org/clearinghouse/articles/pif" \l "sdfootnote2sym" </w:instrText>
      </w:r>
      <w:r w:rsidRPr="00F933AF">
        <w:rPr>
          <w:rStyle w:val="StyleUnderline"/>
          <w:rFonts w:cs="Calibri"/>
        </w:rPr>
        <w:fldChar w:fldCharType="separate"/>
      </w:r>
      <w:r w:rsidRPr="00F933AF">
        <w:rPr>
          <w:rStyle w:val="StyleUnderline"/>
          <w:rFonts w:cs="Calibri"/>
        </w:rPr>
        <w:t>2</w:t>
      </w:r>
      <w:r w:rsidRPr="00F933AF">
        <w:rPr>
          <w:rStyle w:val="StyleUnderline"/>
          <w:rFonts w:cs="Calibri"/>
        </w:rPr>
        <w:fldChar w:fldCharType="end"/>
      </w:r>
      <w:bookmarkEnd w:id="10"/>
      <w:r w:rsidRPr="00F933AF">
        <w:rPr>
          <w:rStyle w:val="StyleUnderline"/>
          <w:rFonts w:cs="Calibri"/>
        </w:rPr>
        <w:t xml:space="preserve"> He and his administration have backed up this rhetoric with repeated efforts to harm immigrant communities and people living in </w:t>
      </w:r>
      <w:r w:rsidRPr="00F933AF">
        <w:rPr>
          <w:rStyle w:val="Emphasis"/>
          <w:rFonts w:cs="Calibri"/>
        </w:rPr>
        <w:t>poverty.</w:t>
      </w:r>
      <w:r w:rsidRPr="00F933AF">
        <w:rPr>
          <w:rFonts w:cs="Calibri"/>
          <w:sz w:val="16"/>
        </w:rPr>
        <w:t xml:space="preserve"> In the 15 months since he took office, President Trump has tried to ban immigrants from Muslim countries and terminate the Deferred Action for Childhood Arrivals program.</w:t>
      </w:r>
      <w:bookmarkStart w:id="11" w:name="sdfootnote3anc"/>
      <w:r w:rsidRPr="00F933AF">
        <w:rPr>
          <w:rFonts w:cs="Calibri"/>
          <w:sz w:val="16"/>
        </w:rPr>
        <w:fldChar w:fldCharType="begin"/>
      </w:r>
      <w:r w:rsidRPr="00F933AF">
        <w:rPr>
          <w:rFonts w:cs="Calibri"/>
          <w:sz w:val="16"/>
        </w:rPr>
        <w:instrText xml:space="preserve"> HYPERLINK "http://povertylaw.org/clearinghouse/articles/pif" \l "sdfootnote3sym" </w:instrText>
      </w:r>
      <w:r w:rsidRPr="00F933AF">
        <w:rPr>
          <w:rFonts w:cs="Calibri"/>
          <w:sz w:val="16"/>
        </w:rPr>
        <w:fldChar w:fldCharType="separate"/>
      </w:r>
      <w:r w:rsidRPr="00F933AF">
        <w:rPr>
          <w:rStyle w:val="Hyperlink"/>
          <w:rFonts w:cs="Calibri"/>
          <w:sz w:val="16"/>
        </w:rPr>
        <w:t>3</w:t>
      </w:r>
      <w:r w:rsidRPr="00F933AF">
        <w:rPr>
          <w:rFonts w:cs="Calibri"/>
          <w:sz w:val="16"/>
        </w:rPr>
        <w:fldChar w:fldCharType="end"/>
      </w:r>
      <w:bookmarkEnd w:id="11"/>
      <w:r w:rsidRPr="00F933AF">
        <w:rPr>
          <w:rFonts w:cs="Calibri"/>
          <w:sz w:val="16"/>
        </w:rPr>
        <w:t xml:space="preserve"> He has ended Temporary Protected Status for hundreds of thousands of immigrants and issued an executive order to expand immigration enforcement activities throughout the United States.</w:t>
      </w:r>
      <w:bookmarkStart w:id="12" w:name="sdfootnote4anc"/>
      <w:r w:rsidRPr="00F933AF">
        <w:rPr>
          <w:rFonts w:cs="Calibri"/>
          <w:sz w:val="16"/>
        </w:rPr>
        <w:fldChar w:fldCharType="begin"/>
      </w:r>
      <w:r w:rsidRPr="00F933AF">
        <w:rPr>
          <w:rFonts w:cs="Calibri"/>
          <w:sz w:val="16"/>
        </w:rPr>
        <w:instrText xml:space="preserve"> HYPERLINK "http://povertylaw.org/clearinghouse/articles/pif" \l "sdfootnote4sym" </w:instrText>
      </w:r>
      <w:r w:rsidRPr="00F933AF">
        <w:rPr>
          <w:rFonts w:cs="Calibri"/>
          <w:sz w:val="16"/>
        </w:rPr>
        <w:fldChar w:fldCharType="separate"/>
      </w:r>
      <w:r w:rsidRPr="00F933AF">
        <w:rPr>
          <w:rStyle w:val="Hyperlink"/>
          <w:rFonts w:cs="Calibri"/>
          <w:sz w:val="16"/>
        </w:rPr>
        <w:t>4</w:t>
      </w:r>
      <w:r w:rsidRPr="00F933AF">
        <w:rPr>
          <w:rFonts w:cs="Calibri"/>
          <w:sz w:val="16"/>
        </w:rPr>
        <w:fldChar w:fldCharType="end"/>
      </w:r>
      <w:bookmarkEnd w:id="12"/>
      <w:r w:rsidRPr="00F933AF">
        <w:rPr>
          <w:rFonts w:cs="Calibri"/>
          <w:sz w:val="16"/>
        </w:rPr>
        <w:t xml:space="preserve"> Some in Congress have joined in with other anti-immigrant efforts such as the RAISE Act, which would cut the number of green cards issued annually by 50 percent and cap the number of refugees for whom the United States offers safety from persecution.</w:t>
      </w:r>
      <w:bookmarkStart w:id="13" w:name="sdfootnote5anc"/>
      <w:r w:rsidRPr="00F933AF">
        <w:rPr>
          <w:rFonts w:cs="Calibri"/>
          <w:sz w:val="16"/>
        </w:rPr>
        <w:fldChar w:fldCharType="begin"/>
      </w:r>
      <w:r w:rsidRPr="00F933AF">
        <w:rPr>
          <w:rFonts w:cs="Calibri"/>
          <w:sz w:val="16"/>
        </w:rPr>
        <w:instrText xml:space="preserve"> HYPERLINK "http://povertylaw.org/clearinghouse/articles/pif" \l "sdfootnote5sym" </w:instrText>
      </w:r>
      <w:r w:rsidRPr="00F933AF">
        <w:rPr>
          <w:rFonts w:cs="Calibri"/>
          <w:sz w:val="16"/>
        </w:rPr>
        <w:fldChar w:fldCharType="separate"/>
      </w:r>
      <w:r w:rsidRPr="00F933AF">
        <w:rPr>
          <w:rStyle w:val="Hyperlink"/>
          <w:rFonts w:cs="Calibri"/>
          <w:sz w:val="16"/>
        </w:rPr>
        <w:t>5</w:t>
      </w:r>
      <w:r w:rsidRPr="00F933AF">
        <w:rPr>
          <w:rFonts w:cs="Calibri"/>
          <w:sz w:val="16"/>
        </w:rPr>
        <w:fldChar w:fldCharType="end"/>
      </w:r>
      <w:bookmarkEnd w:id="13"/>
      <w:r w:rsidRPr="00F933AF">
        <w:rPr>
          <w:rFonts w:cs="Calibri"/>
          <w:sz w:val="16"/>
        </w:rPr>
        <w:t xml:space="preserve"> </w:t>
      </w:r>
      <w:r w:rsidRPr="00F933AF">
        <w:rPr>
          <w:rStyle w:val="StyleUnderline"/>
          <w:rFonts w:cs="Calibri"/>
        </w:rPr>
        <w:t xml:space="preserve">The cumulative effect of this rhetoric, along with these threats and actions, has created a </w:t>
      </w:r>
      <w:r w:rsidRPr="00F933AF">
        <w:rPr>
          <w:rStyle w:val="Emphasis"/>
          <w:rFonts w:cs="Calibri"/>
        </w:rPr>
        <w:t>chilling effect</w:t>
      </w:r>
      <w:r w:rsidRPr="00F933AF">
        <w:rPr>
          <w:rStyle w:val="StyleUnderline"/>
          <w:rFonts w:cs="Calibri"/>
        </w:rPr>
        <w:t xml:space="preserve"> in immigrant communities. Families have withdrawn from their communities and avoid leaving home because of increased immigration enforcement and the fear of being taken away from their families.</w:t>
      </w:r>
      <w:bookmarkStart w:id="14" w:name="sdfootnote6anc"/>
      <w:r w:rsidRPr="00F933AF">
        <w:rPr>
          <w:rStyle w:val="StyleUnderline"/>
          <w:rFonts w:cs="Calibri"/>
        </w:rPr>
        <w:fldChar w:fldCharType="begin"/>
      </w:r>
      <w:r w:rsidRPr="00F933AF">
        <w:rPr>
          <w:rStyle w:val="StyleUnderline"/>
          <w:rFonts w:cs="Calibri"/>
        </w:rPr>
        <w:instrText xml:space="preserve"> HYPERLINK "http://povertylaw.org/clearinghouse/articles/pif" \l "sdfootnote6sym" </w:instrText>
      </w:r>
      <w:r w:rsidRPr="00F933AF">
        <w:rPr>
          <w:rStyle w:val="StyleUnderline"/>
          <w:rFonts w:cs="Calibri"/>
        </w:rPr>
        <w:fldChar w:fldCharType="separate"/>
      </w:r>
      <w:r w:rsidRPr="00F933AF">
        <w:rPr>
          <w:rStyle w:val="StyleUnderline"/>
          <w:rFonts w:cs="Calibri"/>
        </w:rPr>
        <w:t>6</w:t>
      </w:r>
      <w:r w:rsidRPr="00F933AF">
        <w:rPr>
          <w:rStyle w:val="StyleUnderline"/>
          <w:rFonts w:cs="Calibri"/>
        </w:rPr>
        <w:fldChar w:fldCharType="end"/>
      </w:r>
      <w:bookmarkEnd w:id="14"/>
      <w:r w:rsidRPr="00F933AF">
        <w:rPr>
          <w:rStyle w:val="StyleUnderline"/>
          <w:rFonts w:cs="Calibri"/>
        </w:rPr>
        <w:t xml:space="preserve"> They are choosing not to enroll themselves or their U.S.-citizen children in critical programs such as Medicaid or Special Supplemental Nutrition Program for Women, Infants, and Children (WIC) despite being eligible because they are afraid that enrollment will undermine their ability to remain in the United States.</w:t>
      </w:r>
      <w:bookmarkStart w:id="15" w:name="sdfootnote7anc"/>
      <w:r w:rsidRPr="00F933AF">
        <w:rPr>
          <w:rStyle w:val="StyleUnderline"/>
          <w:rFonts w:cs="Calibri"/>
        </w:rPr>
        <w:fldChar w:fldCharType="begin"/>
      </w:r>
      <w:r w:rsidRPr="00F933AF">
        <w:rPr>
          <w:rStyle w:val="StyleUnderline"/>
          <w:rFonts w:cs="Calibri"/>
        </w:rPr>
        <w:instrText xml:space="preserve"> HYPERLINK "http://povertylaw.org/clearinghouse/articles/pif" \l "sdfootnote7sym" </w:instrText>
      </w:r>
      <w:r w:rsidRPr="00F933AF">
        <w:rPr>
          <w:rStyle w:val="StyleUnderline"/>
          <w:rFonts w:cs="Calibri"/>
        </w:rPr>
        <w:fldChar w:fldCharType="separate"/>
      </w:r>
      <w:r w:rsidRPr="00F933AF">
        <w:rPr>
          <w:rStyle w:val="StyleUnderline"/>
          <w:rFonts w:cs="Calibri"/>
        </w:rPr>
        <w:t>7</w:t>
      </w:r>
      <w:r w:rsidRPr="00F933AF">
        <w:rPr>
          <w:rStyle w:val="StyleUnderline"/>
          <w:rFonts w:cs="Calibri"/>
        </w:rPr>
        <w:fldChar w:fldCharType="end"/>
      </w:r>
      <w:bookmarkEnd w:id="15"/>
      <w:r w:rsidRPr="00F933AF">
        <w:rPr>
          <w:rStyle w:val="StyleUnderline"/>
          <w:rFonts w:cs="Calibri"/>
        </w:rPr>
        <w:t xml:space="preserve"> Immigrant parents have likewise been removing their children from child care and early education programs.</w:t>
      </w:r>
      <w:bookmarkStart w:id="16" w:name="sdfootnote8anc"/>
      <w:r w:rsidRPr="00F933AF">
        <w:rPr>
          <w:rStyle w:val="StyleUnderline"/>
          <w:rFonts w:cs="Calibri"/>
        </w:rPr>
        <w:fldChar w:fldCharType="begin"/>
      </w:r>
      <w:r w:rsidRPr="00F933AF">
        <w:rPr>
          <w:rStyle w:val="StyleUnderline"/>
          <w:rFonts w:cs="Calibri"/>
        </w:rPr>
        <w:instrText xml:space="preserve"> HYPERLINK "http://povertylaw.org/clearinghouse/articles/pif" \l "sdfootnote8sym" </w:instrText>
      </w:r>
      <w:r w:rsidRPr="00F933AF">
        <w:rPr>
          <w:rStyle w:val="StyleUnderline"/>
          <w:rFonts w:cs="Calibri"/>
        </w:rPr>
        <w:fldChar w:fldCharType="separate"/>
      </w:r>
      <w:r w:rsidRPr="00F933AF">
        <w:rPr>
          <w:rStyle w:val="StyleUnderline"/>
          <w:rFonts w:cs="Calibri"/>
        </w:rPr>
        <w:t>8</w:t>
      </w:r>
      <w:r w:rsidRPr="00F933AF">
        <w:rPr>
          <w:rStyle w:val="StyleUnderline"/>
          <w:rFonts w:cs="Calibri"/>
        </w:rPr>
        <w:fldChar w:fldCharType="end"/>
      </w:r>
      <w:bookmarkEnd w:id="16"/>
      <w:r w:rsidRPr="00F933AF">
        <w:rPr>
          <w:rStyle w:val="StyleUnderline"/>
          <w:rFonts w:cs="Calibri"/>
        </w:rPr>
        <w:t xml:space="preserve"> And families who choose to remain in early childhood programs are increasingly reluctant to accept referrals to other important services such as health and developmental screenings, vision screenings, and immunization services.</w:t>
      </w:r>
      <w:bookmarkStart w:id="17" w:name="sdfootnote9anc"/>
      <w:r w:rsidRPr="00F933AF">
        <w:rPr>
          <w:rStyle w:val="StyleUnderline"/>
          <w:rFonts w:cs="Calibri"/>
        </w:rPr>
        <w:fldChar w:fldCharType="begin"/>
      </w:r>
      <w:r w:rsidRPr="00F933AF">
        <w:rPr>
          <w:rStyle w:val="StyleUnderline"/>
          <w:rFonts w:cs="Calibri"/>
        </w:rPr>
        <w:instrText xml:space="preserve"> HYPERLINK "http://povertylaw.org/clearinghouse/articles/pif" \l "sdfootnote9sym" </w:instrText>
      </w:r>
      <w:r w:rsidRPr="00F933AF">
        <w:rPr>
          <w:rStyle w:val="StyleUnderline"/>
          <w:rFonts w:cs="Calibri"/>
        </w:rPr>
        <w:fldChar w:fldCharType="separate"/>
      </w:r>
      <w:r w:rsidRPr="00F933AF">
        <w:rPr>
          <w:rStyle w:val="StyleUnderline"/>
          <w:rFonts w:cs="Calibri"/>
        </w:rPr>
        <w:t>9</w:t>
      </w:r>
      <w:r w:rsidRPr="00F933AF">
        <w:rPr>
          <w:rStyle w:val="StyleUnderline"/>
          <w:rFonts w:cs="Calibri"/>
        </w:rPr>
        <w:fldChar w:fldCharType="end"/>
      </w:r>
      <w:bookmarkEnd w:id="17"/>
      <w:r w:rsidRPr="00F933AF">
        <w:rPr>
          <w:rStyle w:val="StyleUnderline"/>
          <w:rFonts w:cs="Calibri"/>
        </w:rPr>
        <w:t xml:space="preserve"> The public-charge proposal is yet one more action in a persistent attack on immigrant families. Immigrant attacks are affecting the well-being of children in immigrant families.</w:t>
      </w:r>
      <w:bookmarkStart w:id="18" w:name="sdfootnote10anc"/>
      <w:r w:rsidRPr="00F933AF">
        <w:rPr>
          <w:rFonts w:cs="Calibri"/>
          <w:sz w:val="16"/>
        </w:rPr>
        <w:fldChar w:fldCharType="begin"/>
      </w:r>
      <w:r w:rsidRPr="00F933AF">
        <w:rPr>
          <w:rFonts w:cs="Calibri"/>
          <w:sz w:val="16"/>
        </w:rPr>
        <w:instrText xml:space="preserve"> HYPERLINK "http://povertylaw.org/clearinghouse/articles/pif" \l "sdfootnote10sym" </w:instrText>
      </w:r>
      <w:r w:rsidRPr="00F933AF">
        <w:rPr>
          <w:rFonts w:cs="Calibri"/>
          <w:sz w:val="16"/>
        </w:rPr>
        <w:fldChar w:fldCharType="separate"/>
      </w:r>
      <w:r w:rsidRPr="00F933AF">
        <w:rPr>
          <w:rStyle w:val="Hyperlink"/>
          <w:rFonts w:cs="Calibri"/>
          <w:sz w:val="16"/>
        </w:rPr>
        <w:t>10</w:t>
      </w:r>
      <w:r w:rsidRPr="00F933AF">
        <w:rPr>
          <w:rFonts w:cs="Calibri"/>
          <w:sz w:val="16"/>
        </w:rPr>
        <w:fldChar w:fldCharType="end"/>
      </w:r>
      <w:bookmarkEnd w:id="18"/>
      <w:r w:rsidRPr="00F933AF">
        <w:rPr>
          <w:rFonts w:cs="Calibri"/>
          <w:sz w:val="16"/>
        </w:rPr>
        <w:t xml:space="preserve">Through interviews and focus groups with more than </w:t>
      </w:r>
      <w:r w:rsidRPr="00F933AF">
        <w:rPr>
          <w:rStyle w:val="StyleUnderline"/>
          <w:rFonts w:cs="Calibri"/>
        </w:rPr>
        <w:t>150 early-childhood educators</w:t>
      </w:r>
      <w:r w:rsidRPr="00F933AF">
        <w:rPr>
          <w:rFonts w:cs="Calibri"/>
          <w:sz w:val="16"/>
        </w:rPr>
        <w:t xml:space="preserve"> and parents in six states throughout the United States, CLASP </w:t>
      </w:r>
      <w:r w:rsidRPr="00F933AF">
        <w:rPr>
          <w:rStyle w:val="StyleUnderline"/>
          <w:rFonts w:cs="Calibri"/>
        </w:rPr>
        <w:t>found that children as young as 3 years were worried that their parents would be taken away.</w:t>
      </w:r>
      <w:bookmarkStart w:id="19" w:name="sdfootnote11anc"/>
      <w:r w:rsidRPr="00F933AF">
        <w:rPr>
          <w:rStyle w:val="StyleUnderline"/>
          <w:rFonts w:cs="Calibri"/>
        </w:rPr>
        <w:fldChar w:fldCharType="begin"/>
      </w:r>
      <w:r w:rsidRPr="00F933AF">
        <w:rPr>
          <w:rStyle w:val="StyleUnderline"/>
          <w:rFonts w:cs="Calibri"/>
        </w:rPr>
        <w:instrText xml:space="preserve"> HYPERLINK "http://povertylaw.org/clearinghouse/articles/pif" \l "sdfootnote11sym" </w:instrText>
      </w:r>
      <w:r w:rsidRPr="00F933AF">
        <w:rPr>
          <w:rStyle w:val="StyleUnderline"/>
          <w:rFonts w:cs="Calibri"/>
        </w:rPr>
        <w:fldChar w:fldCharType="separate"/>
      </w:r>
      <w:r w:rsidRPr="00F933AF">
        <w:rPr>
          <w:rStyle w:val="StyleUnderline"/>
          <w:rFonts w:cs="Calibri"/>
        </w:rPr>
        <w:t>11</w:t>
      </w:r>
      <w:r w:rsidRPr="00F933AF">
        <w:rPr>
          <w:rStyle w:val="StyleUnderline"/>
          <w:rFonts w:cs="Calibri"/>
        </w:rPr>
        <w:fldChar w:fldCharType="end"/>
      </w:r>
      <w:bookmarkEnd w:id="19"/>
      <w:r w:rsidRPr="00F933AF">
        <w:rPr>
          <w:rStyle w:val="StyleUnderline"/>
          <w:rFonts w:cs="Calibri"/>
        </w:rPr>
        <w:t xml:space="preserve"> It also found negative behavioral effects on young children manifesting in increased aggression, separation anxiety, and withdrawal.</w:t>
      </w:r>
      <w:bookmarkStart w:id="20" w:name="sdfootnote12anc"/>
      <w:r w:rsidRPr="00F933AF">
        <w:rPr>
          <w:rFonts w:cs="Calibri"/>
          <w:sz w:val="16"/>
        </w:rPr>
        <w:fldChar w:fldCharType="begin"/>
      </w:r>
      <w:r w:rsidRPr="00F933AF">
        <w:rPr>
          <w:rFonts w:cs="Calibri"/>
          <w:sz w:val="16"/>
        </w:rPr>
        <w:instrText xml:space="preserve"> HYPERLINK "http://povertylaw.org/clearinghouse/articles/pif" \l "sdfootnote12sym" </w:instrText>
      </w:r>
      <w:r w:rsidRPr="00F933AF">
        <w:rPr>
          <w:rFonts w:cs="Calibri"/>
          <w:sz w:val="16"/>
        </w:rPr>
        <w:fldChar w:fldCharType="separate"/>
      </w:r>
      <w:r w:rsidRPr="00F933AF">
        <w:rPr>
          <w:rStyle w:val="Hyperlink"/>
          <w:rFonts w:cs="Calibri"/>
          <w:sz w:val="16"/>
        </w:rPr>
        <w:t>12</w:t>
      </w:r>
      <w:r w:rsidRPr="00F933AF">
        <w:rPr>
          <w:rFonts w:cs="Calibri"/>
          <w:sz w:val="16"/>
        </w:rPr>
        <w:fldChar w:fldCharType="end"/>
      </w:r>
      <w:bookmarkEnd w:id="20"/>
      <w:r w:rsidRPr="00F933AF">
        <w:rPr>
          <w:rFonts w:cs="Calibri"/>
          <w:sz w:val="16"/>
        </w:rPr>
        <w:t xml:space="preserve"> One preschool director described a 5-year-old child with such severe anxiety that he was biting his fingertips until they bled.</w:t>
      </w:r>
      <w:bookmarkStart w:id="21" w:name="sdfootnote13anc"/>
      <w:r w:rsidRPr="00F933AF">
        <w:rPr>
          <w:rFonts w:cs="Calibri"/>
          <w:sz w:val="16"/>
        </w:rPr>
        <w:fldChar w:fldCharType="begin"/>
      </w:r>
      <w:r w:rsidRPr="00F933AF">
        <w:rPr>
          <w:rFonts w:cs="Calibri"/>
          <w:sz w:val="16"/>
        </w:rPr>
        <w:instrText xml:space="preserve"> HYPERLINK "http://povertylaw.org/clearinghouse/articles/pif" \l "sdfootnote13sym" </w:instrText>
      </w:r>
      <w:r w:rsidRPr="00F933AF">
        <w:rPr>
          <w:rFonts w:cs="Calibri"/>
          <w:sz w:val="16"/>
        </w:rPr>
        <w:fldChar w:fldCharType="separate"/>
      </w:r>
      <w:r w:rsidRPr="00F933AF">
        <w:rPr>
          <w:rStyle w:val="Hyperlink"/>
          <w:rFonts w:cs="Calibri"/>
          <w:sz w:val="16"/>
        </w:rPr>
        <w:t>13</w:t>
      </w:r>
      <w:r w:rsidRPr="00F933AF">
        <w:rPr>
          <w:rFonts w:cs="Calibri"/>
          <w:sz w:val="16"/>
        </w:rPr>
        <w:fldChar w:fldCharType="end"/>
      </w:r>
      <w:bookmarkEnd w:id="21"/>
      <w:r w:rsidRPr="00F933AF">
        <w:rPr>
          <w:rFonts w:cs="Calibri"/>
          <w:sz w:val="16"/>
        </w:rPr>
        <w:t xml:space="preserve"> Providers also reported increased instability in the children’s lives as parents changed jobs and housing at increasing rates.</w:t>
      </w:r>
      <w:bookmarkStart w:id="22" w:name="sdfootnote14anc"/>
      <w:r w:rsidRPr="00F933AF">
        <w:rPr>
          <w:rFonts w:cs="Calibri"/>
          <w:sz w:val="16"/>
        </w:rPr>
        <w:fldChar w:fldCharType="begin"/>
      </w:r>
      <w:r w:rsidRPr="00F933AF">
        <w:rPr>
          <w:rFonts w:cs="Calibri"/>
          <w:sz w:val="16"/>
        </w:rPr>
        <w:instrText xml:space="preserve"> HYPERLINK "http://povertylaw.org/clearinghouse/articles/pif" \l "sdfootnote14sym" </w:instrText>
      </w:r>
      <w:r w:rsidRPr="00F933AF">
        <w:rPr>
          <w:rFonts w:cs="Calibri"/>
          <w:sz w:val="16"/>
        </w:rPr>
        <w:fldChar w:fldCharType="separate"/>
      </w:r>
      <w:r w:rsidRPr="00F933AF">
        <w:rPr>
          <w:rStyle w:val="Hyperlink"/>
          <w:rFonts w:cs="Calibri"/>
          <w:sz w:val="16"/>
        </w:rPr>
        <w:t>14</w:t>
      </w:r>
      <w:r w:rsidRPr="00F933AF">
        <w:rPr>
          <w:rFonts w:cs="Calibri"/>
          <w:sz w:val="16"/>
        </w:rPr>
        <w:fldChar w:fldCharType="end"/>
      </w:r>
      <w:bookmarkEnd w:id="22"/>
      <w:r w:rsidRPr="00F933AF">
        <w:rPr>
          <w:rFonts w:cs="Calibri"/>
          <w:sz w:val="16"/>
        </w:rPr>
        <w:t xml:space="preserve"> </w:t>
      </w:r>
      <w:r w:rsidRPr="00F933AF">
        <w:rPr>
          <w:rStyle w:val="StyleUnderline"/>
          <w:rFonts w:cs="Calibri"/>
        </w:rPr>
        <w:t>Immigrant families, including those with lawful status, are expe</w:t>
      </w:r>
      <w:r w:rsidRPr="00F933AF">
        <w:rPr>
          <w:rStyle w:val="Emphasis"/>
          <w:rFonts w:cs="Calibri"/>
        </w:rPr>
        <w:t>riencing high levels of fear and uncertainty, and racism and discrimination,</w:t>
      </w:r>
      <w:r w:rsidRPr="00F933AF">
        <w:rPr>
          <w:rStyle w:val="StyleUnderline"/>
          <w:rFonts w:cs="Calibri"/>
        </w:rPr>
        <w:t xml:space="preserve"> including bullying of children, have significantly increased since the 2016 election, the Kaiser Family Foundation found.</w:t>
      </w:r>
      <w:bookmarkStart w:id="23" w:name="sdfootnote15anc"/>
      <w:r w:rsidRPr="00F933AF">
        <w:rPr>
          <w:rStyle w:val="StyleUnderline"/>
          <w:rFonts w:cs="Calibri"/>
        </w:rPr>
        <w:fldChar w:fldCharType="begin"/>
      </w:r>
      <w:r w:rsidRPr="00F933AF">
        <w:rPr>
          <w:rStyle w:val="StyleUnderline"/>
          <w:rFonts w:cs="Calibri"/>
        </w:rPr>
        <w:instrText xml:space="preserve"> HYPERLINK "http://povertylaw.org/clearinghouse/articles/pif" \l "sdfootnote15sym" </w:instrText>
      </w:r>
      <w:r w:rsidRPr="00F933AF">
        <w:rPr>
          <w:rStyle w:val="StyleUnderline"/>
          <w:rFonts w:cs="Calibri"/>
        </w:rPr>
        <w:fldChar w:fldCharType="separate"/>
      </w:r>
      <w:r w:rsidRPr="00F933AF">
        <w:rPr>
          <w:rStyle w:val="StyleUnderline"/>
          <w:rFonts w:cs="Calibri"/>
        </w:rPr>
        <w:t>15</w:t>
      </w:r>
      <w:r w:rsidRPr="00F933AF">
        <w:rPr>
          <w:rStyle w:val="StyleUnderline"/>
          <w:rFonts w:cs="Calibri"/>
        </w:rPr>
        <w:fldChar w:fldCharType="end"/>
      </w:r>
      <w:bookmarkEnd w:id="23"/>
      <w:r w:rsidRPr="00F933AF">
        <w:rPr>
          <w:rStyle w:val="StyleUnderline"/>
          <w:rFonts w:cs="Calibri"/>
        </w:rPr>
        <w:t xml:space="preserve"> Parents reported children having problems sleeping and eating and mental health problems such as </w:t>
      </w:r>
      <w:r w:rsidRPr="00F933AF">
        <w:rPr>
          <w:rStyle w:val="Emphasis"/>
          <w:rFonts w:cs="Calibri"/>
        </w:rPr>
        <w:t>depression and anxiety</w:t>
      </w:r>
      <w:r w:rsidRPr="00F933AF">
        <w:rPr>
          <w:rStyle w:val="StyleUnderline"/>
          <w:rFonts w:cs="Calibri"/>
        </w:rPr>
        <w:t xml:space="preserve"> that negatively affected their performance in school and will have </w:t>
      </w:r>
      <w:r w:rsidRPr="00F933AF">
        <w:rPr>
          <w:rStyle w:val="Emphasis"/>
          <w:rFonts w:cs="Calibri"/>
        </w:rPr>
        <w:t>lifelong consequences</w:t>
      </w:r>
      <w:r w:rsidRPr="00F933AF">
        <w:rPr>
          <w:rFonts w:cs="Calibri"/>
          <w:sz w:val="16"/>
        </w:rPr>
        <w:t>.</w:t>
      </w:r>
      <w:bookmarkStart w:id="24" w:name="sdfootnote16anc"/>
      <w:r w:rsidRPr="00F933AF">
        <w:rPr>
          <w:rFonts w:cs="Calibri"/>
          <w:sz w:val="16"/>
        </w:rPr>
        <w:fldChar w:fldCharType="begin"/>
      </w:r>
      <w:r w:rsidRPr="00F933AF">
        <w:rPr>
          <w:rFonts w:cs="Calibri"/>
          <w:sz w:val="16"/>
        </w:rPr>
        <w:instrText xml:space="preserve"> HYPERLINK "http://povertylaw.org/clearinghouse/articles/pif" \l "sdfootnote16sym" </w:instrText>
      </w:r>
      <w:r w:rsidRPr="00F933AF">
        <w:rPr>
          <w:rFonts w:cs="Calibri"/>
          <w:sz w:val="16"/>
        </w:rPr>
        <w:fldChar w:fldCharType="separate"/>
      </w:r>
      <w:r w:rsidRPr="00F933AF">
        <w:rPr>
          <w:rStyle w:val="Hyperlink"/>
          <w:rFonts w:cs="Calibri"/>
          <w:sz w:val="16"/>
        </w:rPr>
        <w:t>16</w:t>
      </w:r>
      <w:r w:rsidRPr="00F933AF">
        <w:rPr>
          <w:rFonts w:cs="Calibri"/>
          <w:sz w:val="16"/>
        </w:rPr>
        <w:fldChar w:fldCharType="end"/>
      </w:r>
      <w:bookmarkEnd w:id="24"/>
      <w:r w:rsidRPr="00F933AF">
        <w:rPr>
          <w:rFonts w:cs="Calibri"/>
          <w:sz w:val="16"/>
        </w:rPr>
        <w:t xml:space="preserve"> These trends will cause significant and permanent harm to children, families, and communities. Ample research establishes that family instability, stress, and anxiety have negative long-term consequences for children.</w:t>
      </w:r>
      <w:bookmarkStart w:id="25" w:name="sdfootnote17anc"/>
      <w:r w:rsidRPr="00F933AF">
        <w:rPr>
          <w:rFonts w:cs="Calibri"/>
          <w:sz w:val="16"/>
        </w:rPr>
        <w:fldChar w:fldCharType="begin"/>
      </w:r>
      <w:r w:rsidRPr="00F933AF">
        <w:rPr>
          <w:rFonts w:cs="Calibri"/>
          <w:sz w:val="16"/>
        </w:rPr>
        <w:instrText xml:space="preserve"> HYPERLINK "http://povertylaw.org/clearinghouse/articles/pif" \l "sdfootnote17sym" </w:instrText>
      </w:r>
      <w:r w:rsidRPr="00F933AF">
        <w:rPr>
          <w:rFonts w:cs="Calibri"/>
          <w:sz w:val="16"/>
        </w:rPr>
        <w:fldChar w:fldCharType="separate"/>
      </w:r>
      <w:r w:rsidRPr="00F933AF">
        <w:rPr>
          <w:rStyle w:val="Hyperlink"/>
          <w:rFonts w:cs="Calibri"/>
          <w:sz w:val="16"/>
        </w:rPr>
        <w:t>17</w:t>
      </w:r>
      <w:r w:rsidRPr="00F933AF">
        <w:rPr>
          <w:rFonts w:cs="Calibri"/>
          <w:sz w:val="16"/>
        </w:rPr>
        <w:fldChar w:fldCharType="end"/>
      </w:r>
      <w:bookmarkEnd w:id="25"/>
      <w:r w:rsidRPr="00F933AF">
        <w:rPr>
          <w:rFonts w:cs="Calibri"/>
          <w:sz w:val="16"/>
        </w:rPr>
        <w:t xml:space="preserve"> </w:t>
      </w:r>
      <w:r w:rsidRPr="00F933AF">
        <w:rPr>
          <w:rStyle w:val="StyleUnderline"/>
          <w:rFonts w:cs="Calibri"/>
        </w:rPr>
        <w:t>These consequences are exacerbated by parents’ increasing reluctance to avail themselves and their children of important services that could mitigate some of these harms. The scale of this problem is vast—more than one-in-four children in the United States live in a family with at least one foreign-born member (94 percent of these children are U.S. citizens).</w:t>
      </w:r>
      <w:bookmarkStart w:id="26" w:name="sdfootnote18anc"/>
      <w:r w:rsidRPr="00F933AF">
        <w:rPr>
          <w:rStyle w:val="StyleUnderline"/>
          <w:rFonts w:cs="Calibri"/>
        </w:rPr>
        <w:fldChar w:fldCharType="begin"/>
      </w:r>
      <w:r w:rsidRPr="00F933AF">
        <w:rPr>
          <w:rStyle w:val="StyleUnderline"/>
          <w:rFonts w:cs="Calibri"/>
        </w:rPr>
        <w:instrText xml:space="preserve"> HYPERLINK "http://povertylaw.org/clearinghouse/articles/pif" \l "sdfootnote18sym" </w:instrText>
      </w:r>
      <w:r w:rsidRPr="00F933AF">
        <w:rPr>
          <w:rStyle w:val="StyleUnderline"/>
          <w:rFonts w:cs="Calibri"/>
        </w:rPr>
        <w:fldChar w:fldCharType="separate"/>
      </w:r>
      <w:r w:rsidRPr="00F933AF">
        <w:rPr>
          <w:rStyle w:val="StyleUnderline"/>
          <w:rFonts w:cs="Calibri"/>
        </w:rPr>
        <w:t>18</w:t>
      </w:r>
      <w:r w:rsidRPr="00F933AF">
        <w:rPr>
          <w:rStyle w:val="StyleUnderline"/>
          <w:rFonts w:cs="Calibri"/>
        </w:rPr>
        <w:fldChar w:fldCharType="end"/>
      </w:r>
      <w:bookmarkEnd w:id="26"/>
      <w:r w:rsidRPr="00F933AF">
        <w:rPr>
          <w:rStyle w:val="StyleUnderline"/>
          <w:rFonts w:cs="Calibri"/>
        </w:rPr>
        <w:t xml:space="preserve"> Children in immigrant families do not live in isolation. They live and grow up in communities where their individual success is </w:t>
      </w:r>
      <w:r w:rsidRPr="00F933AF">
        <w:rPr>
          <w:rStyle w:val="Emphasis"/>
          <w:rFonts w:cs="Calibri"/>
        </w:rPr>
        <w:t>critical to the strength of the country’s future workforce and collective economic security</w:t>
      </w:r>
      <w:r w:rsidRPr="00F933AF">
        <w:rPr>
          <w:rStyle w:val="StyleUnderline"/>
          <w:rFonts w:cs="Calibri"/>
        </w:rPr>
        <w:t xml:space="preserve">. The </w:t>
      </w:r>
      <w:r w:rsidRPr="00F933AF">
        <w:rPr>
          <w:rStyle w:val="Emphasis"/>
          <w:rFonts w:cs="Calibri"/>
        </w:rPr>
        <w:t>ripple effects</w:t>
      </w:r>
      <w:r w:rsidRPr="00F933AF">
        <w:rPr>
          <w:rStyle w:val="StyleUnderline"/>
          <w:rFonts w:cs="Calibri"/>
        </w:rPr>
        <w:t xml:space="preserve"> of our current anti-immigrant rhetoric and policies will be </w:t>
      </w:r>
      <w:r w:rsidRPr="00F933AF">
        <w:rPr>
          <w:rStyle w:val="Emphasis"/>
          <w:rFonts w:cs="Calibri"/>
        </w:rPr>
        <w:t>felt broadly and long-term</w:t>
      </w:r>
      <w:r w:rsidRPr="00F933AF">
        <w:rPr>
          <w:rStyle w:val="StyleUnderline"/>
          <w:rFonts w:cs="Calibri"/>
        </w:rPr>
        <w:t>.</w:t>
      </w:r>
      <w:r w:rsidRPr="00F933AF">
        <w:rPr>
          <w:rFonts w:cs="Calibri"/>
          <w:sz w:val="16"/>
        </w:rPr>
        <w:t xml:space="preserve"> Public Charge Under Current Law The concept of “public charge” first appeared in U.S. immigration law in the Immigration Act of 1882, which prohibited any immigrant “unable to take care of himself or herself without becoming a public charge” from being admitted to the United States.</w:t>
      </w:r>
      <w:bookmarkStart w:id="27" w:name="sdfootnote19anc"/>
      <w:r w:rsidRPr="00F933AF">
        <w:rPr>
          <w:rFonts w:cs="Calibri"/>
          <w:sz w:val="16"/>
        </w:rPr>
        <w:fldChar w:fldCharType="begin"/>
      </w:r>
      <w:r w:rsidRPr="00F933AF">
        <w:rPr>
          <w:rFonts w:cs="Calibri"/>
          <w:sz w:val="16"/>
        </w:rPr>
        <w:instrText xml:space="preserve"> HYPERLINK "http://povertylaw.org/clearinghouse/articles/pif" \l "sdfootnote19sym" </w:instrText>
      </w:r>
      <w:r w:rsidRPr="00F933AF">
        <w:rPr>
          <w:rFonts w:cs="Calibri"/>
          <w:sz w:val="16"/>
        </w:rPr>
        <w:fldChar w:fldCharType="separate"/>
      </w:r>
      <w:r w:rsidRPr="00F933AF">
        <w:rPr>
          <w:rStyle w:val="Hyperlink"/>
          <w:rFonts w:cs="Calibri"/>
          <w:sz w:val="16"/>
        </w:rPr>
        <w:t>19</w:t>
      </w:r>
      <w:r w:rsidRPr="00F933AF">
        <w:rPr>
          <w:rFonts w:cs="Calibri"/>
          <w:sz w:val="16"/>
        </w:rPr>
        <w:fldChar w:fldCharType="end"/>
      </w:r>
      <w:bookmarkEnd w:id="27"/>
      <w:r w:rsidRPr="00F933AF">
        <w:rPr>
          <w:rFonts w:cs="Calibri"/>
          <w:sz w:val="16"/>
        </w:rPr>
        <w:t xml:space="preserve"> Since 1903, the Immigration and Nationality Act has included public-charge considerations in two contexts: (1) whether immigrants seeking entry to the United States or seeking legal permanent residency are at risk of becoming a public charge and thus deemed inadmissible and (2) whether immigrants who have been admitted to the United States have become a public charge within five years of entry. The Act does not define “public charge,” but in each context a public-charge analysis has developed through case law and agency guidance. Note that a number of immigrants are not subject to any public-charge analysis. This includes humanitarian immigrants such as refugees; asylees; survivors of domestic violence, trafficking, and certain other categories of crimes; certain individuals paroled into the United States; and certain other categories of noncitizens. Neither are permanent residents (i.e., green card holders) subject to a public-charge determination when they apply for citizenship.</w:t>
      </w:r>
      <w:bookmarkStart w:id="28" w:name="sdfootnote20anc"/>
      <w:r w:rsidRPr="00F933AF">
        <w:rPr>
          <w:rFonts w:cs="Calibri"/>
          <w:sz w:val="16"/>
        </w:rPr>
        <w:fldChar w:fldCharType="begin"/>
      </w:r>
      <w:r w:rsidRPr="00F933AF">
        <w:rPr>
          <w:rFonts w:cs="Calibri"/>
          <w:sz w:val="16"/>
        </w:rPr>
        <w:instrText xml:space="preserve"> HYPERLINK "http://povertylaw.org/clearinghouse/articles/pif" \l "sdfootnote20sym" </w:instrText>
      </w:r>
      <w:r w:rsidRPr="00F933AF">
        <w:rPr>
          <w:rFonts w:cs="Calibri"/>
          <w:sz w:val="16"/>
        </w:rPr>
        <w:fldChar w:fldCharType="separate"/>
      </w:r>
      <w:r w:rsidRPr="00F933AF">
        <w:rPr>
          <w:rStyle w:val="Hyperlink"/>
          <w:rFonts w:cs="Calibri"/>
          <w:sz w:val="16"/>
        </w:rPr>
        <w:t>20</w:t>
      </w:r>
      <w:r w:rsidRPr="00F933AF">
        <w:rPr>
          <w:rFonts w:cs="Calibri"/>
          <w:sz w:val="16"/>
        </w:rPr>
        <w:fldChar w:fldCharType="end"/>
      </w:r>
      <w:bookmarkEnd w:id="28"/>
      <w:r w:rsidRPr="00F933AF">
        <w:rPr>
          <w:rFonts w:cs="Calibri"/>
          <w:sz w:val="16"/>
        </w:rPr>
        <w:t xml:space="preserve"> Current Public-Charge Grounds for Inadmissibility Section 212 of the Immigration and Nationality Act states that “[a]ny alien who … is likely at any time to become a public charge is inadmissible.”</w:t>
      </w:r>
      <w:bookmarkStart w:id="29" w:name="sdfootnote21anc"/>
      <w:r w:rsidRPr="00F933AF">
        <w:rPr>
          <w:rFonts w:cs="Calibri"/>
          <w:sz w:val="16"/>
        </w:rPr>
        <w:fldChar w:fldCharType="begin"/>
      </w:r>
      <w:r w:rsidRPr="00F933AF">
        <w:rPr>
          <w:rFonts w:cs="Calibri"/>
          <w:sz w:val="16"/>
        </w:rPr>
        <w:instrText xml:space="preserve"> HYPERLINK "http://povertylaw.org/clearinghouse/articles/pif" \l "sdfootnote21sym" </w:instrText>
      </w:r>
      <w:r w:rsidRPr="00F933AF">
        <w:rPr>
          <w:rFonts w:cs="Calibri"/>
          <w:sz w:val="16"/>
        </w:rPr>
        <w:fldChar w:fldCharType="separate"/>
      </w:r>
      <w:r w:rsidRPr="00F933AF">
        <w:rPr>
          <w:rStyle w:val="Hyperlink"/>
          <w:rFonts w:cs="Calibri"/>
          <w:sz w:val="16"/>
        </w:rPr>
        <w:t>21</w:t>
      </w:r>
      <w:r w:rsidRPr="00F933AF">
        <w:rPr>
          <w:rFonts w:cs="Calibri"/>
          <w:sz w:val="16"/>
        </w:rPr>
        <w:fldChar w:fldCharType="end"/>
      </w:r>
      <w:bookmarkEnd w:id="29"/>
      <w:r w:rsidRPr="00F933AF">
        <w:rPr>
          <w:rFonts w:cs="Calibri"/>
          <w:sz w:val="16"/>
        </w:rPr>
        <w:t xml:space="preserve"> This provision applies to intended immigrants seeking visas at consulates and ports of entry and to immigrants within the United States seeking to become legal permanent residents. </w:t>
      </w:r>
      <w:r w:rsidRPr="00F933AF">
        <w:rPr>
          <w:rStyle w:val="StyleUnderline"/>
          <w:rFonts w:cs="Calibri"/>
        </w:rPr>
        <w:t>When evaluating whether an individual is likely to become a public charge, immigration officials must consider certain factors: age; health; family status; assets, resources, and financial status; and education and skills</w:t>
      </w:r>
      <w:r w:rsidRPr="00F933AF">
        <w:rPr>
          <w:rFonts w:cs="Calibri"/>
          <w:sz w:val="16"/>
        </w:rPr>
        <w:t>.</w:t>
      </w:r>
      <w:bookmarkStart w:id="30" w:name="sdfootnote22anc"/>
      <w:r w:rsidRPr="00F933AF">
        <w:rPr>
          <w:rFonts w:cs="Calibri"/>
          <w:sz w:val="16"/>
        </w:rPr>
        <w:fldChar w:fldCharType="begin"/>
      </w:r>
      <w:r w:rsidRPr="00F933AF">
        <w:rPr>
          <w:rFonts w:cs="Calibri"/>
          <w:sz w:val="16"/>
        </w:rPr>
        <w:instrText xml:space="preserve"> HYPERLINK "http://povertylaw.org/clearinghouse/articles/pif" \l "sdfootnote22sym" </w:instrText>
      </w:r>
      <w:r w:rsidRPr="00F933AF">
        <w:rPr>
          <w:rFonts w:cs="Calibri"/>
          <w:sz w:val="16"/>
        </w:rPr>
        <w:fldChar w:fldCharType="separate"/>
      </w:r>
      <w:r w:rsidRPr="00F933AF">
        <w:rPr>
          <w:rStyle w:val="Hyperlink"/>
          <w:rFonts w:cs="Calibri"/>
          <w:sz w:val="16"/>
        </w:rPr>
        <w:t>22</w:t>
      </w:r>
      <w:r w:rsidRPr="00F933AF">
        <w:rPr>
          <w:rFonts w:cs="Calibri"/>
          <w:sz w:val="16"/>
        </w:rPr>
        <w:fldChar w:fldCharType="end"/>
      </w:r>
      <w:bookmarkEnd w:id="30"/>
      <w:r w:rsidRPr="00F933AF">
        <w:rPr>
          <w:rFonts w:cs="Calibri"/>
          <w:sz w:val="16"/>
        </w:rPr>
        <w:t xml:space="preserve"> Immigration officials are authorized to consider an affidavit of support submitted on behalf of an intended immigrant, and such an affidavit is required for family-based visas and certain employment-based visas. The U.S. Immigration and Naturalization Service proposed regulations in 1999 that would guide immigration officials considering public-charge questions.</w:t>
      </w:r>
      <w:bookmarkStart w:id="31" w:name="sdfootnote23anc"/>
      <w:r w:rsidRPr="00F933AF">
        <w:rPr>
          <w:rFonts w:cs="Calibri"/>
          <w:sz w:val="16"/>
        </w:rPr>
        <w:fldChar w:fldCharType="begin"/>
      </w:r>
      <w:r w:rsidRPr="00F933AF">
        <w:rPr>
          <w:rFonts w:cs="Calibri"/>
          <w:sz w:val="16"/>
        </w:rPr>
        <w:instrText xml:space="preserve"> HYPERLINK "http://povertylaw.org/clearinghouse/articles/pif" \l "sdfootnote23sym" </w:instrText>
      </w:r>
      <w:r w:rsidRPr="00F933AF">
        <w:rPr>
          <w:rFonts w:cs="Calibri"/>
          <w:sz w:val="16"/>
        </w:rPr>
        <w:fldChar w:fldCharType="separate"/>
      </w:r>
      <w:r w:rsidRPr="00F933AF">
        <w:rPr>
          <w:rStyle w:val="Hyperlink"/>
          <w:rFonts w:cs="Calibri"/>
          <w:sz w:val="16"/>
        </w:rPr>
        <w:t>23</w:t>
      </w:r>
      <w:r w:rsidRPr="00F933AF">
        <w:rPr>
          <w:rFonts w:cs="Calibri"/>
          <w:sz w:val="16"/>
        </w:rPr>
        <w:fldChar w:fldCharType="end"/>
      </w:r>
      <w:bookmarkEnd w:id="31"/>
      <w:r w:rsidRPr="00F933AF">
        <w:rPr>
          <w:rFonts w:cs="Calibri"/>
          <w:sz w:val="16"/>
        </w:rPr>
        <w:t xml:space="preserve"> </w:t>
      </w:r>
      <w:r w:rsidRPr="00F933AF">
        <w:rPr>
          <w:rStyle w:val="StyleUnderline"/>
          <w:rFonts w:cs="Calibri"/>
        </w:rPr>
        <w:t xml:space="preserve">Although these regulations were never adopted, field guidance was issued at the same time, and that guidance continues to be used by officials today. </w:t>
      </w:r>
      <w:r w:rsidRPr="00F933AF">
        <w:rPr>
          <w:rFonts w:cs="Calibri"/>
          <w:sz w:val="16"/>
        </w:rPr>
        <w:t>Under this guidance, an immigrant is considered a public charge if the immigrant is likely to “become primarily dependent on the government for subsistence, as demonstrated by either (i) the receipt of public cash assistance for income maintenance or (ii) institutionalization for long-term care at government expense [other than imprisonment for conviction of a crime].”</w:t>
      </w:r>
      <w:bookmarkStart w:id="32" w:name="sdfootnote24anc"/>
      <w:r w:rsidRPr="00F933AF">
        <w:rPr>
          <w:rFonts w:cs="Calibri"/>
          <w:sz w:val="16"/>
        </w:rPr>
        <w:fldChar w:fldCharType="begin"/>
      </w:r>
      <w:r w:rsidRPr="00F933AF">
        <w:rPr>
          <w:rFonts w:cs="Calibri"/>
          <w:sz w:val="16"/>
        </w:rPr>
        <w:instrText xml:space="preserve"> HYPERLINK "http://povertylaw.org/clearinghouse/articles/pif" \l "sdfootnote24sym" </w:instrText>
      </w:r>
      <w:r w:rsidRPr="00F933AF">
        <w:rPr>
          <w:rFonts w:cs="Calibri"/>
          <w:sz w:val="16"/>
        </w:rPr>
        <w:fldChar w:fldCharType="separate"/>
      </w:r>
      <w:r w:rsidRPr="00F933AF">
        <w:rPr>
          <w:rStyle w:val="Hyperlink"/>
          <w:rFonts w:cs="Calibri"/>
          <w:sz w:val="16"/>
        </w:rPr>
        <w:t>24</w:t>
      </w:r>
      <w:r w:rsidRPr="00F933AF">
        <w:rPr>
          <w:rFonts w:cs="Calibri"/>
          <w:sz w:val="16"/>
        </w:rPr>
        <w:fldChar w:fldCharType="end"/>
      </w:r>
      <w:bookmarkEnd w:id="32"/>
      <w:r w:rsidRPr="00F933AF">
        <w:rPr>
          <w:rFonts w:cs="Calibri"/>
          <w:sz w:val="16"/>
        </w:rPr>
        <w:t xml:space="preserve"> The guidance specifies the benefits that may be considered when making a public-charge determination: Supplemental Security Income (SSI), Temporary Assistance for Needy Families cash assistance, state and local cash-assistance programs, and long-term institutionalized care, paid for by government programs such as Medicaid.</w:t>
      </w:r>
      <w:bookmarkStart w:id="33" w:name="sdfootnote25anc"/>
      <w:r w:rsidRPr="00F933AF">
        <w:rPr>
          <w:rFonts w:cs="Calibri"/>
          <w:sz w:val="16"/>
        </w:rPr>
        <w:fldChar w:fldCharType="begin"/>
      </w:r>
      <w:r w:rsidRPr="00F933AF">
        <w:rPr>
          <w:rFonts w:cs="Calibri"/>
          <w:sz w:val="16"/>
        </w:rPr>
        <w:instrText xml:space="preserve"> HYPERLINK "http://povertylaw.org/clearinghouse/articles/pif" \l "sdfootnote25sym" </w:instrText>
      </w:r>
      <w:r w:rsidRPr="00F933AF">
        <w:rPr>
          <w:rFonts w:cs="Calibri"/>
          <w:sz w:val="16"/>
        </w:rPr>
        <w:fldChar w:fldCharType="separate"/>
      </w:r>
      <w:r w:rsidRPr="00F933AF">
        <w:rPr>
          <w:rStyle w:val="Hyperlink"/>
          <w:rFonts w:cs="Calibri"/>
          <w:sz w:val="16"/>
        </w:rPr>
        <w:t>25</w:t>
      </w:r>
      <w:r w:rsidRPr="00F933AF">
        <w:rPr>
          <w:rFonts w:cs="Calibri"/>
          <w:sz w:val="16"/>
        </w:rPr>
        <w:fldChar w:fldCharType="end"/>
      </w:r>
      <w:bookmarkEnd w:id="33"/>
      <w:r w:rsidRPr="00F933AF">
        <w:rPr>
          <w:rFonts w:cs="Calibri"/>
          <w:sz w:val="16"/>
        </w:rPr>
        <w:t xml:space="preserve"> The guidance clarifies that not all cash assistance—only assistance for basic income maintenance—is to be considered and that having received benefits is only one factor in a forward-looking analysis considering the “totality of circumstances” surrounding an application.</w:t>
      </w:r>
      <w:bookmarkStart w:id="34" w:name="sdfootnote26anc"/>
      <w:r w:rsidRPr="00F933AF">
        <w:rPr>
          <w:rFonts w:cs="Calibri"/>
          <w:sz w:val="16"/>
        </w:rPr>
        <w:fldChar w:fldCharType="begin"/>
      </w:r>
      <w:r w:rsidRPr="00F933AF">
        <w:rPr>
          <w:rFonts w:cs="Calibri"/>
          <w:sz w:val="16"/>
        </w:rPr>
        <w:instrText xml:space="preserve"> HYPERLINK "http://povertylaw.org/clearinghouse/articles/pif" \l "sdfootnote26sym" </w:instrText>
      </w:r>
      <w:r w:rsidRPr="00F933AF">
        <w:rPr>
          <w:rFonts w:cs="Calibri"/>
          <w:sz w:val="16"/>
        </w:rPr>
        <w:fldChar w:fldCharType="separate"/>
      </w:r>
      <w:r w:rsidRPr="00F933AF">
        <w:rPr>
          <w:rStyle w:val="Hyperlink"/>
          <w:rFonts w:cs="Calibri"/>
          <w:sz w:val="16"/>
        </w:rPr>
        <w:t>26</w:t>
      </w:r>
      <w:r w:rsidRPr="00F933AF">
        <w:rPr>
          <w:rFonts w:cs="Calibri"/>
          <w:sz w:val="16"/>
        </w:rPr>
        <w:fldChar w:fldCharType="end"/>
      </w:r>
      <w:bookmarkEnd w:id="34"/>
      <w:r w:rsidRPr="00F933AF">
        <w:rPr>
          <w:rFonts w:cs="Calibri"/>
          <w:sz w:val="16"/>
        </w:rPr>
        <w:t xml:space="preserve"> The guidance also specifies a number of benefits—including Medicaid and other health insurance programs, nutrition programs, child care services, housing benefits, educational assistance, and energy assistance—that “may not be considered for public charge purposes.”</w:t>
      </w:r>
      <w:bookmarkStart w:id="35" w:name="sdfootnote27anc"/>
      <w:r w:rsidRPr="00F933AF">
        <w:rPr>
          <w:rFonts w:cs="Calibri"/>
          <w:sz w:val="16"/>
        </w:rPr>
        <w:fldChar w:fldCharType="begin"/>
      </w:r>
      <w:r w:rsidRPr="00F933AF">
        <w:rPr>
          <w:rFonts w:cs="Calibri"/>
          <w:sz w:val="16"/>
        </w:rPr>
        <w:instrText xml:space="preserve"> HYPERLINK "http://povertylaw.org/clearinghouse/articles/pif" \l "sdfootnote27sym" </w:instrText>
      </w:r>
      <w:r w:rsidRPr="00F933AF">
        <w:rPr>
          <w:rFonts w:cs="Calibri"/>
          <w:sz w:val="16"/>
        </w:rPr>
        <w:fldChar w:fldCharType="separate"/>
      </w:r>
      <w:r w:rsidRPr="00F933AF">
        <w:rPr>
          <w:rStyle w:val="Hyperlink"/>
          <w:rFonts w:cs="Calibri"/>
          <w:sz w:val="16"/>
        </w:rPr>
        <w:t>27</w:t>
      </w:r>
      <w:r w:rsidRPr="00F933AF">
        <w:rPr>
          <w:rFonts w:cs="Calibri"/>
          <w:sz w:val="16"/>
        </w:rPr>
        <w:fldChar w:fldCharType="end"/>
      </w:r>
      <w:bookmarkEnd w:id="35"/>
      <w:r w:rsidRPr="00F933AF">
        <w:rPr>
          <w:rFonts w:cs="Calibri"/>
          <w:sz w:val="16"/>
        </w:rPr>
        <w:t xml:space="preserve"> According to the guidance, the limited focus on cash assistance is intended to reflect “broad public policy decisions about improving general public health and nutrition, promoting education, and assisting working-poor families in the process of becoming self-sufficient. Thus, participation in such non-cash programs is not evidence of poverty or dependence.”</w:t>
      </w:r>
      <w:bookmarkStart w:id="36" w:name="sdfootnote28anc"/>
      <w:r w:rsidRPr="00F933AF">
        <w:rPr>
          <w:rFonts w:cs="Calibri"/>
          <w:sz w:val="16"/>
        </w:rPr>
        <w:fldChar w:fldCharType="begin"/>
      </w:r>
      <w:r w:rsidRPr="00F933AF">
        <w:rPr>
          <w:rFonts w:cs="Calibri"/>
          <w:sz w:val="16"/>
        </w:rPr>
        <w:instrText xml:space="preserve"> HYPERLINK "http://povertylaw.org/clearinghouse/articles/pif" \l "sdfootnote28sym" </w:instrText>
      </w:r>
      <w:r w:rsidRPr="00F933AF">
        <w:rPr>
          <w:rFonts w:cs="Calibri"/>
          <w:sz w:val="16"/>
        </w:rPr>
        <w:fldChar w:fldCharType="separate"/>
      </w:r>
      <w:r w:rsidRPr="00F933AF">
        <w:rPr>
          <w:rStyle w:val="Hyperlink"/>
          <w:rFonts w:cs="Calibri"/>
          <w:sz w:val="16"/>
        </w:rPr>
        <w:t>28</w:t>
      </w:r>
      <w:r w:rsidRPr="00F933AF">
        <w:rPr>
          <w:rFonts w:cs="Calibri"/>
          <w:sz w:val="16"/>
        </w:rPr>
        <w:fldChar w:fldCharType="end"/>
      </w:r>
      <w:bookmarkEnd w:id="36"/>
      <w:r w:rsidRPr="00F933AF">
        <w:rPr>
          <w:rFonts w:cs="Calibri"/>
          <w:sz w:val="16"/>
        </w:rPr>
        <w:t xml:space="preserve"> The guidance also notes that a “healthy person in the prime of life cannot ordinarily be considered likely to become a public charge.”</w:t>
      </w:r>
      <w:bookmarkStart w:id="37" w:name="sdfootnote29anc"/>
      <w:r w:rsidRPr="00F933AF">
        <w:rPr>
          <w:rFonts w:cs="Calibri"/>
          <w:sz w:val="16"/>
        </w:rPr>
        <w:fldChar w:fldCharType="begin"/>
      </w:r>
      <w:r w:rsidRPr="00F933AF">
        <w:rPr>
          <w:rFonts w:cs="Calibri"/>
          <w:sz w:val="16"/>
        </w:rPr>
        <w:instrText xml:space="preserve"> HYPERLINK "http://povertylaw.org/clearinghouse/articles/pif" \l "sdfootnote29sym" </w:instrText>
      </w:r>
      <w:r w:rsidRPr="00F933AF">
        <w:rPr>
          <w:rFonts w:cs="Calibri"/>
          <w:sz w:val="16"/>
        </w:rPr>
        <w:fldChar w:fldCharType="separate"/>
      </w:r>
      <w:r w:rsidRPr="00F933AF">
        <w:rPr>
          <w:rStyle w:val="Hyperlink"/>
          <w:rFonts w:cs="Calibri"/>
          <w:sz w:val="16"/>
        </w:rPr>
        <w:t>29</w:t>
      </w:r>
      <w:r w:rsidRPr="00F933AF">
        <w:rPr>
          <w:rFonts w:cs="Calibri"/>
          <w:sz w:val="16"/>
        </w:rPr>
        <w:fldChar w:fldCharType="end"/>
      </w:r>
      <w:bookmarkEnd w:id="37"/>
      <w:r w:rsidRPr="00F933AF">
        <w:rPr>
          <w:rFonts w:cs="Calibri"/>
          <w:sz w:val="16"/>
        </w:rPr>
        <w:t xml:space="preserve"> Current Public-Charge Grounds for Deportability Section 237 of the Immigration and Nationality Act states that “[a]ny alien who, within five years after the date of entry, has become a public charge from causes not affirmatively shown to have arisen since entry is deportable.”</w:t>
      </w:r>
      <w:bookmarkStart w:id="38" w:name="sdfootnote30anc"/>
      <w:r w:rsidRPr="00F933AF">
        <w:rPr>
          <w:rFonts w:cs="Calibri"/>
          <w:sz w:val="16"/>
        </w:rPr>
        <w:fldChar w:fldCharType="begin"/>
      </w:r>
      <w:r w:rsidRPr="00F933AF">
        <w:rPr>
          <w:rFonts w:cs="Calibri"/>
          <w:sz w:val="16"/>
        </w:rPr>
        <w:instrText xml:space="preserve"> HYPERLINK "http://povertylaw.org/clearinghouse/articles/pif" \l "sdfootnote30sym" </w:instrText>
      </w:r>
      <w:r w:rsidRPr="00F933AF">
        <w:rPr>
          <w:rFonts w:cs="Calibri"/>
          <w:sz w:val="16"/>
        </w:rPr>
        <w:fldChar w:fldCharType="separate"/>
      </w:r>
      <w:r w:rsidRPr="00F933AF">
        <w:rPr>
          <w:rStyle w:val="Hyperlink"/>
          <w:rFonts w:cs="Calibri"/>
          <w:sz w:val="16"/>
        </w:rPr>
        <w:t>30</w:t>
      </w:r>
      <w:r w:rsidRPr="00F933AF">
        <w:rPr>
          <w:rFonts w:cs="Calibri"/>
          <w:sz w:val="16"/>
        </w:rPr>
        <w:fldChar w:fldCharType="end"/>
      </w:r>
      <w:bookmarkEnd w:id="38"/>
      <w:r w:rsidRPr="00F933AF">
        <w:rPr>
          <w:rFonts w:cs="Calibri"/>
          <w:sz w:val="16"/>
        </w:rPr>
        <w:t xml:space="preserve"> The 1999 field guidance uses the same definition of public charge for deportability as it does for admissibility, but it applies a much stricter analysis for determining whether an admitted immigrant has become a public charge and is thus deportable. Specifically an immigrant is deportable on public-charge grounds only if (1) the immigrant receives a benefit under a program that legally obligates the administering agency to seek reimbursement; (2) the agency makes a demand for repayment; and (3) the recipient refuses to make payment.</w:t>
      </w:r>
      <w:bookmarkStart w:id="39" w:name="sdfootnote31anc"/>
      <w:r w:rsidRPr="00F933AF">
        <w:rPr>
          <w:rFonts w:cs="Calibri"/>
          <w:sz w:val="16"/>
        </w:rPr>
        <w:fldChar w:fldCharType="begin"/>
      </w:r>
      <w:r w:rsidRPr="00F933AF">
        <w:rPr>
          <w:rFonts w:cs="Calibri"/>
          <w:sz w:val="16"/>
        </w:rPr>
        <w:instrText xml:space="preserve"> HYPERLINK "http://povertylaw.org/clearinghouse/articles/pif" \l "sdfootnote31sym" </w:instrText>
      </w:r>
      <w:r w:rsidRPr="00F933AF">
        <w:rPr>
          <w:rFonts w:cs="Calibri"/>
          <w:sz w:val="16"/>
        </w:rPr>
        <w:fldChar w:fldCharType="separate"/>
      </w:r>
      <w:r w:rsidRPr="00F933AF">
        <w:rPr>
          <w:rStyle w:val="Hyperlink"/>
          <w:rFonts w:cs="Calibri"/>
          <w:sz w:val="16"/>
        </w:rPr>
        <w:t>31</w:t>
      </w:r>
      <w:r w:rsidRPr="00F933AF">
        <w:rPr>
          <w:rFonts w:cs="Calibri"/>
          <w:sz w:val="16"/>
        </w:rPr>
        <w:fldChar w:fldCharType="end"/>
      </w:r>
      <w:bookmarkEnd w:id="39"/>
      <w:r w:rsidRPr="00F933AF">
        <w:rPr>
          <w:rFonts w:cs="Calibri"/>
          <w:sz w:val="16"/>
        </w:rPr>
        <w:t xml:space="preserve"> Moreover, the guidance states that the agency must take all available actions to collect payment, including obtaining and taking all necessary steps to enforce a final judgment in a court of law, before a public-charge determination can be made.</w:t>
      </w:r>
      <w:bookmarkStart w:id="40" w:name="sdfootnote32anc"/>
      <w:r w:rsidRPr="00F933AF">
        <w:rPr>
          <w:rFonts w:cs="Calibri"/>
          <w:sz w:val="16"/>
        </w:rPr>
        <w:fldChar w:fldCharType="begin"/>
      </w:r>
      <w:r w:rsidRPr="00F933AF">
        <w:rPr>
          <w:rFonts w:cs="Calibri"/>
          <w:sz w:val="16"/>
        </w:rPr>
        <w:instrText xml:space="preserve"> HYPERLINK "http://povertylaw.org/clearinghouse/articles/pif" \l "sdfootnote32sym" </w:instrText>
      </w:r>
      <w:r w:rsidRPr="00F933AF">
        <w:rPr>
          <w:rFonts w:cs="Calibri"/>
          <w:sz w:val="16"/>
        </w:rPr>
        <w:fldChar w:fldCharType="separate"/>
      </w:r>
      <w:r w:rsidRPr="00F933AF">
        <w:rPr>
          <w:rStyle w:val="Hyperlink"/>
          <w:rFonts w:cs="Calibri"/>
          <w:sz w:val="16"/>
        </w:rPr>
        <w:t>32</w:t>
      </w:r>
      <w:r w:rsidRPr="00F933AF">
        <w:rPr>
          <w:rFonts w:cs="Calibri"/>
          <w:sz w:val="16"/>
        </w:rPr>
        <w:fldChar w:fldCharType="end"/>
      </w:r>
      <w:bookmarkEnd w:id="40"/>
      <w:r w:rsidRPr="00F933AF">
        <w:rPr>
          <w:rFonts w:cs="Calibri"/>
          <w:sz w:val="16"/>
        </w:rPr>
        <w:t>Even where these circumstances are met, an immigrant still has the opportunity to demonstrate that the circumstances causing the immigrant to become a public charge arose after admission, and the guidance acknowledges that public-charge deportations are likely to be “rare.”</w:t>
      </w:r>
      <w:bookmarkStart w:id="41" w:name="sdfootnote33anc"/>
      <w:r w:rsidRPr="00F933AF">
        <w:rPr>
          <w:rFonts w:cs="Calibri"/>
          <w:sz w:val="16"/>
        </w:rPr>
        <w:fldChar w:fldCharType="begin"/>
      </w:r>
      <w:r w:rsidRPr="00F933AF">
        <w:rPr>
          <w:rFonts w:cs="Calibri"/>
          <w:sz w:val="16"/>
        </w:rPr>
        <w:instrText xml:space="preserve"> HYPERLINK "http://povertylaw.org/clearinghouse/articles/pif" \l "sdfootnote33sym" </w:instrText>
      </w:r>
      <w:r w:rsidRPr="00F933AF">
        <w:rPr>
          <w:rFonts w:cs="Calibri"/>
          <w:sz w:val="16"/>
        </w:rPr>
        <w:fldChar w:fldCharType="separate"/>
      </w:r>
      <w:r w:rsidRPr="00F933AF">
        <w:rPr>
          <w:rStyle w:val="Hyperlink"/>
          <w:rFonts w:cs="Calibri"/>
          <w:sz w:val="16"/>
        </w:rPr>
        <w:t>33</w:t>
      </w:r>
      <w:r w:rsidRPr="00F933AF">
        <w:rPr>
          <w:rFonts w:cs="Calibri"/>
          <w:sz w:val="16"/>
        </w:rPr>
        <w:fldChar w:fldCharType="end"/>
      </w:r>
      <w:bookmarkEnd w:id="41"/>
      <w:r w:rsidRPr="00F933AF">
        <w:rPr>
          <w:rFonts w:cs="Calibri"/>
          <w:sz w:val="16"/>
        </w:rPr>
        <w:t xml:space="preserve"> Steps </w:t>
      </w:r>
      <w:proofErr w:type="gramStart"/>
      <w:r w:rsidRPr="00F933AF">
        <w:rPr>
          <w:rFonts w:cs="Calibri"/>
          <w:sz w:val="16"/>
        </w:rPr>
        <w:t>Toward</w:t>
      </w:r>
      <w:proofErr w:type="gramEnd"/>
      <w:r w:rsidRPr="00F933AF">
        <w:rPr>
          <w:rFonts w:cs="Calibri"/>
          <w:sz w:val="16"/>
        </w:rPr>
        <w:t xml:space="preserve"> Dramatic Changes in Public-Charge Policy </w:t>
      </w:r>
      <w:r w:rsidRPr="00F933AF">
        <w:rPr>
          <w:rStyle w:val="StyleUnderline"/>
          <w:rFonts w:cs="Calibri"/>
        </w:rPr>
        <w:t xml:space="preserve">Since early last year, the Trump administration has signaled that it may seek to expand the types of benefits that can be considered in the public-charge determination. The goal behind this change is twofold: (1) to make it harder for immigrants who might use public services—such as health and nutrition programs—to come to the United States and settle here permanently and (2) to force families to choose between the food, housing, and health care they need and being with the people they love. </w:t>
      </w:r>
      <w:r w:rsidRPr="00F933AF">
        <w:rPr>
          <w:rFonts w:cs="Calibri"/>
          <w:sz w:val="16"/>
        </w:rPr>
        <w:t xml:space="preserve">A draft executive order leaked in January 2017 was the first signal of this threat. </w:t>
      </w:r>
      <w:r w:rsidRPr="00F933AF">
        <w:rPr>
          <w:rStyle w:val="StyleUnderline"/>
          <w:rFonts w:cs="Calibri"/>
        </w:rPr>
        <w:t xml:space="preserve">While the draft order was never signed or released, it (combined with other hostile immigration policies and rhetoric) led to many immigrants </w:t>
      </w:r>
      <w:r w:rsidRPr="00F933AF">
        <w:rPr>
          <w:rStyle w:val="Emphasis"/>
          <w:rFonts w:cs="Calibri"/>
        </w:rPr>
        <w:t>choosing not to enroll themselves or their citizen children in critical programs despite their being eligible</w:t>
      </w:r>
      <w:r w:rsidRPr="00F933AF">
        <w:rPr>
          <w:rStyle w:val="StyleUnderline"/>
          <w:rFonts w:cs="Calibri"/>
        </w:rPr>
        <w:t>.</w:t>
      </w:r>
      <w:r w:rsidRPr="00F933AF">
        <w:rPr>
          <w:rFonts w:cs="Calibri"/>
          <w:sz w:val="16"/>
        </w:rPr>
        <w:t xml:space="preserve"> Then, this past winter, the threat became even more urgent. In December 2017 the Unified Regulatory Agenda included a notice that a public-charge Notice of Proposed Rulemaking was in the works. In January 2018 the U.S. Department of State revised its instructions to consular officials on public charge; it added that the use of any public benefit by a person seeking a visa to enter the country—or the use of benefits by the applicant’s family or sponsor—could be part of the public-charge consideration. What effect these changes will have is too early yet to tell, but the changes will be felt primarily by immigrants seeking to reunite with their immediate family members in the United States. In February and again in March 2018 media outlets published a leaked draft Notice of Proposed Rulemaking on public charge. The draft indicated that the administration would now attempt to alter public-charge policy through the formal rulemaking process. Proposed Radical Expansion of Who Is Considered a Public Charge </w:t>
      </w:r>
      <w:r w:rsidRPr="00F933AF">
        <w:rPr>
          <w:rStyle w:val="StyleUnderline"/>
          <w:rFonts w:cs="Calibri"/>
        </w:rPr>
        <w:t xml:space="preserve">Several versions of the Trump administration’s damaging new approach to public charge have leaked since last year, </w:t>
      </w:r>
      <w:r w:rsidRPr="00F933AF">
        <w:rPr>
          <w:rStyle w:val="Emphasis"/>
          <w:rFonts w:cs="Calibri"/>
        </w:rPr>
        <w:t>stoking fear among immigrant communities</w:t>
      </w:r>
      <w:r w:rsidRPr="00F933AF">
        <w:rPr>
          <w:rStyle w:val="StyleUnderline"/>
          <w:rFonts w:cs="Calibri"/>
        </w:rPr>
        <w:t>.</w:t>
      </w:r>
      <w:r w:rsidRPr="00F933AF">
        <w:rPr>
          <w:rFonts w:cs="Calibri"/>
          <w:sz w:val="16"/>
        </w:rPr>
        <w:t xml:space="preserve"> The latest and most comprehensive version was reported by the Washington Post on March 28, 2018.</w:t>
      </w:r>
      <w:bookmarkStart w:id="42" w:name="sdfootnote34anc"/>
      <w:r w:rsidRPr="00F933AF">
        <w:rPr>
          <w:rFonts w:cs="Calibri"/>
          <w:sz w:val="16"/>
        </w:rPr>
        <w:fldChar w:fldCharType="begin"/>
      </w:r>
      <w:r w:rsidRPr="00F933AF">
        <w:rPr>
          <w:rFonts w:cs="Calibri"/>
          <w:sz w:val="16"/>
        </w:rPr>
        <w:instrText xml:space="preserve"> HYPERLINK "http://povertylaw.org/clearinghouse/articles/pif" \l "sdfootnote34sym" </w:instrText>
      </w:r>
      <w:r w:rsidRPr="00F933AF">
        <w:rPr>
          <w:rFonts w:cs="Calibri"/>
          <w:sz w:val="16"/>
        </w:rPr>
        <w:fldChar w:fldCharType="separate"/>
      </w:r>
      <w:r w:rsidRPr="00F933AF">
        <w:rPr>
          <w:rStyle w:val="Hyperlink"/>
          <w:rFonts w:cs="Calibri"/>
          <w:sz w:val="16"/>
        </w:rPr>
        <w:t>34</w:t>
      </w:r>
      <w:r w:rsidRPr="00F933AF">
        <w:rPr>
          <w:rFonts w:cs="Calibri"/>
          <w:sz w:val="16"/>
        </w:rPr>
        <w:fldChar w:fldCharType="end"/>
      </w:r>
      <w:bookmarkEnd w:id="42"/>
      <w:r w:rsidRPr="00F933AF">
        <w:rPr>
          <w:rFonts w:cs="Calibri"/>
          <w:sz w:val="16"/>
        </w:rPr>
        <w:t>The Post also made the leaked draft available online.</w:t>
      </w:r>
      <w:bookmarkStart w:id="43" w:name="sdfootnote35anc"/>
      <w:r w:rsidRPr="00F933AF">
        <w:rPr>
          <w:rFonts w:cs="Calibri"/>
          <w:sz w:val="16"/>
        </w:rPr>
        <w:fldChar w:fldCharType="begin"/>
      </w:r>
      <w:r w:rsidRPr="00F933AF">
        <w:rPr>
          <w:rFonts w:cs="Calibri"/>
          <w:sz w:val="16"/>
        </w:rPr>
        <w:instrText xml:space="preserve"> HYPERLINK "http://povertylaw.org/clearinghouse/articles/pif" \l "sdfootnote35sym" </w:instrText>
      </w:r>
      <w:r w:rsidRPr="00F933AF">
        <w:rPr>
          <w:rFonts w:cs="Calibri"/>
          <w:sz w:val="16"/>
        </w:rPr>
        <w:fldChar w:fldCharType="separate"/>
      </w:r>
      <w:r w:rsidRPr="00F933AF">
        <w:rPr>
          <w:rStyle w:val="Hyperlink"/>
          <w:rFonts w:cs="Calibri"/>
          <w:sz w:val="16"/>
        </w:rPr>
        <w:t>35</w:t>
      </w:r>
      <w:r w:rsidRPr="00F933AF">
        <w:rPr>
          <w:rFonts w:cs="Calibri"/>
          <w:sz w:val="16"/>
        </w:rPr>
        <w:fldChar w:fldCharType="end"/>
      </w:r>
      <w:bookmarkEnd w:id="43"/>
      <w:r w:rsidRPr="00F933AF">
        <w:rPr>
          <w:rFonts w:cs="Calibri"/>
          <w:sz w:val="16"/>
        </w:rPr>
        <w:t xml:space="preserve"> The next day, the Department of Homeland Security officially submitted for review proposed changes in public-charge rules to the Office of Information and Regulatory Affairs of the Office of Management and Budget.</w:t>
      </w:r>
      <w:bookmarkStart w:id="44" w:name="sdfootnote36anc"/>
      <w:r w:rsidRPr="00F933AF">
        <w:rPr>
          <w:rFonts w:cs="Calibri"/>
          <w:sz w:val="16"/>
        </w:rPr>
        <w:fldChar w:fldCharType="begin"/>
      </w:r>
      <w:r w:rsidRPr="00F933AF">
        <w:rPr>
          <w:rFonts w:cs="Calibri"/>
          <w:sz w:val="16"/>
        </w:rPr>
        <w:instrText xml:space="preserve"> HYPERLINK "http://povertylaw.org/clearinghouse/articles/pif" \l "sdfootnote36sym" </w:instrText>
      </w:r>
      <w:r w:rsidRPr="00F933AF">
        <w:rPr>
          <w:rFonts w:cs="Calibri"/>
          <w:sz w:val="16"/>
        </w:rPr>
        <w:fldChar w:fldCharType="separate"/>
      </w:r>
      <w:r w:rsidRPr="00F933AF">
        <w:rPr>
          <w:rStyle w:val="Hyperlink"/>
          <w:rFonts w:cs="Calibri"/>
          <w:sz w:val="16"/>
        </w:rPr>
        <w:t>36</w:t>
      </w:r>
      <w:r w:rsidRPr="00F933AF">
        <w:rPr>
          <w:rFonts w:cs="Calibri"/>
          <w:sz w:val="16"/>
        </w:rPr>
        <w:fldChar w:fldCharType="end"/>
      </w:r>
      <w:bookmarkEnd w:id="44"/>
      <w:r w:rsidRPr="00F933AF">
        <w:rPr>
          <w:rFonts w:cs="Calibri"/>
          <w:sz w:val="16"/>
        </w:rPr>
        <w:t xml:space="preserve"> Submission to the Office of Information and Regulatory Affairs is a routine rulemaking step that precedes formal publication of draft rules in the Federal Register. Although review by the Office of Information and Regulatory Affairs does not have a fixed time limit, this submission suggests that publication of the draft rules, and the public comment period that will follow, are imminent. The text of the proposed rules submitted to the Office of Information and Regulatory Affairs is not publicly available yet, and how closely the submitted new rules mirror what was in the leaked version reported by the Washington Post is unknown. Given the timing, however, advocates would be reasonable to assume significant similarities. </w:t>
      </w:r>
      <w:r w:rsidRPr="00F933AF">
        <w:rPr>
          <w:rStyle w:val="StyleUnderline"/>
          <w:rFonts w:cs="Calibri"/>
        </w:rPr>
        <w:t>As leaked, the draft rules would radically alter the public-charge determination in a number of important and harmful ways. The rules would expansively redefine what being a “public charge” means</w:t>
      </w:r>
      <w:r w:rsidRPr="00F933AF">
        <w:rPr>
          <w:rFonts w:cs="Calibri"/>
          <w:sz w:val="16"/>
        </w:rPr>
        <w:t>. Whereas current guidance focuses on whether an intended immigrant is likely to become primarily dependent on benefits for subsistence, the leaked rules would define a public charge to be a person “who is likely at any time to use or receive one or more public benefits.”</w:t>
      </w:r>
      <w:bookmarkStart w:id="45" w:name="sdfootnote37anc"/>
      <w:r w:rsidRPr="00F933AF">
        <w:rPr>
          <w:rFonts w:cs="Calibri"/>
          <w:sz w:val="16"/>
        </w:rPr>
        <w:fldChar w:fldCharType="begin"/>
      </w:r>
      <w:r w:rsidRPr="00F933AF">
        <w:rPr>
          <w:rFonts w:cs="Calibri"/>
          <w:sz w:val="16"/>
        </w:rPr>
        <w:instrText xml:space="preserve"> HYPERLINK "http://povertylaw.org/clearinghouse/articles/pif" \l "sdfootnote37sym" </w:instrText>
      </w:r>
      <w:r w:rsidRPr="00F933AF">
        <w:rPr>
          <w:rFonts w:cs="Calibri"/>
          <w:sz w:val="16"/>
        </w:rPr>
        <w:fldChar w:fldCharType="separate"/>
      </w:r>
      <w:r w:rsidRPr="00F933AF">
        <w:rPr>
          <w:rStyle w:val="Hyperlink"/>
          <w:rFonts w:cs="Calibri"/>
          <w:sz w:val="16"/>
        </w:rPr>
        <w:t>37</w:t>
      </w:r>
      <w:r w:rsidRPr="00F933AF">
        <w:rPr>
          <w:rFonts w:cs="Calibri"/>
          <w:sz w:val="16"/>
        </w:rPr>
        <w:fldChar w:fldCharType="end"/>
      </w:r>
      <w:bookmarkEnd w:id="45"/>
      <w:r w:rsidRPr="00F933AF">
        <w:rPr>
          <w:rFonts w:cs="Calibri"/>
          <w:sz w:val="16"/>
        </w:rPr>
        <w:t xml:space="preserve"> The rules would expansively redefine what being a “public charge” means. The leaked rules would also greatly expand the benefits considered when making a public-charge determination. As noted earlier, programs currently considered for admissibility purposes are few—subsistence-oriented cash assistance programs, SSI, and long-term institutionalization. </w:t>
      </w:r>
      <w:r w:rsidRPr="00F933AF">
        <w:rPr>
          <w:rStyle w:val="StyleUnderline"/>
          <w:rFonts w:cs="Calibri"/>
        </w:rPr>
        <w:t>The leaked rules would consider any government assistance in the form of cash, checks or other forms of money transfers, or instrument and non-cash assistance in the form of aid, services, or other relief, that is means-tested … or intended to help the individual meet basic living requirements such as housing, food, utilities, or medical care.</w:t>
      </w:r>
      <w:bookmarkStart w:id="46" w:name="sdfootnote38anc"/>
      <w:r w:rsidRPr="00F933AF">
        <w:rPr>
          <w:rStyle w:val="StyleUnderline"/>
          <w:rFonts w:cs="Calibri"/>
        </w:rPr>
        <w:fldChar w:fldCharType="begin"/>
      </w:r>
      <w:r w:rsidRPr="00F933AF">
        <w:rPr>
          <w:rStyle w:val="StyleUnderline"/>
          <w:rFonts w:cs="Calibri"/>
        </w:rPr>
        <w:instrText xml:space="preserve"> HYPERLINK "http://povertylaw.org/clearinghouse/articles/pif" \l "sdfootnote38sym" </w:instrText>
      </w:r>
      <w:r w:rsidRPr="00F933AF">
        <w:rPr>
          <w:rStyle w:val="StyleUnderline"/>
          <w:rFonts w:cs="Calibri"/>
        </w:rPr>
        <w:fldChar w:fldCharType="separate"/>
      </w:r>
      <w:r w:rsidRPr="00F933AF">
        <w:rPr>
          <w:rStyle w:val="StyleUnderline"/>
          <w:rFonts w:cs="Calibri"/>
        </w:rPr>
        <w:t>38</w:t>
      </w:r>
      <w:r w:rsidRPr="00F933AF">
        <w:rPr>
          <w:rStyle w:val="StyleUnderline"/>
          <w:rFonts w:cs="Calibri"/>
        </w:rPr>
        <w:fldChar w:fldCharType="end"/>
      </w:r>
      <w:bookmarkEnd w:id="46"/>
      <w:r w:rsidRPr="00F933AF">
        <w:rPr>
          <w:rStyle w:val="StyleUnderline"/>
          <w:rFonts w:cs="Calibri"/>
        </w:rPr>
        <w:t xml:space="preserve"> This would include federal, state, and local benefits. The leaked rules, while noting that the list is not exclusive, specify a number of programs to be considered for public-charge purposes. The listed programs include Medicaid and any “subsidized health insurance,” including premium tax credits in the health insurance marketplace; Supplemental Nutrition Assistance Program (SNAP); WIC; State Children’s Health Insurance Program (CHIP); housing assistance; means-tested energy benefits such as the Low Income Home Energy Assistance Program; and the earned income tax credit.</w:t>
      </w:r>
      <w:bookmarkStart w:id="47" w:name="sdfootnote39anc"/>
      <w:r w:rsidRPr="00F933AF">
        <w:rPr>
          <w:rStyle w:val="StyleUnderline"/>
          <w:rFonts w:cs="Calibri"/>
        </w:rPr>
        <w:fldChar w:fldCharType="begin"/>
      </w:r>
      <w:r w:rsidRPr="00F933AF">
        <w:rPr>
          <w:rStyle w:val="StyleUnderline"/>
          <w:rFonts w:cs="Calibri"/>
        </w:rPr>
        <w:instrText xml:space="preserve"> HYPERLINK "http://povertylaw.org/clearinghouse/articles/pif" \l "sdfootnote39sym" </w:instrText>
      </w:r>
      <w:r w:rsidRPr="00F933AF">
        <w:rPr>
          <w:rStyle w:val="StyleUnderline"/>
          <w:rFonts w:cs="Calibri"/>
        </w:rPr>
        <w:fldChar w:fldCharType="separate"/>
      </w:r>
      <w:r w:rsidRPr="00F933AF">
        <w:rPr>
          <w:rStyle w:val="StyleUnderline"/>
          <w:rFonts w:cs="Calibri"/>
        </w:rPr>
        <w:t>39</w:t>
      </w:r>
      <w:r w:rsidRPr="00F933AF">
        <w:rPr>
          <w:rStyle w:val="StyleUnderline"/>
          <w:rFonts w:cs="Calibri"/>
        </w:rPr>
        <w:fldChar w:fldCharType="end"/>
      </w:r>
      <w:bookmarkEnd w:id="47"/>
      <w:r w:rsidRPr="00F933AF">
        <w:rPr>
          <w:rStyle w:val="StyleUnderline"/>
          <w:rFonts w:cs="Calibri"/>
        </w:rPr>
        <w:t xml:space="preserve"> With such an expansive definition of public charge, benefits considered could include virtually any program not specifically exempted that is means-tested or helps participants meet basic needs. </w:t>
      </w:r>
      <w:r w:rsidRPr="00F933AF">
        <w:rPr>
          <w:rFonts w:cs="Calibri"/>
          <w:sz w:val="16"/>
        </w:rPr>
        <w:t>Note, however, that, as leaked, the rules would not apply retroactively in the case of benefits not previously considered for public-charge purposes.</w:t>
      </w:r>
      <w:bookmarkStart w:id="48" w:name="sdfootnote40anc"/>
      <w:r w:rsidRPr="00F933AF">
        <w:rPr>
          <w:rFonts w:cs="Calibri"/>
          <w:sz w:val="16"/>
        </w:rPr>
        <w:fldChar w:fldCharType="begin"/>
      </w:r>
      <w:r w:rsidRPr="00F933AF">
        <w:rPr>
          <w:rFonts w:cs="Calibri"/>
          <w:sz w:val="16"/>
        </w:rPr>
        <w:instrText xml:space="preserve"> HYPERLINK "http://povertylaw.org/clearinghouse/articles/pif" \l "sdfootnote40sym" </w:instrText>
      </w:r>
      <w:r w:rsidRPr="00F933AF">
        <w:rPr>
          <w:rFonts w:cs="Calibri"/>
          <w:sz w:val="16"/>
        </w:rPr>
        <w:fldChar w:fldCharType="separate"/>
      </w:r>
      <w:r w:rsidRPr="00F933AF">
        <w:rPr>
          <w:rStyle w:val="Hyperlink"/>
          <w:rFonts w:cs="Calibri"/>
          <w:sz w:val="16"/>
        </w:rPr>
        <w:t>40</w:t>
      </w:r>
      <w:r w:rsidRPr="00F933AF">
        <w:rPr>
          <w:rFonts w:cs="Calibri"/>
          <w:sz w:val="16"/>
        </w:rPr>
        <w:fldChar w:fldCharType="end"/>
      </w:r>
      <w:bookmarkEnd w:id="48"/>
      <w:r w:rsidRPr="00F933AF">
        <w:rPr>
          <w:rFonts w:cs="Calibri"/>
          <w:sz w:val="16"/>
        </w:rPr>
        <w:t xml:space="preserve"> </w:t>
      </w:r>
      <w:r w:rsidRPr="00F933AF">
        <w:rPr>
          <w:rStyle w:val="StyleUnderline"/>
          <w:rFonts w:cs="Calibri"/>
        </w:rPr>
        <w:t xml:space="preserve">With these two drastic changes—redefining public charge to include any use of public benefits and greatly expanding the programs considered for public-charge purposes—the Trump administration would </w:t>
      </w:r>
      <w:r w:rsidRPr="00F933AF">
        <w:rPr>
          <w:rStyle w:val="Emphasis"/>
          <w:rFonts w:cs="Calibri"/>
        </w:rPr>
        <w:t>abandon the important and well-documented policy consideration that access to benefits is good for the long-term health and self-sufficiency of families and good for the overall well-being of our society</w:t>
      </w:r>
      <w:r w:rsidRPr="00F933AF">
        <w:rPr>
          <w:rStyle w:val="StyleUnderline"/>
          <w:rFonts w:cs="Calibri"/>
        </w:rPr>
        <w:t xml:space="preserve">. With such an expansive definition of public charge, </w:t>
      </w:r>
      <w:r w:rsidRPr="00F933AF">
        <w:rPr>
          <w:rStyle w:val="Emphasis"/>
          <w:rFonts w:cs="Calibri"/>
        </w:rPr>
        <w:t>benefits considered could include virtually any program</w:t>
      </w:r>
      <w:r w:rsidRPr="00F933AF">
        <w:rPr>
          <w:rStyle w:val="StyleUnderline"/>
          <w:rFonts w:cs="Calibri"/>
        </w:rPr>
        <w:t xml:space="preserve"> not specifically exempted that is means-tested or helps participants meet basic needs. The leaked rules would also direct immigration officials to consider whether an </w:t>
      </w:r>
      <w:r w:rsidRPr="00F933AF">
        <w:rPr>
          <w:rStyle w:val="Emphasis"/>
          <w:rFonts w:cs="Calibri"/>
        </w:rPr>
        <w:t xml:space="preserve">applicant’s dependents </w:t>
      </w:r>
      <w:r w:rsidRPr="00F933AF">
        <w:rPr>
          <w:rStyle w:val="StyleUnderline"/>
          <w:rFonts w:cs="Calibri"/>
        </w:rPr>
        <w:t>have “sought, received, or used, or [sic] any public benefit.”</w:t>
      </w:r>
      <w:bookmarkStart w:id="49" w:name="sdfootnote41anc"/>
      <w:r w:rsidRPr="00F933AF">
        <w:rPr>
          <w:rFonts w:cs="Calibri"/>
          <w:sz w:val="16"/>
        </w:rPr>
        <w:fldChar w:fldCharType="begin"/>
      </w:r>
      <w:r w:rsidRPr="00F933AF">
        <w:rPr>
          <w:rFonts w:cs="Calibri"/>
          <w:sz w:val="16"/>
        </w:rPr>
        <w:instrText xml:space="preserve"> HYPERLINK "http://povertylaw.org/clearinghouse/articles/pif" \l "sdfootnote41sym" </w:instrText>
      </w:r>
      <w:r w:rsidRPr="00F933AF">
        <w:rPr>
          <w:rFonts w:cs="Calibri"/>
          <w:sz w:val="16"/>
        </w:rPr>
        <w:fldChar w:fldCharType="separate"/>
      </w:r>
      <w:r w:rsidRPr="00F933AF">
        <w:rPr>
          <w:rStyle w:val="Hyperlink"/>
          <w:rFonts w:cs="Calibri"/>
          <w:sz w:val="16"/>
        </w:rPr>
        <w:t>41</w:t>
      </w:r>
      <w:r w:rsidRPr="00F933AF">
        <w:rPr>
          <w:rFonts w:cs="Calibri"/>
          <w:sz w:val="16"/>
        </w:rPr>
        <w:fldChar w:fldCharType="end"/>
      </w:r>
      <w:bookmarkEnd w:id="49"/>
      <w:r w:rsidRPr="00F933AF">
        <w:rPr>
          <w:rFonts w:cs="Calibri"/>
          <w:sz w:val="16"/>
        </w:rPr>
        <w:t xml:space="preserve">Currently officials consider only whether the applicant has used specified benefits. The leaked </w:t>
      </w:r>
      <w:r w:rsidRPr="00F933AF">
        <w:rPr>
          <w:rStyle w:val="StyleUnderline"/>
          <w:rFonts w:cs="Calibri"/>
        </w:rPr>
        <w:t>rules define “dependent” very broadly to include not only dependents as listed on a tax return and other persons whom the applicant is legally required to support but also “[a]ny other Person who lives with the alien, and who is being cared for or provided for by the alien, and benefits from but does not contribute to the alien’s income or financial resources, to the extent such person is not claimed on the alien’s tax return.”</w:t>
      </w:r>
      <w:bookmarkStart w:id="50" w:name="sdfootnote42anc"/>
      <w:r w:rsidRPr="00F933AF">
        <w:rPr>
          <w:rFonts w:cs="Calibri"/>
          <w:sz w:val="16"/>
        </w:rPr>
        <w:fldChar w:fldCharType="begin"/>
      </w:r>
      <w:r w:rsidRPr="00F933AF">
        <w:rPr>
          <w:rFonts w:cs="Calibri"/>
          <w:sz w:val="16"/>
        </w:rPr>
        <w:instrText xml:space="preserve"> HYPERLINK "http://povertylaw.org/clearinghouse/articles/pif" \l "sdfootnote42sym" </w:instrText>
      </w:r>
      <w:r w:rsidRPr="00F933AF">
        <w:rPr>
          <w:rFonts w:cs="Calibri"/>
          <w:sz w:val="16"/>
        </w:rPr>
        <w:fldChar w:fldCharType="separate"/>
      </w:r>
      <w:r w:rsidRPr="00F933AF">
        <w:rPr>
          <w:rStyle w:val="Hyperlink"/>
          <w:rFonts w:cs="Calibri"/>
          <w:sz w:val="16"/>
        </w:rPr>
        <w:t>42</w:t>
      </w:r>
      <w:r w:rsidRPr="00F933AF">
        <w:rPr>
          <w:rFonts w:cs="Calibri"/>
          <w:sz w:val="16"/>
        </w:rPr>
        <w:fldChar w:fldCharType="end"/>
      </w:r>
      <w:bookmarkEnd w:id="50"/>
      <w:r w:rsidRPr="00F933AF">
        <w:rPr>
          <w:rFonts w:cs="Calibri"/>
          <w:sz w:val="16"/>
        </w:rPr>
        <w:t xml:space="preserve"> As noted earlier, millions of U.S.-citizen children live in households with a foreign-born parent. </w:t>
      </w:r>
      <w:r w:rsidRPr="00F933AF">
        <w:rPr>
          <w:rStyle w:val="StyleUnderline"/>
          <w:rFonts w:cs="Calibri"/>
        </w:rPr>
        <w:t xml:space="preserve">Including benefits that these children might seek or receive in the public-charge determination would force parents to decide between keeping their families together and ensuring that their children have access to critical services such as </w:t>
      </w:r>
      <w:r w:rsidRPr="00F933AF">
        <w:rPr>
          <w:rStyle w:val="Emphasis"/>
          <w:rFonts w:cs="Calibri"/>
        </w:rPr>
        <w:t>health care, nutrition, immunization, behavioral health assistance</w:t>
      </w:r>
      <w:r w:rsidRPr="00F933AF">
        <w:rPr>
          <w:rStyle w:val="StyleUnderline"/>
          <w:rFonts w:cs="Calibri"/>
        </w:rPr>
        <w:t>, and so on</w:t>
      </w:r>
      <w:r w:rsidRPr="00F933AF">
        <w:rPr>
          <w:rFonts w:cs="Calibri"/>
          <w:sz w:val="16"/>
        </w:rPr>
        <w:t>. The leaked rules’ expansive definition of dependents would further undermine family and community by putting immigrants at risk should they care for their elderly parents, a niece or nephew, the children of friends who may be in crisis, and others who may seek or use any one of a host of federal, state, and local benefits programs. The leaked rules would also set forth standards for immigration officials to consider when evaluating statutorily required criteria such as age, health, and education. The rules essentially direct that each factor should be considered solely for its bearing on whether the intended immigrant is immediately able to work.</w:t>
      </w:r>
      <w:bookmarkStart w:id="51" w:name="sdfootnote43anc"/>
      <w:r w:rsidRPr="00F933AF">
        <w:rPr>
          <w:rFonts w:cs="Calibri"/>
          <w:sz w:val="16"/>
        </w:rPr>
        <w:fldChar w:fldCharType="begin"/>
      </w:r>
      <w:r w:rsidRPr="00F933AF">
        <w:rPr>
          <w:rFonts w:cs="Calibri"/>
          <w:sz w:val="16"/>
        </w:rPr>
        <w:instrText xml:space="preserve"> HYPERLINK "http://povertylaw.org/clearinghouse/articles/pif" \l "sdfootnote43sym" </w:instrText>
      </w:r>
      <w:r w:rsidRPr="00F933AF">
        <w:rPr>
          <w:rFonts w:cs="Calibri"/>
          <w:sz w:val="16"/>
        </w:rPr>
        <w:fldChar w:fldCharType="separate"/>
      </w:r>
      <w:r w:rsidRPr="00F933AF">
        <w:rPr>
          <w:rStyle w:val="Hyperlink"/>
          <w:rFonts w:cs="Calibri"/>
          <w:sz w:val="16"/>
        </w:rPr>
        <w:t>43</w:t>
      </w:r>
      <w:r w:rsidRPr="00F933AF">
        <w:rPr>
          <w:rFonts w:cs="Calibri"/>
          <w:sz w:val="16"/>
        </w:rPr>
        <w:fldChar w:fldCharType="end"/>
      </w:r>
      <w:bookmarkEnd w:id="51"/>
      <w:r w:rsidRPr="00F933AF">
        <w:rPr>
          <w:rFonts w:cs="Calibri"/>
          <w:sz w:val="16"/>
        </w:rPr>
        <w:t xml:space="preserve"> The rules would negatively consider applicants who are limited in English, on the ground that this is a barrier to employment.</w:t>
      </w:r>
      <w:bookmarkStart w:id="52" w:name="sdfootnote44anc"/>
      <w:r w:rsidRPr="00F933AF">
        <w:rPr>
          <w:rFonts w:cs="Calibri"/>
          <w:sz w:val="16"/>
        </w:rPr>
        <w:fldChar w:fldCharType="begin"/>
      </w:r>
      <w:r w:rsidRPr="00F933AF">
        <w:rPr>
          <w:rFonts w:cs="Calibri"/>
          <w:sz w:val="16"/>
        </w:rPr>
        <w:instrText xml:space="preserve"> HYPERLINK "http://povertylaw.org/clearinghouse/articles/pif" \l "sdfootnote44sym" </w:instrText>
      </w:r>
      <w:r w:rsidRPr="00F933AF">
        <w:rPr>
          <w:rFonts w:cs="Calibri"/>
          <w:sz w:val="16"/>
        </w:rPr>
        <w:fldChar w:fldCharType="separate"/>
      </w:r>
      <w:r w:rsidRPr="00F933AF">
        <w:rPr>
          <w:rStyle w:val="Hyperlink"/>
          <w:rFonts w:cs="Calibri"/>
          <w:sz w:val="16"/>
        </w:rPr>
        <w:t>44</w:t>
      </w:r>
      <w:r w:rsidRPr="00F933AF">
        <w:rPr>
          <w:rFonts w:cs="Calibri"/>
          <w:sz w:val="16"/>
        </w:rPr>
        <w:fldChar w:fldCharType="end"/>
      </w:r>
      <w:bookmarkEnd w:id="52"/>
      <w:r w:rsidRPr="00F933AF">
        <w:rPr>
          <w:rFonts w:cs="Calibri"/>
          <w:sz w:val="16"/>
        </w:rPr>
        <w:t xml:space="preserve"> The rules would negatively consider applicants who are limited in English, on the ground that this is a barrier to employment. The leaked rules identify specific factors that are to be “heavily weighed” in a public-charge determination. Heavily weighed negative factors—factors that “will generally weigh heavily in favor of a finding that an alien is likely to become a public charge”—include whether the applicant is currently using or has “used or received one or more public benefits within the last 36 months.”</w:t>
      </w:r>
      <w:bookmarkStart w:id="53" w:name="sdfootnote45anc"/>
      <w:r w:rsidRPr="00F933AF">
        <w:rPr>
          <w:rFonts w:cs="Calibri"/>
          <w:sz w:val="16"/>
        </w:rPr>
        <w:fldChar w:fldCharType="begin"/>
      </w:r>
      <w:r w:rsidRPr="00F933AF">
        <w:rPr>
          <w:rFonts w:cs="Calibri"/>
          <w:sz w:val="16"/>
        </w:rPr>
        <w:instrText xml:space="preserve"> HYPERLINK "http://povertylaw.org/clearinghouse/articles/pif" \l "sdfootnote45sym" </w:instrText>
      </w:r>
      <w:r w:rsidRPr="00F933AF">
        <w:rPr>
          <w:rFonts w:cs="Calibri"/>
          <w:sz w:val="16"/>
        </w:rPr>
        <w:fldChar w:fldCharType="separate"/>
      </w:r>
      <w:r w:rsidRPr="00F933AF">
        <w:rPr>
          <w:rStyle w:val="Hyperlink"/>
          <w:rFonts w:cs="Calibri"/>
          <w:sz w:val="16"/>
        </w:rPr>
        <w:t>45</w:t>
      </w:r>
      <w:r w:rsidRPr="00F933AF">
        <w:rPr>
          <w:rFonts w:cs="Calibri"/>
          <w:sz w:val="16"/>
        </w:rPr>
        <w:fldChar w:fldCharType="end"/>
      </w:r>
      <w:bookmarkEnd w:id="53"/>
      <w:r w:rsidRPr="00F933AF">
        <w:rPr>
          <w:rFonts w:cs="Calibri"/>
          <w:sz w:val="16"/>
        </w:rPr>
        <w:t xml:space="preserve"> Another heavily weighed negative factor is whether the applicant “has a medical condition and is unable to show evidence of unsubsidized health insurance.”</w:t>
      </w:r>
      <w:bookmarkStart w:id="54" w:name="sdfootnote46anc"/>
      <w:r w:rsidRPr="00F933AF">
        <w:rPr>
          <w:rFonts w:cs="Calibri"/>
          <w:sz w:val="16"/>
        </w:rPr>
        <w:fldChar w:fldCharType="begin"/>
      </w:r>
      <w:r w:rsidRPr="00F933AF">
        <w:rPr>
          <w:rFonts w:cs="Calibri"/>
          <w:sz w:val="16"/>
        </w:rPr>
        <w:instrText xml:space="preserve"> HYPERLINK "http://povertylaw.org/clearinghouse/articles/pif" \l "sdfootnote46sym" </w:instrText>
      </w:r>
      <w:r w:rsidRPr="00F933AF">
        <w:rPr>
          <w:rFonts w:cs="Calibri"/>
          <w:sz w:val="16"/>
        </w:rPr>
        <w:fldChar w:fldCharType="separate"/>
      </w:r>
      <w:r w:rsidRPr="00F933AF">
        <w:rPr>
          <w:rStyle w:val="Hyperlink"/>
          <w:rFonts w:cs="Calibri"/>
          <w:sz w:val="16"/>
        </w:rPr>
        <w:t>46</w:t>
      </w:r>
      <w:r w:rsidRPr="00F933AF">
        <w:rPr>
          <w:rFonts w:cs="Calibri"/>
          <w:sz w:val="16"/>
        </w:rPr>
        <w:fldChar w:fldCharType="end"/>
      </w:r>
      <w:bookmarkEnd w:id="54"/>
      <w:r w:rsidRPr="00F933AF">
        <w:rPr>
          <w:rFonts w:cs="Calibri"/>
          <w:sz w:val="16"/>
        </w:rPr>
        <w:t xml:space="preserve"> The only heavily weighed positive factor is whether the applicant can demonstrate income, assets, and resources that put the applicant at 250 percent or more of the federal poverty level.</w:t>
      </w:r>
      <w:bookmarkStart w:id="55" w:name="sdfootnote47anc"/>
      <w:r w:rsidRPr="00F933AF">
        <w:rPr>
          <w:rFonts w:cs="Calibri"/>
          <w:sz w:val="16"/>
        </w:rPr>
        <w:fldChar w:fldCharType="begin"/>
      </w:r>
      <w:r w:rsidRPr="00F933AF">
        <w:rPr>
          <w:rFonts w:cs="Calibri"/>
          <w:sz w:val="16"/>
        </w:rPr>
        <w:instrText xml:space="preserve"> HYPERLINK "http://povertylaw.org/clearinghouse/articles/pif" \l "sdfootnote47sym" </w:instrText>
      </w:r>
      <w:r w:rsidRPr="00F933AF">
        <w:rPr>
          <w:rFonts w:cs="Calibri"/>
          <w:sz w:val="16"/>
        </w:rPr>
        <w:fldChar w:fldCharType="separate"/>
      </w:r>
      <w:r w:rsidRPr="00F933AF">
        <w:rPr>
          <w:rStyle w:val="Hyperlink"/>
          <w:rFonts w:cs="Calibri"/>
          <w:sz w:val="16"/>
        </w:rPr>
        <w:t>47</w:t>
      </w:r>
      <w:r w:rsidRPr="00F933AF">
        <w:rPr>
          <w:rFonts w:cs="Calibri"/>
          <w:sz w:val="16"/>
        </w:rPr>
        <w:fldChar w:fldCharType="end"/>
      </w:r>
      <w:bookmarkEnd w:id="55"/>
      <w:r w:rsidRPr="00F933AF">
        <w:rPr>
          <w:rFonts w:cs="Calibri"/>
          <w:sz w:val="16"/>
        </w:rPr>
        <w:t xml:space="preserve"> In essence, the leaked rule creates a new income standard for family-based immigration at 250 percent of the federal poverty level, or $62,750 for a family of four in 2018. A very significant unknown at this time is how the proposed rules that are ultimately published will handle public charge in the deportability context. As noted above, pursuant to Section 237 of the Immigration and Nationality Act, </w:t>
      </w:r>
      <w:r w:rsidRPr="00F933AF">
        <w:rPr>
          <w:rStyle w:val="StyleUnderline"/>
          <w:rFonts w:cs="Calibri"/>
        </w:rPr>
        <w:t>an immigrant is deportable within five years of admission if the immigrant becomes a public charge</w:t>
      </w:r>
      <w:r w:rsidRPr="00F933AF">
        <w:rPr>
          <w:rFonts w:cs="Calibri"/>
          <w:sz w:val="16"/>
        </w:rPr>
        <w:t xml:space="preserve"> for reasons that existed at the time of admission. Given the significant hardship of deportation, current guidance takes a very narrow approach to this question—the person in question must have received a benefit that requires repayment under law; the agency administering the benefit must have received a final judgment compelling repayment and exhausted collection options; and the person must still refuse repayment. The leaked rules include placeholder language for Section 237 evaluations under the heading “Deportable Aliens [FOR DISCUSSION WITH DOJ]” and a subheading that reads, “</w:t>
      </w:r>
      <w:r w:rsidRPr="00F933AF">
        <w:rPr>
          <w:rStyle w:val="Emphasis"/>
          <w:rFonts w:cs="Calibri"/>
        </w:rPr>
        <w:t>Public charge deportability criteria</w:t>
      </w:r>
      <w:r w:rsidRPr="00F933AF">
        <w:rPr>
          <w:rFonts w:cs="Calibri"/>
          <w:sz w:val="16"/>
        </w:rPr>
        <w:t xml:space="preserve">. [TO BE INSERTED].” Of </w:t>
      </w:r>
      <w:r w:rsidRPr="00F933AF">
        <w:rPr>
          <w:rStyle w:val="Emphasis"/>
          <w:rFonts w:cs="Calibri"/>
        </w:rPr>
        <w:t>concern</w:t>
      </w:r>
      <w:r w:rsidRPr="00F933AF">
        <w:rPr>
          <w:rFonts w:cs="Calibri"/>
          <w:sz w:val="16"/>
        </w:rPr>
        <w:t>, however, is that the leaked draft states that the expansive definitions of “public charge” and “public benefit” discussed above would also apply in the deportability context.</w:t>
      </w:r>
      <w:bookmarkStart w:id="56" w:name="sdfootnote48anc"/>
      <w:r w:rsidRPr="00F933AF">
        <w:rPr>
          <w:rFonts w:cs="Calibri"/>
          <w:sz w:val="16"/>
        </w:rPr>
        <w:fldChar w:fldCharType="begin"/>
      </w:r>
      <w:r w:rsidRPr="00F933AF">
        <w:rPr>
          <w:rFonts w:cs="Calibri"/>
          <w:sz w:val="16"/>
        </w:rPr>
        <w:instrText xml:space="preserve"> HYPERLINK "http://povertylaw.org/clearinghouse/articles/pif" \l "sdfootnote48sym" </w:instrText>
      </w:r>
      <w:r w:rsidRPr="00F933AF">
        <w:rPr>
          <w:rFonts w:cs="Calibri"/>
          <w:sz w:val="16"/>
        </w:rPr>
        <w:fldChar w:fldCharType="separate"/>
      </w:r>
      <w:r w:rsidRPr="00F933AF">
        <w:rPr>
          <w:rStyle w:val="Hyperlink"/>
          <w:rFonts w:cs="Calibri"/>
          <w:sz w:val="16"/>
        </w:rPr>
        <w:t>48</w:t>
      </w:r>
      <w:r w:rsidRPr="00F933AF">
        <w:rPr>
          <w:rFonts w:cs="Calibri"/>
          <w:sz w:val="16"/>
        </w:rPr>
        <w:fldChar w:fldCharType="end"/>
      </w:r>
      <w:bookmarkEnd w:id="56"/>
      <w:r w:rsidRPr="00F933AF">
        <w:rPr>
          <w:rFonts w:cs="Calibri"/>
          <w:sz w:val="16"/>
        </w:rPr>
        <w:t xml:space="preserve"> Effects of the Leaked Public-Charge Rules </w:t>
      </w:r>
      <w:proofErr w:type="gramStart"/>
      <w:r w:rsidRPr="00F933AF">
        <w:rPr>
          <w:rFonts w:cs="Calibri"/>
          <w:sz w:val="16"/>
        </w:rPr>
        <w:t>The</w:t>
      </w:r>
      <w:proofErr w:type="gramEnd"/>
      <w:r w:rsidRPr="00F933AF">
        <w:rPr>
          <w:rFonts w:cs="Calibri"/>
          <w:sz w:val="16"/>
        </w:rPr>
        <w:t xml:space="preserve"> Trump administration’s changes in public-charge policy could have severe consequences. Before considering their impact, we must reiterate a few considerations, particularly given the stress and fear that the threat of these rules has created among clients and community members. First, the rules governing public-charge determinations in the United States have not yet changed. The notice of proposed rulemaking has not been published in the Federal Register. Once it is published, the public will have an opportunity to comment, and the Department of Homeland Security must respond to comments before finalizing any new regulations. The application for adjustment to lawful permanent residence in the United States already asks about any public benefits applicants have received. Thus disenrolling from programs at this time may offer little or no advantage. Second, under the statute, which cannot be changed by regulation, public charge applies only in certain specific immigration contexts. Many immigrants are not subject to a public-charge evaluation. Third, as leaked, the draft rules would expand the public-charge doctrine prospectively. Use of benefits newly considered for public-charge purposes prior to adoption of the rule would not count against an applicant.</w:t>
      </w:r>
      <w:bookmarkStart w:id="57" w:name="sdfootnote49anc"/>
      <w:r w:rsidRPr="00F933AF">
        <w:rPr>
          <w:rFonts w:cs="Calibri"/>
          <w:sz w:val="16"/>
        </w:rPr>
        <w:fldChar w:fldCharType="begin"/>
      </w:r>
      <w:r w:rsidRPr="00F933AF">
        <w:rPr>
          <w:rFonts w:cs="Calibri"/>
          <w:sz w:val="16"/>
        </w:rPr>
        <w:instrText xml:space="preserve"> HYPERLINK "http://povertylaw.org/clearinghouse/articles/pif" \l "sdfootnote49sym" </w:instrText>
      </w:r>
      <w:r w:rsidRPr="00F933AF">
        <w:rPr>
          <w:rFonts w:cs="Calibri"/>
          <w:sz w:val="16"/>
        </w:rPr>
        <w:fldChar w:fldCharType="separate"/>
      </w:r>
      <w:r w:rsidRPr="00F933AF">
        <w:rPr>
          <w:rStyle w:val="Hyperlink"/>
          <w:rFonts w:cs="Calibri"/>
          <w:sz w:val="16"/>
        </w:rPr>
        <w:t>49</w:t>
      </w:r>
      <w:r w:rsidRPr="00F933AF">
        <w:rPr>
          <w:rFonts w:cs="Calibri"/>
          <w:sz w:val="16"/>
        </w:rPr>
        <w:fldChar w:fldCharType="end"/>
      </w:r>
      <w:bookmarkEnd w:id="57"/>
      <w:r w:rsidRPr="00F933AF">
        <w:rPr>
          <w:rFonts w:cs="Calibri"/>
          <w:sz w:val="16"/>
        </w:rPr>
        <w:t xml:space="preserve"> Even if the rules change, applicants will still be able to show why they are not likely to become a public charge in the future. Public-charge rules along the lines of those that have leaked would severely harm families and communities in the United States. Still, </w:t>
      </w:r>
      <w:r w:rsidRPr="00F933AF">
        <w:rPr>
          <w:rStyle w:val="StyleUnderline"/>
          <w:rFonts w:cs="Calibri"/>
        </w:rPr>
        <w:t>public-charge rules</w:t>
      </w:r>
      <w:r w:rsidRPr="00F933AF">
        <w:rPr>
          <w:rFonts w:cs="Calibri"/>
          <w:sz w:val="16"/>
        </w:rPr>
        <w:t xml:space="preserve"> along the lines of those that have leaked would </w:t>
      </w:r>
      <w:r w:rsidRPr="00F933AF">
        <w:rPr>
          <w:rStyle w:val="StyleUnderline"/>
          <w:rFonts w:cs="Calibri"/>
        </w:rPr>
        <w:t xml:space="preserve">severely harm families and communities in the United States. The </w:t>
      </w:r>
      <w:r w:rsidRPr="00F933AF">
        <w:rPr>
          <w:rStyle w:val="Emphasis"/>
          <w:rFonts w:cs="Calibri"/>
        </w:rPr>
        <w:t>D</w:t>
      </w:r>
      <w:r w:rsidRPr="00F933AF">
        <w:rPr>
          <w:rStyle w:val="StyleUnderline"/>
          <w:rFonts w:cs="Calibri"/>
        </w:rPr>
        <w:t xml:space="preserve">epartment of </w:t>
      </w:r>
      <w:r w:rsidRPr="00F933AF">
        <w:rPr>
          <w:rStyle w:val="Emphasis"/>
          <w:rFonts w:cs="Calibri"/>
        </w:rPr>
        <w:t>H</w:t>
      </w:r>
      <w:r w:rsidRPr="00F933AF">
        <w:rPr>
          <w:rStyle w:val="StyleUnderline"/>
          <w:rFonts w:cs="Calibri"/>
        </w:rPr>
        <w:t xml:space="preserve">omeland </w:t>
      </w:r>
      <w:r w:rsidRPr="00F933AF">
        <w:rPr>
          <w:rStyle w:val="Emphasis"/>
          <w:rFonts w:cs="Calibri"/>
        </w:rPr>
        <w:t>S</w:t>
      </w:r>
      <w:r w:rsidRPr="00F933AF">
        <w:rPr>
          <w:rStyle w:val="StyleUnderline"/>
          <w:rFonts w:cs="Calibri"/>
        </w:rPr>
        <w:t xml:space="preserve">ecurity </w:t>
      </w:r>
      <w:r w:rsidRPr="00F933AF">
        <w:rPr>
          <w:rStyle w:val="Emphasis"/>
          <w:rFonts w:cs="Calibri"/>
        </w:rPr>
        <w:t>acknowledges</w:t>
      </w:r>
      <w:r w:rsidRPr="00F933AF">
        <w:rPr>
          <w:rStyle w:val="StyleUnderline"/>
          <w:rFonts w:cs="Calibri"/>
        </w:rPr>
        <w:t xml:space="preserve"> as much in the preamble to the leaked rules: “[T]he action has the </w:t>
      </w:r>
      <w:r w:rsidRPr="00F933AF">
        <w:rPr>
          <w:rStyle w:val="Emphasis"/>
          <w:rFonts w:cs="Calibri"/>
        </w:rPr>
        <w:t xml:space="preserve">potential to erode family stability and decrease disposable income </w:t>
      </w:r>
      <w:r w:rsidRPr="00F933AF">
        <w:rPr>
          <w:rStyle w:val="StyleUnderline"/>
          <w:rFonts w:cs="Calibri"/>
        </w:rPr>
        <w:t>of families and children because the action provides a strong disincentive for the receipt or use of public benefits by aliens, as well as their household members, including U.S. children.”</w:t>
      </w:r>
      <w:bookmarkStart w:id="58" w:name="sdfootnote50anc"/>
      <w:r w:rsidRPr="00F933AF">
        <w:rPr>
          <w:rFonts w:cs="Calibri"/>
          <w:sz w:val="16"/>
        </w:rPr>
        <w:fldChar w:fldCharType="begin"/>
      </w:r>
      <w:r w:rsidRPr="00F933AF">
        <w:rPr>
          <w:rFonts w:cs="Calibri"/>
          <w:sz w:val="16"/>
        </w:rPr>
        <w:instrText xml:space="preserve"> HYPERLINK "http://povertylaw.org/clearinghouse/articles/pif" \l "sdfootnote50sym" </w:instrText>
      </w:r>
      <w:r w:rsidRPr="00F933AF">
        <w:rPr>
          <w:rFonts w:cs="Calibri"/>
          <w:sz w:val="16"/>
        </w:rPr>
        <w:fldChar w:fldCharType="separate"/>
      </w:r>
      <w:r w:rsidRPr="00F933AF">
        <w:rPr>
          <w:rStyle w:val="Hyperlink"/>
          <w:rFonts w:cs="Calibri"/>
          <w:sz w:val="16"/>
        </w:rPr>
        <w:t>50</w:t>
      </w:r>
      <w:r w:rsidRPr="00F933AF">
        <w:rPr>
          <w:rFonts w:cs="Calibri"/>
          <w:sz w:val="16"/>
        </w:rPr>
        <w:fldChar w:fldCharType="end"/>
      </w:r>
      <w:bookmarkEnd w:id="58"/>
      <w:r w:rsidRPr="00F933AF">
        <w:rPr>
          <w:rFonts w:cs="Calibri"/>
          <w:sz w:val="16"/>
        </w:rPr>
        <w:t xml:space="preserve"> As discussed earlier, the mere threat of these rules, combined with other hostile immigration policies and harmful rhetoric, has caused immigrant families to disenroll from vital health, nutritional, and other services because of fears that enrollment will harm their immigration status or their future opportunities. Low-income children with foreign-born parents are already less likely than children with U.S.-born parents to receive SNAP or Medicaid. And one million Latino children are eligible for Medicaid or CHIP but not enrolled.</w:t>
      </w:r>
      <w:bookmarkStart w:id="59" w:name="sdfootnote51anc"/>
      <w:r w:rsidRPr="00F933AF">
        <w:rPr>
          <w:rFonts w:cs="Calibri"/>
          <w:sz w:val="16"/>
        </w:rPr>
        <w:fldChar w:fldCharType="begin"/>
      </w:r>
      <w:r w:rsidRPr="00F933AF">
        <w:rPr>
          <w:rFonts w:cs="Calibri"/>
          <w:sz w:val="16"/>
        </w:rPr>
        <w:instrText xml:space="preserve"> HYPERLINK "http://povertylaw.org/clearinghouse/articles/pif" \l "sdfootnote51sym" </w:instrText>
      </w:r>
      <w:r w:rsidRPr="00F933AF">
        <w:rPr>
          <w:rFonts w:cs="Calibri"/>
          <w:sz w:val="16"/>
        </w:rPr>
        <w:fldChar w:fldCharType="separate"/>
      </w:r>
      <w:r w:rsidRPr="00F933AF">
        <w:rPr>
          <w:rStyle w:val="Hyperlink"/>
          <w:rFonts w:cs="Calibri"/>
          <w:sz w:val="16"/>
        </w:rPr>
        <w:t>51</w:t>
      </w:r>
      <w:r w:rsidRPr="00F933AF">
        <w:rPr>
          <w:rFonts w:cs="Calibri"/>
          <w:sz w:val="16"/>
        </w:rPr>
        <w:fldChar w:fldCharType="end"/>
      </w:r>
      <w:bookmarkEnd w:id="59"/>
      <w:r w:rsidRPr="00F933AF">
        <w:rPr>
          <w:rFonts w:cs="Calibri"/>
          <w:sz w:val="16"/>
        </w:rPr>
        <w:t xml:space="preserve"> Any </w:t>
      </w:r>
      <w:r w:rsidRPr="00F933AF">
        <w:rPr>
          <w:rStyle w:val="StyleUnderline"/>
          <w:rFonts w:cs="Calibri"/>
        </w:rPr>
        <w:t>policy forcing millions of families to choose between the denial of immigration status and food or health care would exacerbate serious problems such as hunger, unmet health needs, child poverty, and homelessness, with lasting consequences for families’ well-being and long-term success and community prosperity</w:t>
      </w:r>
      <w:r w:rsidRPr="00F933AF">
        <w:rPr>
          <w:rFonts w:cs="Calibri"/>
          <w:sz w:val="16"/>
        </w:rPr>
        <w:t xml:space="preserve">. A wealth of research supports the notion that children do better when they have access to benefits. For example, </w:t>
      </w:r>
      <w:r w:rsidRPr="00F933AF">
        <w:rPr>
          <w:rStyle w:val="StyleUnderline"/>
          <w:rFonts w:cs="Calibri"/>
        </w:rPr>
        <w:t>research demonstrates that children who are able to access Medicaid lead longer, healthier lives and are more likely to finish high school and college.</w:t>
      </w:r>
      <w:bookmarkStart w:id="60" w:name="sdfootnote52anc"/>
      <w:r w:rsidRPr="00F933AF">
        <w:rPr>
          <w:rStyle w:val="StyleUnderline"/>
          <w:rFonts w:cs="Calibri"/>
        </w:rPr>
        <w:fldChar w:fldCharType="begin"/>
      </w:r>
      <w:r w:rsidRPr="00F933AF">
        <w:rPr>
          <w:rStyle w:val="StyleUnderline"/>
          <w:rFonts w:cs="Calibri"/>
        </w:rPr>
        <w:instrText xml:space="preserve"> HYPERLINK "http://povertylaw.org/clearinghouse/articles/pif" \l "sdfootnote52sym" </w:instrText>
      </w:r>
      <w:r w:rsidRPr="00F933AF">
        <w:rPr>
          <w:rStyle w:val="StyleUnderline"/>
          <w:rFonts w:cs="Calibri"/>
        </w:rPr>
        <w:fldChar w:fldCharType="separate"/>
      </w:r>
      <w:r w:rsidRPr="00F933AF">
        <w:rPr>
          <w:rStyle w:val="StyleUnderline"/>
          <w:rFonts w:cs="Calibri"/>
        </w:rPr>
        <w:t>52</w:t>
      </w:r>
      <w:r w:rsidRPr="00F933AF">
        <w:rPr>
          <w:rStyle w:val="StyleUnderline"/>
          <w:rFonts w:cs="Calibri"/>
        </w:rPr>
        <w:fldChar w:fldCharType="end"/>
      </w:r>
      <w:bookmarkEnd w:id="60"/>
      <w:r w:rsidRPr="00F933AF">
        <w:rPr>
          <w:rStyle w:val="StyleUnderline"/>
          <w:rFonts w:cs="Calibri"/>
        </w:rPr>
        <w:t xml:space="preserve"> Conversely, people without access to health insurance are less likely to receive a diagnosis in the early stages of a disease, more likely to die from acute conditions, and more likely to suffer from an undiagnosed chronic condition that could be controlled with appropriate care.</w:t>
      </w:r>
      <w:bookmarkStart w:id="61" w:name="sdfootnote53anc"/>
      <w:r w:rsidRPr="00F933AF">
        <w:rPr>
          <w:rFonts w:cs="Calibri"/>
          <w:sz w:val="16"/>
        </w:rPr>
        <w:fldChar w:fldCharType="begin"/>
      </w:r>
      <w:r w:rsidRPr="00F933AF">
        <w:rPr>
          <w:rFonts w:cs="Calibri"/>
          <w:sz w:val="16"/>
        </w:rPr>
        <w:instrText xml:space="preserve"> HYPERLINK "http://povertylaw.org/clearinghouse/articles/pif" \l "sdfootnote53sym" </w:instrText>
      </w:r>
      <w:r w:rsidRPr="00F933AF">
        <w:rPr>
          <w:rFonts w:cs="Calibri"/>
          <w:sz w:val="16"/>
        </w:rPr>
        <w:fldChar w:fldCharType="separate"/>
      </w:r>
      <w:r w:rsidRPr="00F933AF">
        <w:rPr>
          <w:rStyle w:val="Hyperlink"/>
          <w:rFonts w:cs="Calibri"/>
          <w:sz w:val="16"/>
        </w:rPr>
        <w:t>53</w:t>
      </w:r>
      <w:r w:rsidRPr="00F933AF">
        <w:rPr>
          <w:rFonts w:cs="Calibri"/>
          <w:sz w:val="16"/>
        </w:rPr>
        <w:fldChar w:fldCharType="end"/>
      </w:r>
      <w:bookmarkEnd w:id="61"/>
      <w:r w:rsidRPr="00F933AF">
        <w:rPr>
          <w:rFonts w:cs="Calibri"/>
          <w:sz w:val="16"/>
        </w:rPr>
        <w:t xml:space="preserve"> A wealth of research supports the notion that children do better when they have access to benefits. Similarly positive, long-term effects have been found with respect to other benefits programs. For example, children with access to nutritional assistance are more likely to graduate from high school and less likely to experience health problems such as diabetes and heart disease than children who are of similar economic backgrounds and do not receive nutrition benefits. </w:t>
      </w:r>
      <w:r w:rsidRPr="00F933AF">
        <w:rPr>
          <w:rStyle w:val="StyleUnderline"/>
          <w:rFonts w:cs="Calibri"/>
        </w:rPr>
        <w:t>Likewise, studies of economic benefits such as the Earned Income Tax Credit have found that these benefits lead to positive outcomes such as higher test scores, higher educational attainment, and higher lifetime earnings.</w:t>
      </w:r>
      <w:bookmarkStart w:id="62" w:name="sdfootnote54anc"/>
      <w:r w:rsidRPr="00F933AF">
        <w:rPr>
          <w:rStyle w:val="StyleUnderline"/>
          <w:rFonts w:cs="Calibri"/>
        </w:rPr>
        <w:fldChar w:fldCharType="begin"/>
      </w:r>
      <w:r w:rsidRPr="00F933AF">
        <w:rPr>
          <w:rStyle w:val="StyleUnderline"/>
          <w:rFonts w:cs="Calibri"/>
        </w:rPr>
        <w:instrText xml:space="preserve"> HYPERLINK "http://povertylaw.org/clearinghouse/articles/pif" \l "sdfootnote54sym" </w:instrText>
      </w:r>
      <w:r w:rsidRPr="00F933AF">
        <w:rPr>
          <w:rStyle w:val="StyleUnderline"/>
          <w:rFonts w:cs="Calibri"/>
        </w:rPr>
        <w:fldChar w:fldCharType="separate"/>
      </w:r>
      <w:r w:rsidRPr="00F933AF">
        <w:rPr>
          <w:rStyle w:val="StyleUnderline"/>
          <w:rFonts w:cs="Calibri"/>
        </w:rPr>
        <w:t>54</w:t>
      </w:r>
      <w:r w:rsidRPr="00F933AF">
        <w:rPr>
          <w:rStyle w:val="StyleUnderline"/>
          <w:rFonts w:cs="Calibri"/>
        </w:rPr>
        <w:fldChar w:fldCharType="end"/>
      </w:r>
      <w:bookmarkEnd w:id="62"/>
      <w:r w:rsidRPr="00F933AF">
        <w:rPr>
          <w:rStyle w:val="StyleUnderline"/>
          <w:rFonts w:cs="Calibri"/>
        </w:rPr>
        <w:t xml:space="preserve"> These benefits have ripple effects for future generations who are more likely to grow up in economically stable households. These benefits contribute to a healthy society. The instability and stress that result from lack of access to important services and from the current toxic anti-immigrant environment, inflict long-lasting harms on children: Persistent and substantial exposure to fear and anxiety—sometimes called “toxic stress”—can do immense damage to children’s health. This level of stress can interfere with young children’s physical brain development, altering how they learn and their ability to manage their emotions. It can also lead to physical and mental health problems that last into adulthood.</w:t>
      </w:r>
      <w:bookmarkStart w:id="63" w:name="sdfootnote55anc"/>
      <w:r w:rsidRPr="00F933AF">
        <w:rPr>
          <w:rStyle w:val="StyleUnderline"/>
          <w:rFonts w:cs="Calibri"/>
        </w:rPr>
        <w:fldChar w:fldCharType="begin"/>
      </w:r>
      <w:r w:rsidRPr="00F933AF">
        <w:rPr>
          <w:rStyle w:val="StyleUnderline"/>
          <w:rFonts w:cs="Calibri"/>
        </w:rPr>
        <w:instrText xml:space="preserve"> HYPERLINK "http://povertylaw.org/clearinghouse/articles/pif" \l "sdfootnote55sym" </w:instrText>
      </w:r>
      <w:r w:rsidRPr="00F933AF">
        <w:rPr>
          <w:rStyle w:val="StyleUnderline"/>
          <w:rFonts w:cs="Calibri"/>
        </w:rPr>
        <w:fldChar w:fldCharType="separate"/>
      </w:r>
      <w:r w:rsidRPr="00F933AF">
        <w:rPr>
          <w:rStyle w:val="StyleUnderline"/>
          <w:rFonts w:cs="Calibri"/>
        </w:rPr>
        <w:t>55</w:t>
      </w:r>
      <w:r w:rsidRPr="00F933AF">
        <w:rPr>
          <w:rStyle w:val="StyleUnderline"/>
          <w:rFonts w:cs="Calibri"/>
        </w:rPr>
        <w:fldChar w:fldCharType="end"/>
      </w:r>
      <w:bookmarkEnd w:id="63"/>
      <w:r w:rsidRPr="00F933AF">
        <w:rPr>
          <w:rStyle w:val="StyleUnderline"/>
          <w:rFonts w:cs="Calibri"/>
        </w:rPr>
        <w:t xml:space="preserve"> As noted above, citizen children with immigrant parents were already manifesting harmful stress-related behavioral changes such as difficulty eating and sleeping, psychosomatic symptoms such as headaches, and increased depression and anxiety. These effects, which are likely to worsen if public-charge rules are formally proposed and ultimately adopted, are likely to lead to poorer health outcomes, developmental limitations, and other adverse effects for children in America.</w:t>
      </w:r>
      <w:bookmarkStart w:id="64" w:name="sdfootnote56anc"/>
      <w:r w:rsidRPr="00F933AF">
        <w:rPr>
          <w:rStyle w:val="StyleUnderline"/>
          <w:rFonts w:cs="Calibri"/>
        </w:rPr>
        <w:fldChar w:fldCharType="begin"/>
      </w:r>
      <w:r w:rsidRPr="00F933AF">
        <w:rPr>
          <w:rStyle w:val="StyleUnderline"/>
          <w:rFonts w:cs="Calibri"/>
        </w:rPr>
        <w:instrText xml:space="preserve"> HYPERLINK "http://povertylaw.org/clearinghouse/articles/pif" \l "sdfootnote56sym" </w:instrText>
      </w:r>
      <w:r w:rsidRPr="00F933AF">
        <w:rPr>
          <w:rStyle w:val="StyleUnderline"/>
          <w:rFonts w:cs="Calibri"/>
        </w:rPr>
        <w:fldChar w:fldCharType="separate"/>
      </w:r>
      <w:r w:rsidRPr="00F933AF">
        <w:rPr>
          <w:rStyle w:val="StyleUnderline"/>
          <w:rFonts w:cs="Calibri"/>
        </w:rPr>
        <w:t>56</w:t>
      </w:r>
      <w:r w:rsidRPr="00F933AF">
        <w:rPr>
          <w:rStyle w:val="StyleUnderline"/>
          <w:rFonts w:cs="Calibri"/>
        </w:rPr>
        <w:fldChar w:fldCharType="end"/>
      </w:r>
      <w:bookmarkEnd w:id="64"/>
    </w:p>
    <w:p w:rsidR="000213B7" w:rsidRPr="000664A0" w:rsidRDefault="000213B7" w:rsidP="000213B7"/>
    <w:p w:rsidR="000213B7" w:rsidRPr="00F933AF" w:rsidRDefault="000213B7" w:rsidP="000213B7">
      <w:pPr>
        <w:pStyle w:val="Heading4"/>
        <w:rPr>
          <w:rFonts w:cs="Calibri"/>
        </w:rPr>
      </w:pPr>
      <w:r w:rsidRPr="00F933AF">
        <w:rPr>
          <w:rFonts w:cs="Calibri"/>
        </w:rPr>
        <w:t>Trump’s plan to expand the public charge to include healthcare would decrease participation in those programs and cause financial instability among immigrant families</w:t>
      </w:r>
    </w:p>
    <w:p w:rsidR="000213B7" w:rsidRPr="00F933AF" w:rsidRDefault="000213B7" w:rsidP="000213B7">
      <w:pPr>
        <w:rPr>
          <w:rStyle w:val="Style13ptBold"/>
          <w:rFonts w:cs="Calibri"/>
        </w:rPr>
      </w:pPr>
      <w:r w:rsidRPr="00F933AF">
        <w:rPr>
          <w:rStyle w:val="Style13ptBold"/>
          <w:rFonts w:cs="Calibri"/>
        </w:rPr>
        <w:t xml:space="preserve">KFF 18 </w:t>
      </w:r>
      <w:r w:rsidRPr="00F933AF">
        <w:rPr>
          <w:rFonts w:cs="Calibri"/>
        </w:rPr>
        <w:t>(Henry J Kaiser Family Foundation, Filling the need for trusted information on national health issues, “Proposed Changes to “Public Charge” Policies for Immigrants: Implications for Health Coverage,” [KFF], February 13</w:t>
      </w:r>
      <w:r w:rsidRPr="00F933AF">
        <w:rPr>
          <w:rFonts w:cs="Calibri"/>
          <w:vertAlign w:val="superscript"/>
        </w:rPr>
        <w:t>th</w:t>
      </w:r>
      <w:r w:rsidRPr="00F933AF">
        <w:rPr>
          <w:rFonts w:cs="Calibri"/>
        </w:rPr>
        <w:t xml:space="preserve"> 2018, accessed: 7/10/18, https://www.kff.org/disparities-policy/fact-sheet/proposed-changes-to-public-charge-policies-for-immigrants-implications-for-health-coverage/)//DCai</w:t>
      </w:r>
    </w:p>
    <w:p w:rsidR="000213B7" w:rsidRPr="001F1F1E" w:rsidRDefault="000213B7" w:rsidP="000213B7">
      <w:pPr>
        <w:rPr>
          <w:rFonts w:cs="Calibri"/>
          <w:u w:val="single"/>
        </w:rPr>
      </w:pPr>
      <w:r w:rsidRPr="00F933AF">
        <w:rPr>
          <w:rFonts w:cs="Calibri"/>
          <w:sz w:val="16"/>
        </w:rPr>
        <w:t xml:space="preserve">What are the Implications for Health and Health Coverage? Today, </w:t>
      </w:r>
      <w:r w:rsidRPr="00F933AF">
        <w:rPr>
          <w:rStyle w:val="StyleUnderline"/>
          <w:rFonts w:cs="Calibri"/>
        </w:rPr>
        <w:t>Medicaid and CHIP help fill gaps in private coverage for lawfully present immigrants, providing them access to needed care and financial protections that support their ability to work and the growth and healthy development of their children.</w:t>
      </w:r>
      <w:r w:rsidRPr="00F933AF">
        <w:rPr>
          <w:rFonts w:cs="Calibri"/>
          <w:sz w:val="16"/>
        </w:rPr>
        <w:t xml:space="preserve"> </w:t>
      </w:r>
      <w:r w:rsidRPr="00F933AF">
        <w:rPr>
          <w:rStyle w:val="StyleUnderline"/>
          <w:rFonts w:cs="Calibri"/>
        </w:rPr>
        <w:t>Medicaid and CHIP provide families access to preventive and primary care, including prenatal care, as well as care for chronic conditions.</w:t>
      </w:r>
      <w:r w:rsidRPr="00F933AF">
        <w:rPr>
          <w:rFonts w:cs="Calibri"/>
          <w:sz w:val="16"/>
        </w:rPr>
        <w:t xml:space="preserve"> In addition, </w:t>
      </w:r>
      <w:r w:rsidRPr="00F933AF">
        <w:rPr>
          <w:rStyle w:val="StyleUnderline"/>
          <w:rFonts w:cs="Calibri"/>
        </w:rPr>
        <w:t>the coverage provides families financial protection from high medical costs. By enabling families to meet their health care needs, Medicaid and CHIP support families’ ability to work and promote growth and healthy development of their children.</w:t>
      </w:r>
      <w:r w:rsidRPr="00F933AF">
        <w:rPr>
          <w:rFonts w:cs="Calibri"/>
          <w:sz w:val="16"/>
        </w:rPr>
        <w:t xml:space="preserve"> The majority of lawfully present immigrants live in a family with at least one full-time worker (83%), a rate equal to that of citizens.11 However, lawfully present immigrants are more likely than citizens to live in low-income families and often work in jobs and industries that do not offer health coverage. Reflecting their lower incomes and limited access to private coverage, </w:t>
      </w:r>
      <w:r w:rsidRPr="00F933AF">
        <w:rPr>
          <w:rStyle w:val="StyleUnderline"/>
          <w:rFonts w:cs="Calibri"/>
        </w:rPr>
        <w:t>one in four nonelderly lawfully present immigrants has Medicaid or CHIP coverage</w:t>
      </w:r>
      <w:r w:rsidRPr="00F933AF">
        <w:rPr>
          <w:rFonts w:cs="Calibri"/>
          <w:sz w:val="16"/>
        </w:rPr>
        <w:t xml:space="preserve">.12 However, among the low-income nonelderly population, </w:t>
      </w:r>
      <w:r w:rsidRPr="00F933AF">
        <w:rPr>
          <w:rStyle w:val="StyleUnderline"/>
          <w:rFonts w:cs="Calibri"/>
        </w:rPr>
        <w:t>lawfully present immigrants are less likely than citizens to have Medicaid or CHIP coverage, reflecting eligibility restrictions for immigrants.</w:t>
      </w:r>
      <w:r w:rsidRPr="00F933AF">
        <w:rPr>
          <w:rFonts w:cs="Calibri"/>
          <w:sz w:val="16"/>
        </w:rPr>
        <w:t xml:space="preserve">13 </w:t>
      </w:r>
      <w:r w:rsidRPr="00F933AF">
        <w:rPr>
          <w:rStyle w:val="StyleUnderline"/>
          <w:rFonts w:cs="Calibri"/>
        </w:rPr>
        <w:t>Lawfully present immigrants may qualify for Medicaid and CHIP, including the Affordable Care Act (ACA) Medicaid expansion to low-income adults, but many must wait five years after obtaining lawful status before they may enroll.</w:t>
      </w:r>
      <w:r w:rsidRPr="00F933AF">
        <w:rPr>
          <w:rFonts w:cs="Calibri"/>
          <w:sz w:val="16"/>
        </w:rPr>
        <w:t xml:space="preserve"> In addition, many eligible lawfully present immigrants are not enrolled due to multiple enrollment barriers, including fear. </w:t>
      </w:r>
      <w:r w:rsidRPr="00F933AF">
        <w:rPr>
          <w:rStyle w:val="StyleUnderline"/>
          <w:rFonts w:cs="Calibri"/>
        </w:rPr>
        <w:t>The proposed changes would likely lead to decreased participation in Medicaid, CHIP, Marketplace coverage, and other programs among immigrant families, including their citizen children.</w:t>
      </w:r>
      <w:r w:rsidRPr="00F933AF">
        <w:rPr>
          <w:rFonts w:cs="Calibri"/>
          <w:sz w:val="16"/>
        </w:rPr>
        <w:t xml:space="preserve"> Despite broad efforts to assure the immigrant community that Medicaid and CHIP could not be used in public charge determinations under current policy, many eligible lawfully present immigrants did not enroll themselves or their children because they feared it could negatively affect their status. </w:t>
      </w:r>
      <w:r w:rsidRPr="00F933AF">
        <w:rPr>
          <w:rStyle w:val="StyleUnderline"/>
          <w:rFonts w:cs="Calibri"/>
        </w:rPr>
        <w:t>This policy change would amplify these fears because use of Medicaid and CHIP and other programs could now have negative repercussions on immigration status.</w:t>
      </w:r>
      <w:r w:rsidRPr="00F933AF">
        <w:rPr>
          <w:rFonts w:cs="Calibri"/>
          <w:sz w:val="16"/>
        </w:rPr>
        <w:t xml:space="preserve"> Further, </w:t>
      </w:r>
      <w:r w:rsidRPr="00F933AF">
        <w:rPr>
          <w:rStyle w:val="StyleUnderline"/>
          <w:rFonts w:cs="Calibri"/>
        </w:rPr>
        <w:t>the Administration’s increased focus on immigration enforcement and restriction has led to growing fears among legal immigrants about the stability of their status.</w:t>
      </w:r>
      <w:r w:rsidRPr="00F933AF">
        <w:rPr>
          <w:rFonts w:cs="Calibri"/>
          <w:sz w:val="16"/>
        </w:rPr>
        <w:t xml:space="preserve">14 </w:t>
      </w:r>
      <w:r w:rsidRPr="00F933AF">
        <w:rPr>
          <w:rStyle w:val="StyleUnderline"/>
          <w:rFonts w:cs="Calibri"/>
        </w:rPr>
        <w:t xml:space="preserve">Increased fears would likely extend beyond individuals directly affected by the policy to the broader immigrant community. </w:t>
      </w:r>
      <w:r w:rsidRPr="00F933AF">
        <w:rPr>
          <w:rStyle w:val="Emphasis"/>
          <w:rFonts w:cs="Calibri"/>
        </w:rPr>
        <w:t>Due to increased fears, it is likely that fewer eligible individuals would enroll themselves and their children in health coverage and that individuals who are currently enrolled in programs would disenroll themselves and their children.</w:t>
      </w:r>
      <w:r w:rsidRPr="00F933AF">
        <w:rPr>
          <w:rStyle w:val="StyleUnderline"/>
          <w:rFonts w:cs="Calibri"/>
        </w:rPr>
        <w:t xml:space="preserve"> Participation in nutrition programs, like SNAP and WIC, would also likely decrease. Decreased participation in Medicaid, CHIP, and Marketplace coverage would increase the uninsured rate among immigrant families, negatively affecting their health and financial stability and the growth and healthy development of their children</w:t>
      </w:r>
      <w:r w:rsidRPr="00F933AF">
        <w:rPr>
          <w:rFonts w:cs="Calibri"/>
          <w:sz w:val="16"/>
        </w:rPr>
        <w:t xml:space="preserve">. </w:t>
      </w:r>
      <w:r w:rsidRPr="00F933AF">
        <w:rPr>
          <w:rStyle w:val="StyleUnderline"/>
          <w:rFonts w:cs="Calibri"/>
        </w:rPr>
        <w:t>Without Medicaid, CHIP, or Marketplace coverage, more lawfully present immigrants would become uninsured, widening the disparity in coverage they already face.</w:t>
      </w:r>
      <w:r w:rsidRPr="00F933AF">
        <w:rPr>
          <w:rFonts w:cs="Calibri"/>
          <w:sz w:val="16"/>
        </w:rPr>
        <w:t xml:space="preserve"> As of 2016, 17% of lawfully present immigrants were uninsured compared to 9% of citizens.15 Coverage losses would lead to reduced access to care for families, contributing to worse health outcomes over time. Moreover, these effects would likely be compounded by reduced participation in nutrition and other support programs. </w:t>
      </w:r>
      <w:r w:rsidRPr="00F933AF">
        <w:rPr>
          <w:rStyle w:val="StyleUnderline"/>
          <w:rFonts w:cs="Calibri"/>
        </w:rPr>
        <w:t>Decreased participation in these programs would negatively affect the financial stability of families and the growth and healthy development of children in these families, who are predominantly U.S. born citizens.</w:t>
      </w:r>
    </w:p>
    <w:p w:rsidR="000213B7" w:rsidRPr="00F933AF" w:rsidRDefault="000213B7" w:rsidP="000213B7">
      <w:pPr>
        <w:pStyle w:val="Heading4"/>
        <w:rPr>
          <w:rFonts w:cs="Calibri"/>
        </w:rPr>
      </w:pPr>
      <w:r w:rsidRPr="00F933AF">
        <w:rPr>
          <w:rFonts w:cs="Calibri"/>
        </w:rPr>
        <w:t>Political reform solves economic costs, chilling effect and unjust denial to vulnerable immigrants</w:t>
      </w:r>
    </w:p>
    <w:p w:rsidR="000213B7" w:rsidRPr="00F933AF" w:rsidRDefault="000213B7" w:rsidP="000213B7">
      <w:pPr>
        <w:rPr>
          <w:rFonts w:cs="Calibri"/>
        </w:rPr>
      </w:pPr>
      <w:r w:rsidRPr="00F933AF">
        <w:rPr>
          <w:rStyle w:val="Style13ptBold"/>
          <w:rFonts w:cs="Calibri"/>
        </w:rPr>
        <w:t>Moore 17</w:t>
      </w:r>
      <w:r w:rsidRPr="00F933AF">
        <w:rPr>
          <w:rFonts w:cs="Calibri"/>
        </w:rPr>
        <w:t xml:space="preserve"> (Andrew F. Moore, Associate Professor of Law at the University of Detroit, 2017, “THE IMMIGRANT PARADOX: PROTECTING IMMIGRANTS THROUGH BETTER MENTAL HEALTH CARE”, Albany Law Review, LexisNexis)/CWB</w:t>
      </w:r>
    </w:p>
    <w:p w:rsidR="000213B7" w:rsidRPr="00F933AF" w:rsidRDefault="000213B7" w:rsidP="000213B7">
      <w:pPr>
        <w:rPr>
          <w:rFonts w:cs="Calibri"/>
          <w:sz w:val="16"/>
        </w:rPr>
      </w:pPr>
      <w:r w:rsidRPr="00F933AF">
        <w:rPr>
          <w:rStyle w:val="StyleUnderline"/>
          <w:rFonts w:cs="Calibri"/>
        </w:rPr>
        <w:t xml:space="preserve">The current administration's approach is </w:t>
      </w:r>
      <w:r w:rsidRPr="00F933AF">
        <w:rPr>
          <w:rStyle w:val="Emphasis"/>
          <w:rFonts w:cs="Calibri"/>
        </w:rPr>
        <w:t>tragic</w:t>
      </w:r>
      <w:r w:rsidRPr="00F933AF">
        <w:rPr>
          <w:rFonts w:cs="Calibri"/>
          <w:sz w:val="16"/>
        </w:rPr>
        <w:t xml:space="preserve">, given the very good arguments recommending a return to full immigrant coverage, including undocumented coverage. </w:t>
      </w:r>
      <w:proofErr w:type="gramStart"/>
      <w:r w:rsidRPr="00F933AF">
        <w:rPr>
          <w:rFonts w:cs="Calibri"/>
          <w:sz w:val="16"/>
        </w:rPr>
        <w:t>n325</w:t>
      </w:r>
      <w:proofErr w:type="gramEnd"/>
      <w:r w:rsidRPr="00F933AF">
        <w:rPr>
          <w:rFonts w:cs="Calibri"/>
          <w:sz w:val="16"/>
        </w:rPr>
        <w:t xml:space="preserve"> </w:t>
      </w:r>
      <w:r w:rsidRPr="00F933AF">
        <w:rPr>
          <w:rStyle w:val="StyleUnderline"/>
          <w:rFonts w:cs="Calibri"/>
        </w:rPr>
        <w:t xml:space="preserve">Poor immigrant health leads to </w:t>
      </w:r>
      <w:r w:rsidRPr="00F933AF">
        <w:rPr>
          <w:rStyle w:val="Emphasis"/>
          <w:rFonts w:cs="Calibri"/>
        </w:rPr>
        <w:t>spillover economic costs</w:t>
      </w:r>
      <w:r w:rsidRPr="00F933AF">
        <w:rPr>
          <w:rStyle w:val="StyleUnderline"/>
          <w:rFonts w:cs="Calibri"/>
        </w:rPr>
        <w:t xml:space="preserve"> because there are risks to public health for untreated immigrants. For example, pregnant immigrant [*115] mothers have particular needs while giving birth to U.S. citizen children, there is a </w:t>
      </w:r>
      <w:r w:rsidRPr="00F933AF">
        <w:rPr>
          <w:rStyle w:val="Emphasis"/>
          <w:rFonts w:cs="Calibri"/>
        </w:rPr>
        <w:t>chilling effect</w:t>
      </w:r>
      <w:r w:rsidRPr="00F933AF">
        <w:rPr>
          <w:rStyle w:val="StyleUnderline"/>
          <w:rFonts w:cs="Calibri"/>
        </w:rPr>
        <w:t xml:space="preserve"> on immigrants who are otherwise authorized under the law to receive benefits, and there are </w:t>
      </w:r>
      <w:r w:rsidRPr="00F933AF">
        <w:rPr>
          <w:rStyle w:val="Emphasis"/>
          <w:rFonts w:cs="Calibri"/>
        </w:rPr>
        <w:t>particularly vulnerable</w:t>
      </w:r>
      <w:r w:rsidRPr="00F933AF">
        <w:rPr>
          <w:rStyle w:val="StyleUnderline"/>
          <w:rFonts w:cs="Calibri"/>
        </w:rPr>
        <w:t xml:space="preserve"> groups such as the elderly and immigrants who already suffer from mental health issues, whose denial of coverage is </w:t>
      </w:r>
      <w:r w:rsidRPr="00F933AF">
        <w:rPr>
          <w:rStyle w:val="Emphasis"/>
          <w:rFonts w:cs="Calibri"/>
        </w:rPr>
        <w:t>unjust.</w:t>
      </w:r>
      <w:r w:rsidRPr="00F933AF">
        <w:rPr>
          <w:rFonts w:cs="Calibri"/>
          <w:sz w:val="16"/>
        </w:rPr>
        <w:t xml:space="preserve"> </w:t>
      </w:r>
      <w:proofErr w:type="gramStart"/>
      <w:r w:rsidRPr="00F933AF">
        <w:rPr>
          <w:rFonts w:cs="Calibri"/>
          <w:sz w:val="16"/>
        </w:rPr>
        <w:t>n326</w:t>
      </w:r>
      <w:proofErr w:type="gramEnd"/>
      <w:r w:rsidRPr="00F933AF">
        <w:rPr>
          <w:rFonts w:cs="Calibri"/>
          <w:sz w:val="16"/>
        </w:rPr>
        <w:t xml:space="preserve"> There has been </w:t>
      </w:r>
      <w:r w:rsidRPr="00F933AF">
        <w:rPr>
          <w:rStyle w:val="StyleUnderline"/>
          <w:rFonts w:cs="Calibri"/>
        </w:rPr>
        <w:t xml:space="preserve">good </w:t>
      </w:r>
      <w:r w:rsidRPr="00F933AF">
        <w:rPr>
          <w:rStyle w:val="Emphasis"/>
          <w:rFonts w:cs="Calibri"/>
        </w:rPr>
        <w:t>scholarship advocating</w:t>
      </w:r>
      <w:r w:rsidRPr="00F933AF">
        <w:rPr>
          <w:rStyle w:val="StyleUnderline"/>
          <w:rFonts w:cs="Calibri"/>
        </w:rPr>
        <w:t xml:space="preserve"> for the expansion of publicly-financed health benefits</w:t>
      </w:r>
      <w:r w:rsidRPr="00F933AF">
        <w:rPr>
          <w:rFonts w:cs="Calibri"/>
          <w:sz w:val="16"/>
        </w:rPr>
        <w:t xml:space="preserve">, including mental health benefits for undocumented children. n327 </w:t>
      </w:r>
      <w:r w:rsidRPr="00F933AF">
        <w:rPr>
          <w:rStyle w:val="StyleUnderline"/>
          <w:rFonts w:cs="Calibri"/>
        </w:rPr>
        <w:t xml:space="preserve">The particular vulnerability of children has been highlighted, since children are covered by a separate federal program, </w:t>
      </w:r>
      <w:r w:rsidRPr="00F933AF">
        <w:rPr>
          <w:rFonts w:cs="Calibri"/>
          <w:sz w:val="16"/>
        </w:rPr>
        <w:t xml:space="preserve">the Children's Health Insurance Program ("CHIP"), </w:t>
      </w:r>
      <w:r w:rsidRPr="00F933AF">
        <w:rPr>
          <w:rStyle w:val="StyleUnderline"/>
          <w:rFonts w:cs="Calibri"/>
        </w:rPr>
        <w:t>which also has a five-year bar for immigrants</w:t>
      </w:r>
      <w:r w:rsidRPr="00F933AF">
        <w:rPr>
          <w:rFonts w:cs="Calibri"/>
          <w:sz w:val="16"/>
        </w:rPr>
        <w:t xml:space="preserve">. </w:t>
      </w:r>
      <w:proofErr w:type="gramStart"/>
      <w:r w:rsidRPr="00F933AF">
        <w:rPr>
          <w:rFonts w:cs="Calibri"/>
          <w:sz w:val="16"/>
        </w:rPr>
        <w:t>n328</w:t>
      </w:r>
      <w:proofErr w:type="gramEnd"/>
      <w:r w:rsidRPr="00F933AF">
        <w:rPr>
          <w:rFonts w:cs="Calibri"/>
          <w:sz w:val="16"/>
        </w:rPr>
        <w:t xml:space="preserve"> </w:t>
      </w:r>
      <w:r w:rsidRPr="00F933AF">
        <w:rPr>
          <w:rStyle w:val="StyleUnderline"/>
          <w:rFonts w:cs="Calibri"/>
        </w:rPr>
        <w:t xml:space="preserve">What is needed is a </w:t>
      </w:r>
      <w:r w:rsidRPr="00F933AF">
        <w:rPr>
          <w:rStyle w:val="Emphasis"/>
          <w:rFonts w:cs="Calibri"/>
        </w:rPr>
        <w:t>re-framing</w:t>
      </w:r>
      <w:r w:rsidRPr="00F933AF">
        <w:rPr>
          <w:rStyle w:val="StyleUnderline"/>
          <w:rFonts w:cs="Calibri"/>
        </w:rPr>
        <w:t xml:space="preserve"> of the issue </w:t>
      </w:r>
      <w:r w:rsidRPr="00F933AF">
        <w:rPr>
          <w:rStyle w:val="Emphasis"/>
          <w:rFonts w:cs="Calibri"/>
        </w:rPr>
        <w:t>in a political context</w:t>
      </w:r>
      <w:r w:rsidRPr="00F933AF">
        <w:rPr>
          <w:rStyle w:val="StyleUnderline"/>
          <w:rFonts w:cs="Calibri"/>
        </w:rPr>
        <w:t xml:space="preserve"> likely to respond to the counter-narrative that it is sound public policy to extend coverage</w:t>
      </w:r>
      <w:r w:rsidRPr="00F933AF">
        <w:rPr>
          <w:rFonts w:cs="Calibri"/>
          <w:sz w:val="16"/>
        </w:rPr>
        <w:t xml:space="preserve">. </w:t>
      </w:r>
    </w:p>
    <w:p w:rsidR="001931F4" w:rsidRPr="00F933AF" w:rsidRDefault="001931F4" w:rsidP="001931F4">
      <w:pPr>
        <w:spacing w:after="0"/>
        <w:rPr>
          <w:rStyle w:val="Emphasis"/>
          <w:rFonts w:cs="Calibri"/>
        </w:rPr>
      </w:pPr>
    </w:p>
    <w:p w:rsidR="001931F4" w:rsidRPr="00F933AF" w:rsidRDefault="001931F4" w:rsidP="001931F4">
      <w:pPr>
        <w:pStyle w:val="Heading4"/>
        <w:rPr>
          <w:rFonts w:cs="Calibri"/>
        </w:rPr>
      </w:pPr>
      <w:r w:rsidRPr="00F933AF">
        <w:rPr>
          <w:rFonts w:cs="Calibri"/>
        </w:rPr>
        <w:t>Public charge is in line with Trump and democratic resistance is non-existent</w:t>
      </w:r>
    </w:p>
    <w:p w:rsidR="001931F4" w:rsidRPr="00F933AF" w:rsidRDefault="001931F4" w:rsidP="001931F4">
      <w:pPr>
        <w:spacing w:after="0"/>
        <w:rPr>
          <w:rFonts w:cs="Calibri"/>
        </w:rPr>
      </w:pPr>
      <w:r w:rsidRPr="00F933AF">
        <w:rPr>
          <w:rStyle w:val="Style13ptBold"/>
          <w:rFonts w:cs="Calibri"/>
        </w:rPr>
        <w:t>London 3-31</w:t>
      </w:r>
      <w:r w:rsidRPr="00F933AF">
        <w:rPr>
          <w:rFonts w:cs="Calibri"/>
        </w:rPr>
        <w:t xml:space="preserve"> (Eric, reporter for WSWS. World Socialist Web Site, 3-31-2018. “</w:t>
      </w:r>
      <w:r w:rsidRPr="00F933AF">
        <w:rPr>
          <w:rStyle w:val="StyleUnderline"/>
          <w:rFonts w:cs="Calibri"/>
        </w:rPr>
        <w:t>Democrats green-light Trump’s escalating war on immigrants</w:t>
      </w:r>
      <w:r w:rsidRPr="00F933AF">
        <w:rPr>
          <w:rFonts w:cs="Calibri"/>
        </w:rPr>
        <w:t>”) NREM/Lil’ GBN</w:t>
      </w:r>
    </w:p>
    <w:p w:rsidR="001931F4" w:rsidRPr="00F933AF" w:rsidRDefault="00266AB6" w:rsidP="001931F4">
      <w:pPr>
        <w:spacing w:after="0"/>
        <w:rPr>
          <w:rFonts w:cs="Calibri"/>
        </w:rPr>
      </w:pPr>
      <w:hyperlink r:id="rId123" w:history="1">
        <w:r w:rsidR="001931F4" w:rsidRPr="00F933AF">
          <w:rPr>
            <w:rStyle w:val="Hyperlink"/>
            <w:rFonts w:cs="Calibri"/>
          </w:rPr>
          <w:t>https://www.wsws.org/en/articles/2018/03/31/immi-m31.html</w:t>
        </w:r>
      </w:hyperlink>
      <w:r w:rsidR="001931F4" w:rsidRPr="00F933AF">
        <w:rPr>
          <w:rFonts w:cs="Calibri"/>
        </w:rPr>
        <w:t xml:space="preserve"> *modified for racial language – we do not endorse it. Used as a quote, not endorsed by the author</w:t>
      </w:r>
    </w:p>
    <w:p w:rsidR="001931F4" w:rsidRPr="00F933AF" w:rsidRDefault="001931F4" w:rsidP="001931F4">
      <w:pPr>
        <w:spacing w:after="0"/>
        <w:rPr>
          <w:rFonts w:cs="Calibri"/>
          <w:sz w:val="10"/>
        </w:rPr>
      </w:pPr>
      <w:r w:rsidRPr="00F933AF">
        <w:rPr>
          <w:rStyle w:val="Emphasis"/>
          <w:rFonts w:cs="Calibri"/>
        </w:rPr>
        <w:t>Without any opposition</w:t>
      </w:r>
      <w:r w:rsidRPr="00F933AF">
        <w:rPr>
          <w:rFonts w:cs="Calibri"/>
          <w:sz w:val="10"/>
        </w:rPr>
        <w:t xml:space="preserve"> </w:t>
      </w:r>
      <w:r w:rsidRPr="00F933AF">
        <w:rPr>
          <w:rStyle w:val="StyleUnderline"/>
          <w:rFonts w:cs="Calibri"/>
        </w:rPr>
        <w:t>from the Democratic Party and little attention</w:t>
      </w:r>
      <w:r w:rsidRPr="00F933AF">
        <w:rPr>
          <w:rFonts w:cs="Calibri"/>
          <w:sz w:val="10"/>
        </w:rPr>
        <w:t xml:space="preserve"> in the corporate media, President Donald </w:t>
      </w:r>
      <w:r w:rsidRPr="00F933AF">
        <w:rPr>
          <w:rStyle w:val="StyleUnderline"/>
          <w:rFonts w:cs="Calibri"/>
        </w:rPr>
        <w:t>Trump</w:t>
      </w:r>
      <w:r w:rsidRPr="00F933AF">
        <w:rPr>
          <w:rFonts w:cs="Calibri"/>
          <w:sz w:val="10"/>
        </w:rPr>
        <w:t xml:space="preserve"> and his fascist advisors are quietly </w:t>
      </w:r>
      <w:r w:rsidRPr="00F933AF">
        <w:rPr>
          <w:rStyle w:val="StyleUnderline"/>
          <w:rFonts w:cs="Calibri"/>
        </w:rPr>
        <w:t>carrying out</w:t>
      </w:r>
      <w:r w:rsidRPr="00F933AF">
        <w:rPr>
          <w:rFonts w:cs="Calibri"/>
          <w:sz w:val="10"/>
        </w:rPr>
        <w:t xml:space="preserve"> </w:t>
      </w:r>
      <w:r w:rsidRPr="00F933AF">
        <w:rPr>
          <w:rStyle w:val="StyleUnderline"/>
          <w:rFonts w:cs="Calibri"/>
        </w:rPr>
        <w:t>the most dramatic</w:t>
      </w:r>
      <w:r w:rsidRPr="00F933AF">
        <w:rPr>
          <w:rFonts w:cs="Calibri"/>
          <w:sz w:val="10"/>
        </w:rPr>
        <w:t xml:space="preserve"> rightwing </w:t>
      </w:r>
      <w:r w:rsidRPr="00F933AF">
        <w:rPr>
          <w:rStyle w:val="StyleUnderline"/>
          <w:rFonts w:cs="Calibri"/>
        </w:rPr>
        <w:t>shift in US immigration policy</w:t>
      </w:r>
      <w:r w:rsidRPr="00F933AF">
        <w:rPr>
          <w:rFonts w:cs="Calibri"/>
          <w:sz w:val="10"/>
        </w:rPr>
        <w:t xml:space="preserve"> in a century. They are laying the basis for mass roundups and the </w:t>
      </w:r>
      <w:r w:rsidRPr="00F933AF">
        <w:rPr>
          <w:rStyle w:val="StyleUnderline"/>
          <w:rFonts w:cs="Calibri"/>
        </w:rPr>
        <w:t>brutalization of hundreds of thousands of immigrants</w:t>
      </w:r>
      <w:r w:rsidRPr="00F933AF">
        <w:rPr>
          <w:rFonts w:cs="Calibri"/>
          <w:sz w:val="10"/>
        </w:rPr>
        <w:t xml:space="preserve"> in an expanding network of internment camps nationwide. The Trump administration announced a series of new policies on Thursday. The first </w:t>
      </w:r>
      <w:r w:rsidRPr="00F933AF">
        <w:rPr>
          <w:rStyle w:val="StyleUnderline"/>
          <w:rFonts w:cs="Calibri"/>
        </w:rPr>
        <w:t>policy</w:t>
      </w:r>
      <w:r w:rsidRPr="00F933AF">
        <w:rPr>
          <w:rFonts w:cs="Calibri"/>
          <w:sz w:val="10"/>
        </w:rPr>
        <w:t xml:space="preserve"> change </w:t>
      </w:r>
      <w:r w:rsidRPr="00F933AF">
        <w:rPr>
          <w:rStyle w:val="StyleUnderline"/>
          <w:rFonts w:cs="Calibri"/>
        </w:rPr>
        <w:t>targets the poor and working class by blocking immigrants who have used a broad array of social programs from receiving legal permanent residency.</w:t>
      </w:r>
      <w:r w:rsidRPr="00F933AF">
        <w:rPr>
          <w:rFonts w:cs="Calibri"/>
          <w:sz w:val="10"/>
        </w:rPr>
        <w:t xml:space="preserve"> While </w:t>
      </w:r>
      <w:r w:rsidRPr="00F933AF">
        <w:rPr>
          <w:rStyle w:val="StyleUnderline"/>
          <w:rFonts w:cs="Calibri"/>
        </w:rPr>
        <w:t>immigrants</w:t>
      </w:r>
      <w:r w:rsidRPr="00F933AF">
        <w:rPr>
          <w:rFonts w:cs="Calibri"/>
          <w:sz w:val="10"/>
        </w:rPr>
        <w:t xml:space="preserve"> were previously denied permanent residency if they had used cash programs, Immigration and Customs Enforcement (ICE) announced a change on Thursday that adds almost all forms of government support to the list of </w:t>
      </w:r>
      <w:r w:rsidRPr="00F933AF">
        <w:rPr>
          <w:rStyle w:val="StyleUnderline"/>
          <w:rFonts w:cs="Calibri"/>
        </w:rPr>
        <w:t>banned</w:t>
      </w:r>
      <w:r w:rsidRPr="00F933AF">
        <w:rPr>
          <w:rFonts w:cs="Calibri"/>
          <w:sz w:val="10"/>
        </w:rPr>
        <w:t xml:space="preserve"> services, including noncash programs such as </w:t>
      </w:r>
      <w:r w:rsidRPr="00F933AF">
        <w:rPr>
          <w:rStyle w:val="StyleUnderline"/>
          <w:rFonts w:cs="Calibri"/>
        </w:rPr>
        <w:t>food stamps, Medicaid</w:t>
      </w:r>
      <w:r w:rsidRPr="00F933AF">
        <w:rPr>
          <w:rFonts w:cs="Calibri"/>
          <w:sz w:val="10"/>
        </w:rPr>
        <w:t>, the Children’s Health Insurance Program (</w:t>
      </w:r>
      <w:r w:rsidRPr="00F933AF">
        <w:rPr>
          <w:rStyle w:val="StyleUnderline"/>
          <w:rFonts w:cs="Calibri"/>
        </w:rPr>
        <w:t>CHIP</w:t>
      </w:r>
      <w:r w:rsidRPr="00F933AF">
        <w:rPr>
          <w:rFonts w:cs="Calibri"/>
          <w:sz w:val="10"/>
        </w:rPr>
        <w:t>), food programs for women and infants (</w:t>
      </w:r>
      <w:r w:rsidRPr="00F933AF">
        <w:rPr>
          <w:rStyle w:val="StyleUnderline"/>
          <w:rFonts w:cs="Calibri"/>
        </w:rPr>
        <w:t>WIC), school lunches, housing and heating assistance, health care subsidies, and</w:t>
      </w:r>
      <w:r w:rsidRPr="00F933AF">
        <w:rPr>
          <w:rFonts w:cs="Calibri"/>
          <w:sz w:val="10"/>
        </w:rPr>
        <w:t xml:space="preserve"> the earned income </w:t>
      </w:r>
      <w:r w:rsidRPr="00F933AF">
        <w:rPr>
          <w:rStyle w:val="StyleUnderline"/>
          <w:rFonts w:cs="Calibri"/>
        </w:rPr>
        <w:t>tax credit,</w:t>
      </w:r>
      <w:r w:rsidRPr="00F933AF">
        <w:rPr>
          <w:rFonts w:cs="Calibri"/>
          <w:sz w:val="10"/>
        </w:rPr>
        <w:t xml:space="preserve"> which is used by about 20 percent of the population. </w:t>
      </w:r>
      <w:r w:rsidRPr="00F933AF">
        <w:rPr>
          <w:rStyle w:val="StyleUnderline"/>
          <w:rFonts w:cs="Calibri"/>
        </w:rPr>
        <w:t xml:space="preserve">Any immigrant who uses a social program will be labeled a “public charge” and </w:t>
      </w:r>
      <w:r w:rsidRPr="00F933AF">
        <w:rPr>
          <w:rStyle w:val="Emphasis"/>
          <w:rFonts w:cs="Calibri"/>
        </w:rPr>
        <w:t>found ineligible for legal status</w:t>
      </w:r>
      <w:r w:rsidRPr="00F933AF">
        <w:rPr>
          <w:rFonts w:cs="Calibri"/>
          <w:sz w:val="10"/>
        </w:rPr>
        <w:t xml:space="preserve">. </w:t>
      </w:r>
      <w:r w:rsidRPr="00F933AF">
        <w:rPr>
          <w:rStyle w:val="StyleUnderline"/>
          <w:rFonts w:cs="Calibri"/>
        </w:rPr>
        <w:t>Immigrant parents will be penalized even if their US citizen children use social programs</w:t>
      </w:r>
      <w:r w:rsidRPr="00F933AF">
        <w:rPr>
          <w:rFonts w:cs="Calibri"/>
          <w:sz w:val="10"/>
        </w:rPr>
        <w:t xml:space="preserve"> to which they are legally entitled. As a result of this policy change, </w:t>
      </w:r>
      <w:r w:rsidRPr="00F933AF">
        <w:rPr>
          <w:rStyle w:val="StyleUnderline"/>
          <w:rFonts w:cs="Calibri"/>
        </w:rPr>
        <w:t xml:space="preserve">hundreds of thousands or millions of workers will go without food, health care, housing and other basic needs for </w:t>
      </w:r>
      <w:r w:rsidRPr="00F933AF">
        <w:rPr>
          <w:rStyle w:val="Emphasis"/>
          <w:rFonts w:cs="Calibri"/>
        </w:rPr>
        <w:t>fear of deportation</w:t>
      </w:r>
      <w:r w:rsidRPr="00F933AF">
        <w:rPr>
          <w:rFonts w:cs="Calibri"/>
          <w:sz w:val="10"/>
        </w:rPr>
        <w:t xml:space="preserve">. The </w:t>
      </w:r>
      <w:r w:rsidRPr="00F933AF">
        <w:rPr>
          <w:rStyle w:val="StyleUnderline"/>
          <w:rFonts w:cs="Calibri"/>
        </w:rPr>
        <w:t>Trump</w:t>
      </w:r>
      <w:r w:rsidRPr="00F933AF">
        <w:rPr>
          <w:rFonts w:cs="Calibri"/>
          <w:sz w:val="10"/>
        </w:rPr>
        <w:t xml:space="preserve"> administration’s strategy is to </w:t>
      </w:r>
      <w:r w:rsidRPr="00F933AF">
        <w:rPr>
          <w:rStyle w:val="StyleUnderline"/>
          <w:rFonts w:cs="Calibri"/>
        </w:rPr>
        <w:t>create</w:t>
      </w:r>
      <w:r w:rsidRPr="00F933AF">
        <w:rPr>
          <w:rFonts w:cs="Calibri"/>
          <w:sz w:val="10"/>
        </w:rPr>
        <w:t xml:space="preserve"> a permanent </w:t>
      </w:r>
      <w:r w:rsidRPr="00F933AF">
        <w:rPr>
          <w:rStyle w:val="StyleUnderline"/>
          <w:rFonts w:cs="Calibri"/>
        </w:rPr>
        <w:t xml:space="preserve">underclass of deeply impoverished </w:t>
      </w:r>
      <w:r w:rsidRPr="00F933AF">
        <w:rPr>
          <w:rStyle w:val="Emphasis"/>
          <w:rFonts w:cs="Calibri"/>
        </w:rPr>
        <w:t>people who can be scapegoated</w:t>
      </w:r>
      <w:r w:rsidRPr="00F933AF">
        <w:rPr>
          <w:rFonts w:cs="Calibri"/>
          <w:sz w:val="10"/>
        </w:rPr>
        <w:t xml:space="preserve"> for society’s ills. The administration also announced Thursday that it will require all visa applicants to submit their social media records dating back five years to determine if they are admissible for entry to the US. This policy will allow </w:t>
      </w:r>
      <w:r w:rsidRPr="00F933AF">
        <w:rPr>
          <w:rStyle w:val="StyleUnderline"/>
          <w:rFonts w:cs="Calibri"/>
        </w:rPr>
        <w:t>immigration officials to deny visas to applicants with left-wing political opinions</w:t>
      </w:r>
      <w:r w:rsidRPr="00F933AF">
        <w:rPr>
          <w:rFonts w:cs="Calibri"/>
          <w:sz w:val="10"/>
        </w:rPr>
        <w:t xml:space="preserve">. The administration also announced plans last week to include a question on the 2020 US census requiring people to state whether they are citizens. This change will give the police, military and deportation agencies a map of where undocumented people live, raising the specter of mass, coordinated raids to round up immigrants. The administration is also enacting a series of policy changes that systematize abuse in the immigration detention system. On Thursday, ICE announced that it will detain pregnant immigrants captured by ICE or Customs and Border Protection (CBP) agents. Last fall, the </w:t>
      </w:r>
      <w:r w:rsidRPr="00F933AF">
        <w:rPr>
          <w:rStyle w:val="StyleUnderline"/>
          <w:rFonts w:cs="Calibri"/>
        </w:rPr>
        <w:t>Trump</w:t>
      </w:r>
      <w:r w:rsidRPr="00F933AF">
        <w:rPr>
          <w:rFonts w:cs="Calibri"/>
          <w:sz w:val="10"/>
        </w:rPr>
        <w:t xml:space="preserve"> administration </w:t>
      </w:r>
      <w:r w:rsidRPr="00F933AF">
        <w:rPr>
          <w:rStyle w:val="StyleUnderline"/>
          <w:rFonts w:cs="Calibri"/>
        </w:rPr>
        <w:t>fought to deny detained immigrants access to abortion, even in cases where the immigrant was raped by smugglers.</w:t>
      </w:r>
      <w:r w:rsidRPr="00F933AF">
        <w:rPr>
          <w:rFonts w:cs="Calibri"/>
          <w:sz w:val="10"/>
        </w:rPr>
        <w:t xml:space="preserve"> According to official counts, 506 pregnant women have been detained since December 2017. The administration has also split detained families by moving immigrant parents and children to different facilities. Trump has unleashed fascistic elements within ICE and CBP who are engaged in widespread mistreatment of detained immigrants. In December, ICE shackled 92 Somalis together by their wrists, legs and waists on a deportation flight for over 40 hours, forcing them to urinate on themselves. According to a March 4 report in the Intercept, ICE agents beat and threatened the immigrants. When the Somali government refused to accept the deportees, agents brought the immigrants back to immigration detention centers in Florida and continued to beat them, calling them </w:t>
      </w:r>
      <w:r w:rsidRPr="00F933AF">
        <w:rPr>
          <w:rFonts w:cs="Calibri"/>
          <w:strike/>
          <w:sz w:val="10"/>
        </w:rPr>
        <w:t>“nigger”</w:t>
      </w:r>
      <w:r w:rsidRPr="00F933AF">
        <w:rPr>
          <w:rStyle w:val="StyleUnderline"/>
          <w:rFonts w:cs="Calibri"/>
          <w:strike/>
        </w:rPr>
        <w:t xml:space="preserve"> </w:t>
      </w:r>
      <w:r w:rsidRPr="00F933AF">
        <w:rPr>
          <w:rFonts w:cs="Calibri"/>
          <w:sz w:val="10"/>
        </w:rPr>
        <w:t xml:space="preserve">and “boy” and promising to “send you back to the jungle.” A recent report by a group of nonprofits documented routine beatings and sexual abuse of immigrants at a detention center in West Texas. One immigrant said he was “placed in solitary confinement, where I was forced to lie face down on the floor with my hands handcuffed behind my back while I was kicked repeatedly in the ribs by the warden…When I told him, ‘I’ll get a lawyer to sue you,’ the warden responded, ‘We’ve got enough money.’” When World Socialist Web Site reporters visited the West Texas Detention Facility, a local business owner boasted that local police “let us shoot immigrants and roll their bodies into the riverbed.” The US Supreme Court ruled this year that immigrants have no right to bail, meaning thousands more will face indefinite detention in these hellholes. In March, </w:t>
      </w:r>
      <w:r w:rsidRPr="00F933AF">
        <w:rPr>
          <w:rStyle w:val="StyleUnderline"/>
          <w:rFonts w:cs="Calibri"/>
        </w:rPr>
        <w:t xml:space="preserve">Democrats joined Republicans in passing a $1.3 trillion spending bill that </w:t>
      </w:r>
      <w:r w:rsidRPr="00F933AF">
        <w:rPr>
          <w:rStyle w:val="Emphasis"/>
          <w:rFonts w:cs="Calibri"/>
        </w:rPr>
        <w:t>strengthens the framework for mass detention and deportation</w:t>
      </w:r>
      <w:r w:rsidRPr="00F933AF">
        <w:rPr>
          <w:rFonts w:cs="Calibri"/>
          <w:sz w:val="10"/>
        </w:rPr>
        <w:t xml:space="preserve">, </w:t>
      </w:r>
      <w:r w:rsidRPr="00F933AF">
        <w:rPr>
          <w:rStyle w:val="StyleUnderline"/>
          <w:rFonts w:cs="Calibri"/>
        </w:rPr>
        <w:t>including</w:t>
      </w:r>
      <w:r w:rsidRPr="00F933AF">
        <w:rPr>
          <w:rFonts w:cs="Calibri"/>
          <w:sz w:val="10"/>
        </w:rPr>
        <w:t xml:space="preserve">: · </w:t>
      </w:r>
      <w:r w:rsidRPr="00F933AF">
        <w:rPr>
          <w:rStyle w:val="StyleUnderline"/>
          <w:rFonts w:cs="Calibri"/>
        </w:rPr>
        <w:t>A</w:t>
      </w:r>
      <w:r w:rsidRPr="00F933AF">
        <w:rPr>
          <w:rFonts w:cs="Calibri"/>
          <w:sz w:val="10"/>
        </w:rPr>
        <w:t xml:space="preserve"> 10 percent ($641 million) </w:t>
      </w:r>
      <w:r w:rsidRPr="00F933AF">
        <w:rPr>
          <w:rStyle w:val="StyleUnderline"/>
          <w:rFonts w:cs="Calibri"/>
        </w:rPr>
        <w:t>increase in funds for ICE</w:t>
      </w:r>
      <w:r w:rsidRPr="00F933AF">
        <w:rPr>
          <w:rFonts w:cs="Calibri"/>
          <w:sz w:val="10"/>
        </w:rPr>
        <w:t xml:space="preserve">. · </w:t>
      </w:r>
      <w:r w:rsidRPr="00F933AF">
        <w:rPr>
          <w:rStyle w:val="StyleUnderline"/>
          <w:rFonts w:cs="Calibri"/>
        </w:rPr>
        <w:t>Granting the Trump administration the right to allocate funds to expand the number of beds at immigrant detention centers</w:t>
      </w:r>
      <w:r w:rsidRPr="00F933AF">
        <w:rPr>
          <w:rFonts w:cs="Calibri"/>
          <w:sz w:val="10"/>
        </w:rPr>
        <w:t xml:space="preserve"> “as necessary to ensure the detention of aliens prioritized for removal.” · $</w:t>
      </w:r>
      <w:r w:rsidRPr="00F933AF">
        <w:rPr>
          <w:rStyle w:val="StyleUnderline"/>
          <w:rFonts w:cs="Calibri"/>
        </w:rPr>
        <w:t>1.6 billion for wall construction and border militarization</w:t>
      </w:r>
      <w:r w:rsidRPr="00F933AF">
        <w:rPr>
          <w:rFonts w:cs="Calibri"/>
          <w:sz w:val="10"/>
        </w:rPr>
        <w:t xml:space="preserve">, including $251 million to build a second wall in San Diego and $263 million for “planning, design and technology” for futuristic militarized walls. · Hiring hundreds more CBP agents. </w:t>
      </w:r>
      <w:r w:rsidRPr="00F933AF">
        <w:rPr>
          <w:rStyle w:val="StyleUnderline"/>
          <w:rFonts w:cs="Calibri"/>
        </w:rPr>
        <w:t>Democrats voted for the bill 39-8 in the Senate,</w:t>
      </w:r>
      <w:r w:rsidRPr="00F933AF">
        <w:rPr>
          <w:rFonts w:cs="Calibri"/>
          <w:sz w:val="10"/>
        </w:rPr>
        <w:t xml:space="preserve"> </w:t>
      </w:r>
      <w:r w:rsidRPr="00F933AF">
        <w:rPr>
          <w:rStyle w:val="StyleUnderline"/>
          <w:rFonts w:cs="Calibri"/>
        </w:rPr>
        <w:t>compared to Republicans who barely supported</w:t>
      </w:r>
      <w:r w:rsidRPr="00F933AF">
        <w:rPr>
          <w:rFonts w:cs="Calibri"/>
          <w:sz w:val="10"/>
        </w:rPr>
        <w:t xml:space="preserve"> it (voting 25-23), on the grounds that it was not sufficiently reactionary. </w:t>
      </w:r>
      <w:r w:rsidRPr="00F933AF">
        <w:rPr>
          <w:rStyle w:val="StyleUnderline"/>
          <w:rFonts w:cs="Calibri"/>
        </w:rPr>
        <w:t>The deal included no protection for</w:t>
      </w:r>
      <w:r w:rsidRPr="00F933AF">
        <w:rPr>
          <w:rFonts w:cs="Calibri"/>
          <w:sz w:val="10"/>
        </w:rPr>
        <w:t xml:space="preserve"> the 1.8 million people eligible for protection from deportation under the Deferred Action for Childhood Arrivals (</w:t>
      </w:r>
      <w:r w:rsidRPr="00F933AF">
        <w:rPr>
          <w:rStyle w:val="StyleUnderline"/>
          <w:rFonts w:cs="Calibri"/>
        </w:rPr>
        <w:t>DACA</w:t>
      </w:r>
      <w:r w:rsidRPr="00F933AF">
        <w:rPr>
          <w:rFonts w:cs="Calibri"/>
          <w:sz w:val="10"/>
        </w:rPr>
        <w:t xml:space="preserve">) program. Though the program expired on March 5, beneficiaries can renew their DACA protections while litigation plays out in the federal courts. Democrats explicitly refused to include DACA as a demand in the budget negotiations. Since March 6, the day after DACA’s expiration, the Democrats have made a deliberate decision to ignore the issue. In the hundreds of Twitter posts by Democratic leaders Charles Schumer, Nancy Pelosi, Barack Obama, Bernie Sanders, Elizabeth Warren and Joe Biden since March 6, only two tweets reference DACA. </w:t>
      </w:r>
      <w:r w:rsidRPr="00F933AF">
        <w:rPr>
          <w:rStyle w:val="Emphasis"/>
          <w:rFonts w:cs="Calibri"/>
        </w:rPr>
        <w:t xml:space="preserve">The Democrats’ claims to support immigrants are a sham. </w:t>
      </w:r>
      <w:r w:rsidRPr="00F933AF">
        <w:rPr>
          <w:rFonts w:cs="Calibri"/>
          <w:sz w:val="10"/>
        </w:rPr>
        <w:t xml:space="preserve">The </w:t>
      </w:r>
      <w:r w:rsidRPr="00F933AF">
        <w:rPr>
          <w:rStyle w:val="StyleUnderline"/>
          <w:rFonts w:cs="Calibri"/>
        </w:rPr>
        <w:t>Democratic Party expressed its real priorities during the budget negotiations in February in a letter to the Republican leadership signed by Pelosi, Schumer, Steny Hoyer and others.</w:t>
      </w:r>
      <w:r w:rsidRPr="00F933AF">
        <w:rPr>
          <w:rFonts w:cs="Calibri"/>
          <w:sz w:val="10"/>
        </w:rPr>
        <w:t xml:space="preserve"> Referring to the “Russian president and his operatives,” the Democrats’ letter claimed, “The most essential elements of America’s democracy are under attack by a foreign adversary and Congress must respond immediately.” The Democrats demanded $300 million for the Federal Bureau of Investigation (FBI) “to counter the influence of hostile foreign actors operating in the US, especially Russian operatives operating on our social media platforms”—in other words, to censor the Internet and ban left-wing and antiwar information and opinions.</w:t>
      </w:r>
    </w:p>
    <w:p w:rsidR="000213B7" w:rsidRPr="000213B7" w:rsidRDefault="000213B7" w:rsidP="000213B7"/>
    <w:p w:rsidR="000213B7" w:rsidRPr="000213B7" w:rsidRDefault="000213B7" w:rsidP="000213B7">
      <w:pPr>
        <w:pStyle w:val="Heading3"/>
      </w:pPr>
      <w:r>
        <w:t>Care Access</w:t>
      </w:r>
    </w:p>
    <w:p w:rsidR="000664A0" w:rsidRPr="00F933AF" w:rsidRDefault="000664A0" w:rsidP="000664A0">
      <w:pPr>
        <w:pStyle w:val="Heading4"/>
        <w:rPr>
          <w:rFonts w:cs="Calibri"/>
        </w:rPr>
      </w:pPr>
      <w:r w:rsidRPr="00F933AF">
        <w:rPr>
          <w:rFonts w:cs="Calibri"/>
        </w:rPr>
        <w:t>Immigration reform should stop denial of health care due to public charge requirements based off immigrant status- key to the economy</w:t>
      </w:r>
    </w:p>
    <w:p w:rsidR="000664A0" w:rsidRPr="00F933AF" w:rsidRDefault="000664A0" w:rsidP="000664A0">
      <w:pPr>
        <w:rPr>
          <w:rFonts w:cs="Calibri"/>
        </w:rPr>
      </w:pPr>
      <w:r w:rsidRPr="00F933AF">
        <w:rPr>
          <w:rStyle w:val="Style13ptBold"/>
          <w:rFonts w:cs="Calibri"/>
        </w:rPr>
        <w:t>Perriera and Ornelas 11</w:t>
      </w:r>
      <w:r w:rsidRPr="00F933AF">
        <w:rPr>
          <w:rFonts w:cs="Calibri"/>
        </w:rPr>
        <w:t xml:space="preserve"> (Krista M. Perreira, PhD in health economics from UC Berkley, professor of social medicine at the University of North Carolina,  faculty fellow in the Carolina Population Center, studies immigrant children health for the Anne E. Casey Foundation, Robert Wood Johnson Foundation and the U.S. Department of Health and Human Services, published in Demography, the Journal of Risk and Uncertainty, JAMA, NEJM, American Journal of Public Health, Social Science and Medicine, Journal of Social Issues, Social Forces, former policy analyst for FHI 360, the Migration Policy Institute, the Rand Corporation, the Urban Institute, and the U.S. Government Accountability Office, India J. Ornelas, professor of health services at the University of Washington, PhD in health education from the University of North Carolina, Spring 2011, “The Physical and Psychological Well-Being of Immigrant Children”, The Future of Children, Volume 21, Number 1, published by Princeton University, Project Muse)/CWB</w:t>
      </w:r>
    </w:p>
    <w:p w:rsidR="000664A0" w:rsidRPr="00F933AF" w:rsidRDefault="000664A0" w:rsidP="000664A0">
      <w:pPr>
        <w:rPr>
          <w:rFonts w:cs="Calibri"/>
          <w:sz w:val="16"/>
        </w:rPr>
      </w:pPr>
      <w:r w:rsidRPr="00F933AF">
        <w:rPr>
          <w:rStyle w:val="StyleUnderline"/>
          <w:rFonts w:cs="Calibri"/>
        </w:rPr>
        <w:t xml:space="preserve">Health status is a </w:t>
      </w:r>
      <w:r w:rsidRPr="00F933AF">
        <w:rPr>
          <w:rStyle w:val="Emphasis"/>
          <w:rFonts w:cs="Calibri"/>
        </w:rPr>
        <w:t>vital</w:t>
      </w:r>
      <w:r w:rsidRPr="00F933AF">
        <w:rPr>
          <w:rStyle w:val="StyleUnderline"/>
          <w:rFonts w:cs="Calibri"/>
        </w:rPr>
        <w:t xml:space="preserve"> aspect of </w:t>
      </w:r>
      <w:r w:rsidRPr="00F933AF">
        <w:rPr>
          <w:rStyle w:val="Emphasis"/>
          <w:rFonts w:cs="Calibri"/>
        </w:rPr>
        <w:t>human capital</w:t>
      </w:r>
      <w:r w:rsidRPr="00F933AF">
        <w:rPr>
          <w:rStyle w:val="StyleUnderline"/>
          <w:rFonts w:cs="Calibri"/>
        </w:rPr>
        <w:t>. Unhealthy workers are less productive, more costly for employers, and earn less over their lifetimes. A growing literature links adult ailments to childhood experiences</w:t>
      </w:r>
      <w:r w:rsidRPr="00F933AF">
        <w:rPr>
          <w:rFonts w:cs="Calibri"/>
          <w:sz w:val="16"/>
        </w:rPr>
        <w:t xml:space="preserve">. For example, childhood asthma and obesity rates are associated with a myriad of chronic illnesses in adulthood (such as diabetes, hypertension, and coronary disease). </w:t>
      </w:r>
      <w:r w:rsidRPr="00F933AF">
        <w:rPr>
          <w:rStyle w:val="StyleUnderline"/>
          <w:rFonts w:cs="Calibri"/>
        </w:rPr>
        <w:t xml:space="preserve">For the children of immigrants, </w:t>
      </w:r>
      <w:r w:rsidRPr="00F933AF">
        <w:rPr>
          <w:rFonts w:cs="Calibri"/>
          <w:sz w:val="16"/>
        </w:rPr>
        <w:t>poverty,</w:t>
      </w:r>
      <w:r w:rsidRPr="00F933AF">
        <w:rPr>
          <w:rStyle w:val="StyleUnderline"/>
          <w:rFonts w:cs="Calibri"/>
        </w:rPr>
        <w:t xml:space="preserve"> the </w:t>
      </w:r>
      <w:r w:rsidRPr="00F933AF">
        <w:rPr>
          <w:rStyle w:val="Emphasis"/>
          <w:rFonts w:cs="Calibri"/>
        </w:rPr>
        <w:t>stresses of migration</w:t>
      </w:r>
      <w:r w:rsidRPr="00F933AF">
        <w:rPr>
          <w:rStyle w:val="StyleUnderline"/>
          <w:rFonts w:cs="Calibri"/>
        </w:rPr>
        <w:t xml:space="preserve">, </w:t>
      </w:r>
      <w:r w:rsidRPr="00F933AF">
        <w:rPr>
          <w:rFonts w:cs="Calibri"/>
          <w:sz w:val="16"/>
        </w:rPr>
        <w:t>and the challenges of acculturation</w:t>
      </w:r>
      <w:r w:rsidRPr="00F933AF">
        <w:rPr>
          <w:rStyle w:val="StyleUnderline"/>
          <w:rFonts w:cs="Calibri"/>
        </w:rPr>
        <w:t xml:space="preserve"> can substantially increase their risk for the development of physical and mental health problems.</w:t>
      </w:r>
      <w:r w:rsidRPr="00F933AF">
        <w:rPr>
          <w:rFonts w:cs="Calibri"/>
          <w:sz w:val="16"/>
        </w:rPr>
        <w:t xml:space="preserve"> This article documents the evidence about differences in the health status of immigrant youth, including systematic variation in health-compromising behavior and access to health services. It concludes with a discussion of policy implications and strategies to reverse the troubling trends. </w:t>
      </w:r>
      <w:r w:rsidRPr="00F933AF">
        <w:rPr>
          <w:rStyle w:val="StyleUnderline"/>
          <w:rFonts w:cs="Calibri"/>
        </w:rPr>
        <w:t>Numerous studies document the human capital cost of poor health in adulthood.</w:t>
      </w:r>
      <w:r w:rsidRPr="00F933AF">
        <w:rPr>
          <w:rFonts w:cs="Calibri"/>
          <w:sz w:val="16"/>
        </w:rPr>
        <w:t xml:space="preserve"> Obesity, psychiatric disorders, and substance use, for example, affect large numbers of Americans and have all been shown to reduce adult employment and earnings significantly.1 </w:t>
      </w:r>
      <w:proofErr w:type="gramStart"/>
      <w:r w:rsidRPr="00F933AF">
        <w:rPr>
          <w:rFonts w:cs="Calibri"/>
          <w:sz w:val="16"/>
        </w:rPr>
        <w:t>Largely</w:t>
      </w:r>
      <w:proofErr w:type="gramEnd"/>
      <w:r w:rsidRPr="00F933AF">
        <w:rPr>
          <w:rFonts w:cs="Calibri"/>
          <w:sz w:val="16"/>
        </w:rPr>
        <w:t xml:space="preserve"> because of technical challenges and data limitations, fewer studies have examined the human capital costs of poor health in childhood. Nevertheless, evidence that </w:t>
      </w:r>
      <w:r w:rsidRPr="00F933AF">
        <w:rPr>
          <w:rStyle w:val="StyleUnderline"/>
          <w:rFonts w:cs="Calibri"/>
        </w:rPr>
        <w:t xml:space="preserve">poor childhood health negatively influences adult </w:t>
      </w:r>
      <w:r w:rsidRPr="00F933AF">
        <w:rPr>
          <w:rStyle w:val="Emphasis"/>
          <w:rFonts w:cs="Calibri"/>
        </w:rPr>
        <w:t>education, employment, and socioeconomic status</w:t>
      </w:r>
      <w:r w:rsidRPr="00F933AF">
        <w:rPr>
          <w:rFonts w:cs="Calibri"/>
          <w:sz w:val="16"/>
        </w:rPr>
        <w:t xml:space="preserve"> has begun to accumulate. Early research into the human capital costs of poor childhood health evaluated the educational consequences of teenage childbearing and substance use, especially alcohol and illicit drug use. Results were mixed, with some analysts finding significant reductions in educational attainment—lower rates of high school graduation, college graduation, and years of schooling—related to illicit drug use. Other studies found small or insignificant reductions in educational attainment related to alcohol use or teenage childbearing.2 </w:t>
      </w:r>
      <w:proofErr w:type="gramStart"/>
      <w:r w:rsidRPr="00F933AF">
        <w:rPr>
          <w:rFonts w:cs="Calibri"/>
          <w:sz w:val="16"/>
        </w:rPr>
        <w:t>More</w:t>
      </w:r>
      <w:proofErr w:type="gramEnd"/>
      <w:r w:rsidRPr="00F933AF">
        <w:rPr>
          <w:rFonts w:cs="Calibri"/>
          <w:sz w:val="16"/>
        </w:rPr>
        <w:t xml:space="preserve"> recent studies have examined the consequences of childhood illnesses, nutrition, physical activity, excessive weight, and mental health for educational attainment, measured by grade completion and graduation, and for achievement, measured by grades and test scores. These analyses demonstrate that the negative consequences of poor childhood health are apparent as early as kindergarten and continue into adulthood.3 Childhood asthma and other illnesses result in frequent emergency room visits, hospitalizations, and school absenteeism, and consequently lower math and reading achievement.4 Childhood mental health or behavioral problems such as depression and hyperactivity negatively influence performance on standardized math and reading scores in elementary school. Mental health and behavioral problems also increase the likelihood of dropping out of high school and not attending college.5 In contrast, good nutrition and regular physical activity in elementary school can improve school attendance, engagement in school, and academic performance.6 Even when studies find that child health or health behaviors have only a small influence on educational outcomes, the economic costs of poor child health and health behaviors can be high. </w:t>
      </w:r>
      <w:r w:rsidRPr="00F933AF">
        <w:rPr>
          <w:rStyle w:val="StyleUnderline"/>
          <w:rFonts w:cs="Calibri"/>
        </w:rPr>
        <w:t xml:space="preserve">The negative effects of poor health in childhood can persist and accumulate over time. Therefore, adults with poor childhood physical or mental health or unhealthy behaviors can experience </w:t>
      </w:r>
      <w:r w:rsidRPr="00F933AF">
        <w:rPr>
          <w:rStyle w:val="Emphasis"/>
          <w:rFonts w:cs="Calibri"/>
        </w:rPr>
        <w:t>lower rates of labor force participation, employment, and, ultimately, earnings</w:t>
      </w:r>
      <w:r w:rsidRPr="00F933AF">
        <w:rPr>
          <w:rFonts w:cs="Calibri"/>
          <w:sz w:val="16"/>
        </w:rPr>
        <w:t xml:space="preserve">.7 </w:t>
      </w:r>
      <w:proofErr w:type="gramStart"/>
      <w:r w:rsidRPr="00F933AF">
        <w:rPr>
          <w:rFonts w:cs="Calibri"/>
          <w:sz w:val="12"/>
          <w:szCs w:val="12"/>
        </w:rPr>
        <w:t>Subsequently</w:t>
      </w:r>
      <w:proofErr w:type="gramEnd"/>
      <w:r w:rsidRPr="00F933AF">
        <w:rPr>
          <w:rFonts w:cs="Calibri"/>
          <w:sz w:val="12"/>
          <w:szCs w:val="12"/>
        </w:rPr>
        <w:t xml:space="preserve">, the low socioeconomic status of these adults contributes to poor childhood health outcomes among their children. As a result, poor childhood health perpetuates socioeconomic inequalities across family generations.8 </w:t>
      </w:r>
      <w:proofErr w:type="gramStart"/>
      <w:r w:rsidRPr="00F933AF">
        <w:rPr>
          <w:rFonts w:cs="Calibri"/>
          <w:sz w:val="12"/>
          <w:szCs w:val="12"/>
        </w:rPr>
        <w:t>This</w:t>
      </w:r>
      <w:proofErr w:type="gramEnd"/>
      <w:r w:rsidRPr="00F933AF">
        <w:rPr>
          <w:rFonts w:cs="Calibri"/>
          <w:sz w:val="12"/>
          <w:szCs w:val="12"/>
        </w:rPr>
        <w:t xml:space="preserve"> cycle can be particularly pernicious for low-income minority populations such as the children of disadvantaged immigrants and, because of the rapid growth in the numbers of immigrant children, for the nation as a whole. The Role of Migration in Shaping Children’s Health Migration and the subsequent acculturation experiences of children growing up in immigrant families increase the potential vulnerability of these children and can profoundly shape their health. The concept of acculturation describes the process of cultural change and adaptation that occurs when two or more ethnic groups come into contact with one another. The concept of enculturation describes the opposite—the process of retaining distinct cultural identities, beliefs, and norms of behavior that distinguish one ethnic group from another. Both influence child development and health outcomes. Cultural-ecological theories argue that the resources in children’s families, schools, and neighborhoods influence their lifestyles, daily experiences, and developmental outcomes.9 </w:t>
      </w:r>
      <w:proofErr w:type="gramStart"/>
      <w:r w:rsidRPr="00F933AF">
        <w:rPr>
          <w:rFonts w:cs="Calibri"/>
          <w:sz w:val="12"/>
          <w:szCs w:val="12"/>
        </w:rPr>
        <w:t>Because</w:t>
      </w:r>
      <w:proofErr w:type="gramEnd"/>
      <w:r w:rsidRPr="00F933AF">
        <w:rPr>
          <w:rFonts w:cs="Calibri"/>
          <w:sz w:val="12"/>
          <w:szCs w:val="12"/>
        </w:rPr>
        <w:t xml:space="preserve"> migration exposes children to unique developmental demands and stressors associated with acculturation, it reshapes their normative development. To adapt, immigrant children and their families choose different combinations of acculturation and enculturation strategies. A modified version of Carlos Sluzki’s framework for the stages of migration provides a template for understanding sources of stress throughout the migration process and the health consequences of these stressors.10 </w:t>
      </w:r>
      <w:proofErr w:type="gramStart"/>
      <w:r w:rsidRPr="00F933AF">
        <w:rPr>
          <w:rFonts w:cs="Calibri"/>
          <w:sz w:val="12"/>
          <w:szCs w:val="12"/>
        </w:rPr>
        <w:t>In</w:t>
      </w:r>
      <w:proofErr w:type="gramEnd"/>
      <w:r w:rsidRPr="00F933AF">
        <w:rPr>
          <w:rFonts w:cs="Calibri"/>
          <w:sz w:val="12"/>
          <w:szCs w:val="12"/>
        </w:rPr>
        <w:t xml:space="preserve"> the pre-migration stage, children’s parents decide to leave their home country. These decisions typically reflect economic hardships in their home countries, political unrest and persecution, or the desire to reunify with family already living in the United States. This background sets the stage for children’s subsequent migration and acculturation experiences and their influence on children’s health. The migration stage captures the mobility process of migrating, including whether the children walk, drive, fly, or come by ship; whether they travel with a trusted family member or friend or are smuggled into the country; and whether they experience hardships during travel such as detainment in a refugee camp, assault, or hunger. The post-migration stage pertains to the settlement experiences of children; the process of navigating life in a new country; and the realization of changes in family economic situations, dynamics, and social roles. Premigration and migration influences are critical to children of immigrants, whereas postmigration influences are critical to second and later immigrant generations as well. In this article the term “first-generation immigrant children” refers to foreign-born children with foreign-born parents. The term “second-generation immigrants” refers to U.S.-born children with at least one foreign-born parent. The term “children of immigrants” refers to both first- and second generation immigrants as a whole. U.S.-born children with U.S.-born parents are considered “native,” or third generation and higher. Pre-Migration Experience and Health Poverty, family separation, and political violence can substantially influence the health of children who immigrate to the United States. Yet few studies of immigrant health examine these pre-migration influences. For example, in less developed countries, the prevalence of excessive weight (overweight and obesity) tends to increase with socioeconomic status—higher incomes are associated with the adoption of highcalorie diets and an increase in sedentary activities such as watching television. Thus, low-income children who migrate from these countries are more likely to be at risk of malnutrition and stunting than of being overweight. To demonstrate the importance of pre-migration poverty, Jennifer Van Hook and Kelly Balistreri examined differences in body mass index (BMI) by levels of economic development in children’s country of origin.11 They found that the BMIs and BMI growth rates were lower for low-income children of immigrants (aged five to eight) from less developed countries than for children of immigrants from high socioeconomic backgrounds in the same countries or for children of immigrants from more developed countries. In another study of 385 young children of immigrants (aged nine to fourteen), Carola Suárez-Orozco and others found that as many as 85 percent of these children had been separated from one or both parents for a few months to a few years.12 Central Americans and Haitians experienced the highest family separation rates (96 percent), whereas Chinese children had the lowest rates (37 percent). These family separations placed children and their mothers at risk for depressive symptoms. A study focusing on children in Mexico whose primary caregivers had migrated found that these children were more likely than children in nonmigrant households to have frequent illnesses (10 percent versus 3 percent), chronic illnesses (7 percent versus 3 percent), emotional problems (10 percent versus 4 percent), and behavioral problems (17 percent versus 10 percent).13 Thus, as Nancy Landale, Kevin Thomas, and Jennifer Van Hook also highlight in the article in this issue on living arrangements, separation from a parent or primary caregiver who has migrated is associated with poor emotional and physical health among the children left behind. Although a relatively small population (21,713 children under age eighteen in 2008) the children of refugees can experience additional hardships.14 Studies focusing on refugee populations and forced migration find that 80–90 percent of refugee children have experienced extreme hardships such as witnessing murders or mass killings, enduring forced labor, or going without sufficient food for long periods of time.15 Others survive combat experiences as child soldiers, life in refugee camps, and, for children who migrate to the United States to seek asylum and who do not have a guardian, long waits in detention centers or juvenile jails. Studies of adolescent Cuban and Cambodian refugees have found a high prevalence (50–60 percent) of both post-traumatic stress disorder and depression for up to two years after they arrive in the United States. In addition to exposures that threaten their emotional health, refugee children often have endured diarrheal disease, malnutrition, fractures, and other acute physical health problems, and experience chronic health problems after resettlement. Latent tuberculosis infections, fungal and parasitic infections, and lead poisoning are just a few of the physical health ailments common to refugee children. These risk factors (poverty, family separation, and political violence), together with low rates of health insurance coverage and health care use, should lead to poorer health among foreign-born children than among U.S.-born children. Nevertheless, researchers consistently find an immigrant health advantage across a variety of medical outcomes. Three causes partially explain this paradox. First, foreign-born immigrant children engage in a variety of more positive health behaviors than their U.S.-born peers. They smoke less, drink less, and eat more nutritional and fewer snack foods. Second, foreign-born children tend to live in two-parent and multigenerational households with high levels of family support and other social support that can mitigate stress, especially during the initial settlement period.16</w:t>
      </w:r>
      <w:r w:rsidRPr="00F933AF">
        <w:rPr>
          <w:rFonts w:cs="Calibri"/>
          <w:sz w:val="16"/>
        </w:rPr>
        <w:t xml:space="preserve"> Third, </w:t>
      </w:r>
      <w:r w:rsidRPr="00F933AF">
        <w:rPr>
          <w:rStyle w:val="StyleUnderline"/>
          <w:rFonts w:cs="Calibri"/>
        </w:rPr>
        <w:t xml:space="preserve">children who immigrate may be a </w:t>
      </w:r>
      <w:r w:rsidRPr="00F933AF">
        <w:rPr>
          <w:rStyle w:val="Emphasis"/>
          <w:rFonts w:cs="Calibri"/>
        </w:rPr>
        <w:t>selectively healthy</w:t>
      </w:r>
      <w:r w:rsidRPr="00F933AF">
        <w:rPr>
          <w:rStyle w:val="StyleUnderline"/>
          <w:rFonts w:cs="Calibri"/>
        </w:rPr>
        <w:t xml:space="preserve"> group. Parents whose children have physical or emotional health problems could be less likely to immigrate</w:t>
      </w:r>
      <w:r w:rsidRPr="00F933AF">
        <w:rPr>
          <w:rFonts w:cs="Calibri"/>
          <w:sz w:val="16"/>
        </w:rPr>
        <w:t xml:space="preserve"> or bring their children to the United States or more likely to send ill children back to their home countries. Although skeptics abound, research provides weak support for the </w:t>
      </w:r>
      <w:r w:rsidRPr="00F933AF">
        <w:rPr>
          <w:rStyle w:val="StyleUnderline"/>
          <w:rFonts w:cs="Calibri"/>
        </w:rPr>
        <w:t>selective migration of healthy adults</w:t>
      </w:r>
      <w:r w:rsidRPr="00F933AF">
        <w:rPr>
          <w:rFonts w:cs="Calibri"/>
          <w:sz w:val="16"/>
        </w:rPr>
        <w:t xml:space="preserve">.17 </w:t>
      </w:r>
      <w:proofErr w:type="gramStart"/>
      <w:r w:rsidRPr="00F933AF">
        <w:rPr>
          <w:rFonts w:cs="Calibri"/>
          <w:sz w:val="16"/>
        </w:rPr>
        <w:t>But</w:t>
      </w:r>
      <w:proofErr w:type="gramEnd"/>
      <w:r w:rsidRPr="00F933AF">
        <w:rPr>
          <w:rFonts w:cs="Calibri"/>
          <w:sz w:val="16"/>
        </w:rPr>
        <w:t xml:space="preserve"> to our knowledge, no studies have examined the selective migration of children. In addition, most studies of health selection have focused on Mexican populations, and selection effects may vary by country of origin or even by regions within a country. Migration Experience and Health Few quantitative survey data exist about the nature of youths’ migration experiences, but ethnographers and journalists have written extensively about these experiences. For documented children, migration to the United States may involve a relatively short plane trip and little trauma. For undocumented children, the migration journey can take months and involve severe physical and emotional hardship. Enrique’s Journey, the true story of a sixteen-year-old boy’s perilous trip from Honduras in search of his mother, typifies the physical and emotional trauma that at least some first-generation children experience on their way to the United States.18 In one mixed-methods study, 59 percent of Latino adolescents, aged twelve to eighteen, who had recently immigrated to North Carolina told researchers that the migration experience was somewhat to very stressful.19 Although only 8 percent of these youth traveled alone or with a smuggler, 46 percent of the adolescents surveyed were concerned for their safety during their travels, 4 percent were robbed, 1 percent were physically attacked, 11 percent were accidentally injured, and 16 percent fell sick. Many of these migrants arrived in the United States injured, emotionally distressed, and in need of either physical or mental health services. Post-Migration Experiences, Acculturation, and Health Most of the research on the well-being of first-generation children focuses on their post-migration experiences. These experiences include a large number of acculturation stressors such as learning a new from a parent or primary caregiver who has migrated is associated with poor emotional and physical health among the children left behind. Nevertheless, researchers consistently find an immigrant health advantage across a variety of medical outcomes. Language, coping with changes in family roles and responsibilities, protecting one’s legal status or the legal status of family members, and encountering racism or discrimination. Although these stressors are common, their influence on a child’s health can vary tremendously depending on the length of time the child has lived in the United States, the broader social context of settlement, and the child’s age or developmental stage at migration</w:t>
      </w:r>
      <w:r w:rsidRPr="00F933AF">
        <w:rPr>
          <w:rStyle w:val="StyleUnderline"/>
          <w:rFonts w:cs="Calibri"/>
        </w:rPr>
        <w:t>. Studies measur</w:t>
      </w:r>
      <w:r w:rsidRPr="00F933AF">
        <w:rPr>
          <w:rFonts w:cs="Calibri"/>
          <w:sz w:val="16"/>
        </w:rPr>
        <w:t xml:space="preserve">ing the influences of these </w:t>
      </w:r>
      <w:r w:rsidRPr="00F933AF">
        <w:rPr>
          <w:rStyle w:val="StyleUnderline"/>
          <w:rFonts w:cs="Calibri"/>
        </w:rPr>
        <w:t>post-migration stressors on the health of Hispanic children</w:t>
      </w:r>
      <w:r w:rsidRPr="00F933AF">
        <w:rPr>
          <w:rFonts w:cs="Calibri"/>
          <w:sz w:val="16"/>
        </w:rPr>
        <w:t xml:space="preserve"> typically use stress inventories such as the Hispanic Stress Index and the Societal, Attitudinal, Familial, and Environmental Acculturative Stress Scale. </w:t>
      </w:r>
      <w:r w:rsidRPr="00F933AF">
        <w:rPr>
          <w:rStyle w:val="StyleUnderline"/>
          <w:rFonts w:cs="Calibri"/>
        </w:rPr>
        <w:t>Nearly all of these studies focus on the strong negative relationship between stressors and children’s emotional well-being</w:t>
      </w:r>
      <w:r w:rsidRPr="00F933AF">
        <w:rPr>
          <w:rFonts w:cs="Calibri"/>
          <w:sz w:val="16"/>
        </w:rPr>
        <w:t xml:space="preserve">. Researchers have not yet evaluated </w:t>
      </w:r>
      <w:r w:rsidRPr="00F933AF">
        <w:rPr>
          <w:rStyle w:val="StyleUnderline"/>
          <w:rFonts w:cs="Calibri"/>
        </w:rPr>
        <w:t>relationships between acculturation stressors and physical health outcomes</w:t>
      </w:r>
      <w:r w:rsidRPr="00F933AF">
        <w:rPr>
          <w:rFonts w:cs="Calibri"/>
          <w:sz w:val="16"/>
        </w:rPr>
        <w:t xml:space="preserve">; acculturation stress inventories have not yet been developed for use among Asian populations; and many analyses using stress inventories fail to differentiate the </w:t>
      </w:r>
      <w:r w:rsidRPr="00F933AF">
        <w:rPr>
          <w:rStyle w:val="StyleUnderline"/>
          <w:rFonts w:cs="Calibri"/>
        </w:rPr>
        <w:t>consequences of various sources of acculturative stress such as discrimination</w:t>
      </w:r>
      <w:r w:rsidRPr="00F933AF">
        <w:rPr>
          <w:rFonts w:cs="Calibri"/>
          <w:sz w:val="16"/>
        </w:rPr>
        <w:t xml:space="preserve">, family conflict, language skills, or </w:t>
      </w:r>
      <w:r w:rsidRPr="00F933AF">
        <w:rPr>
          <w:rStyle w:val="Emphasis"/>
          <w:rFonts w:cs="Calibri"/>
        </w:rPr>
        <w:t>legal status</w:t>
      </w:r>
      <w:r w:rsidRPr="00F933AF">
        <w:rPr>
          <w:rStyle w:val="StyleUnderline"/>
          <w:rFonts w:cs="Calibri"/>
        </w:rPr>
        <w:t>. The current evidence does clearly indicate a link between racial discrimination and health</w:t>
      </w:r>
      <w:r w:rsidRPr="00F933AF">
        <w:rPr>
          <w:rFonts w:cs="Calibri"/>
          <w:sz w:val="16"/>
        </w:rPr>
        <w:t xml:space="preserve">. </w:t>
      </w:r>
      <w:r w:rsidRPr="00F933AF">
        <w:rPr>
          <w:rFonts w:cs="Calibri"/>
          <w:sz w:val="12"/>
          <w:szCs w:val="12"/>
        </w:rPr>
        <w:t>Youth who experience or perceive discrimination report more anxiety, more depressive symptoms, more risky health behaviors, lower self-esteem, and reduced academic motivations and expectations.20 Moreover, researchers have begun to link racial discrimination to a variety of physical health outcomes in minority children, including elevated blood pressure, elevated levels of glucocortisol hormones in the blood stream, and insulin resistance—conditions associated with high rates of coronary heart disease and inflammatory disorders.21 Evidence also shows a strong link between immigrants’ family environments and health. On the one hand, familism—the strong family ties, trust, loyalty, and spirit of mutual support cultivated by many immigrant parents—and family responsibilities such as language brokering for adult parents can positively influence youths’ emotional wellbeing.22 On the other hand, family conflict, parent-child acculturation gaps, and numerous family obligations can add to the stress experienced by children of immigrants and compromise their well-being.23 Much of the acculturation literature uses first- and second-generation immigrants’ preferences for reading, writing, and interacting with friends in English rather than a foreign language as a primary measure of acculturation. These studies find that linguistically more acculturated youth have poorer health and engage in more risky health behaviors. In contrast, researchers know less about how age of migration, legal status, and the institutional and social contexts of reception influence children’s health. Children who immigrate at younger ages have greater language acquisition and better educational outcomes than children who immigrate at older ages, especially after puberty. However, their health risk profiles are more similar to children born in the United States to foreign-born parents. These young migrants find themselves caught between two worlds—the cultures of their parents and the cultures of their new communities. As they struggle to adapt, they tend to adopt more risky health behaviors such as alcohol use, smoking, and early sexual activity than their peers who immigrate at older ages.24 In addition, they face a higher risk of psychiatric disorders such as depression.25 Living in a liminal state between countries and without legal status can create daily hassles and become a source of chronic stress for children and their parents. A recent study of U.S.-born and foreign-born children of immigrants (from birth to age eighteen) whose parents had been arrested, detained, or deported during workplace raids by immigration officers sheds some light on the health consequences of legal status.</w:t>
      </w:r>
      <w:r w:rsidRPr="00F933AF">
        <w:rPr>
          <w:rStyle w:val="StyleUnderline"/>
          <w:rFonts w:cs="Calibri"/>
        </w:rPr>
        <w:t xml:space="preserve">26 It found that children in these families experienced feelings of abandonment, fear, social isolation, and anger. </w:t>
      </w:r>
      <w:r w:rsidRPr="00F933AF">
        <w:rPr>
          <w:rFonts w:cs="Calibri"/>
          <w:sz w:val="12"/>
          <w:szCs w:val="12"/>
        </w:rPr>
        <w:t>Moreover, family friends and teachers noticed changes in these children’s behaviors immediately after the raids. Finally, the influence of each of these stressors may vary by an immigrant’s state of residence. Several researchers have begun to evaluate the link between how well immigrants are received in an institutional and social context and health outcomes. 27 Historically, immigrants settled in six traditional gateway states—California, Florida, Illinois, New Jersey, New York, and Texas. Since 1990 immigrants have begun settling in new destination states across the Midwest (such as Indiana, Iowa, and Nebraska) and the South (such as Georgia, North Carolina, and Tennessee). These new destination states lack many of the institutional resources and multilingual professionals who help new immigrants settle and navigate complex U.S. health systems. Immigrants settling in these states also have smaller co-ethnic networks on whom they can rely for assistance and who can reinforce positive cultural norms and health behaviors for their children. Consequently, these immigrants have less access to health care and can be at greater risk of worsening health with time in the United States.28 Promoting Physical Well-Being in Immigrant Children Pre-migration, migration, and post-migration stressors have the potential to harm the well-being of children of immigrants. Yet for a number of health indicators, foreign-born children experience better outcomes than do children in U.S.-born families. Foreign born immigrant children typically have lower mortality and morbidity risks than both U.S</w:t>
      </w:r>
      <w:proofErr w:type="gramStart"/>
      <w:r w:rsidRPr="00F933AF">
        <w:rPr>
          <w:rFonts w:cs="Calibri"/>
          <w:sz w:val="12"/>
          <w:szCs w:val="12"/>
        </w:rPr>
        <w:t>.-</w:t>
      </w:r>
      <w:proofErr w:type="gramEnd"/>
      <w:r w:rsidRPr="00F933AF">
        <w:rPr>
          <w:rFonts w:cs="Calibri"/>
          <w:sz w:val="12"/>
          <w:szCs w:val="12"/>
        </w:rPr>
        <w:t xml:space="preserve"> born children of immigrants and U.S.-born children of natives within their same racial ethnic group;29 they have fewer specific acute and chronic health problems; and they have a lower prevalence of accidents and injuries than U.S.-born children.30 Over time and across generations, however, the health advantage of immigrant children fades. In this section, we summarize prevalence data on two key physical health indicators—obesity and asthma. These are two leading childhood health conditions in the United States with increasing prevalence among children of immigrants and long-term consequences for adult well-being. Because of the paucity of research on European and African children of immigrants, this summary focuses on Asian and Hispanic populations. To the extent that data are available, we highlight differences across immigrant generation and country of origin. In general, much of the research on Asian populations focuses either on Southeast Asians such as Vietnamese and Cambodians, Chinese, or Filipinos. Research on Hispanics focuses on Mexicans and Puerto Ricans. Overweight and Obesity Over the past three decades, the prevalence of excessive weight among children (aged six to nineteen) has increased from 5–7 percent to 17–18 percent.31 Likely to become overweight adults, overweight children are at increased risk of developing serious health conditions, including diabetes and cardiovascular disease. Studies comparing foreign-born and U.S</w:t>
      </w:r>
      <w:proofErr w:type="gramStart"/>
      <w:r w:rsidRPr="00F933AF">
        <w:rPr>
          <w:rFonts w:cs="Calibri"/>
          <w:sz w:val="12"/>
          <w:szCs w:val="12"/>
        </w:rPr>
        <w:t>.-</w:t>
      </w:r>
      <w:proofErr w:type="gramEnd"/>
      <w:r w:rsidRPr="00F933AF">
        <w:rPr>
          <w:rFonts w:cs="Calibri"/>
          <w:sz w:val="12"/>
          <w:szCs w:val="12"/>
        </w:rPr>
        <w:t xml:space="preserve"> born adolescents (aged twelve to twenty-six) have found that the share of adolescents who are overweight or obese is lowest for foreign born youth, but these shares grow larger for each generation and increase rapidly as youth transition into adulthood.32 Among children aged ten to seventeen whose parents or grandparents are immigrants, Hispanics are most at risk of being overweight or obese, whereas non-Hispanic whites and Asians are the least at risk. Among all youth, third generation blacks have the highest rates of excessive weight (figure 1).33 These findings parallel those identified in studies of younger children (aged five to ten).34 As with adolescents, second-generation Hispanic boys are at greater risk of being overweight or obese than second-generation children of any other racial or ethnic background. Diet significantly contributes to excessive weight among children and adolescents. As immigrants become more acculturated to U.S. society, they adopt American diets, which typically include greater amounts of fat, processed meats, snack foods, and fast foods than the diets in their countries of origin.35 Although these changes in dietary intake among immigrant adults are well documented, studies among youth are more limited.36 One study using the National Longitudinal Study of Adolescent Health (also known as Add Health) found that foreign-born Hispanic youth aged twelve to eighteen had generally healthier diets than Hispanic youth born in the United States.37 A second study using the 2001 California Health Interview Survey found that Asian and Latino foreign-born youth aged twelve to seventeen drank fewer sodas and ate more fruits and vegetables than non-Hispanic white U.S.-born children.38 But Latinos’ fruit and vegetable consumption decreased and their soda consumption increased over time. </w:t>
      </w:r>
      <w:proofErr w:type="gramStart"/>
      <w:r w:rsidRPr="00F933AF">
        <w:rPr>
          <w:rFonts w:cs="Calibri"/>
          <w:sz w:val="12"/>
          <w:szCs w:val="12"/>
        </w:rPr>
        <w:t>while</w:t>
      </w:r>
      <w:proofErr w:type="gramEnd"/>
      <w:r w:rsidRPr="00F933AF">
        <w:rPr>
          <w:rFonts w:cs="Calibri"/>
          <w:sz w:val="12"/>
          <w:szCs w:val="12"/>
        </w:rPr>
        <w:t xml:space="preserve"> Asians’ fruit, vegetable, and soda consumption stayed constant. Thus Asian children tended to maintain a lower risk of being overweight or obese than Latino children. Low levels of physical activity further contribute to overweight and obesity among children. Rates of physical inactivity are high among foreign-born children.39 Eighteen percent of foreign-born immigrant children aged six to seventeen do not get any vigorous exercise in a typical week, and 56 percent do not take part in any team sports or games. By comparison 11 percent of U.S.-born children with U.S.-born parents do not exercise regularly, and 41 percent do not participate in organized sports. Compared with foreign-born Asian children, Hispanic foreign-born children had triple the rates of physical inactivity (22.5 percent to 7.4 percent); two-thirds of the Hispanic children did not participate in sports, compared with slightly more than one-third of the Asian children (66.6 percent to 37.6 percent). Asian children’s higher rates of physical activity may also contribute to their reduced risk of obesity. Immigrant families may not be fully aware of the physical and mental health benefits of physical activity, may place a higher value on family or school activities, or may discourage participation in physical activities and sports. Most importantly, the structure of their daily lives (such as parents’ work schedules) and their living conditions (neighborhood environments and access to recreational facilities, for example) may limit immigrant children’s ability to engage in physical activities.40 Asthma In 2008, nearly one of every ten U.S. children up to age seventeen had asthma, a leading chronic childhood disease, and rates of asthma are increasing worldwide. Patterns of asthma prevalence vary considerably by racial and ethnic group, with Asians having the lowest prevalence (4 percent), followed by Hispanics (7 percent), whites (9 percent), and blacks (16 percent).41 Although few studies have disaggregated the prevalence of asthma by country of origin or nativity, evidence suggests that across all racial and ethnic groups the children of immigrants have a lower lifetime prevalence of asthma than native children.42 Among Hispanic groups, Puerto Rican children have one of the highest rates of childhood asthma (19.2 percent in 2007), whereas Mexican children, whether immigrant or not, have one of the lowest rates (6.0 percent in 2008).43 Prevalence rates among Asian children aged two to seventeen vary from 4 percent for Asian Indians, to 5 percent for Chinese, to 11 percent for Filipinos.44 Because a diagnosis of asthma requires a visit to a health care provider, and because immigrants have less access to the health care system than nonimmigrants, rates among these groups may be underreported. Moreover, barriers to accessing health care can contribute to higher rates of hospitalization for asthma and poor asthma management among Hispanic children, immigrants, and other minority groups.45 In a recent study of Hispanic children aged five to twelve in New York City, asthmatic children from Spanish speaking families were less likely to have an asthma diagnosis than children from English speaking families but were twice as likely to be hospitalized for asthma (9.4 percent to. 4.4 percent).46 Another study of families in California found that asthmatic children of immigrants aged one to eleven were more likely to lack a usual source of care, report a delay in medical care, and report fair or poor health status than asthmatic children in nonimmigrant families.47 Protecting Emotional Well-Being in Immigrant Children While first- and second-generation children fare well on many aspects of physical wellbeing, this advantage relative to their native peers does not always translate into good mental health. Immigrant families experience a number of stressors that can affect the psychological well-being of all family members. These stressors affect children’s emotional well-being, both directly and indirectly, by hindering parents’ capacities to nurture their children’s socioemotional development.48 As examples of how immigration influences children’s emotional well-being, we look specifically at patterns of substance use, internalizing behavioral problems such as anxiety and depression, and externalizing behavioral problems such as hyperactivity, aggression, and conduct disorders. According to the U.S. Surgeon General’s most recent report on mental health, these are the most common mental health concerns for children and adolescents.49 Substance Use When they first arrive in the United States, children tend to participate in fewer risky health behaviors than those born in the United States.50 However, risky behaviors among foreign-born children increase with time spent in the country, especially during adolescence. Among these behaviors, patterns of substance use are particularly well documented among foreign-born adolescents aged twelve to seventeen. According to data from the 1999 and 2000 National Household Survey on Drug Abuse (NHSDA), rates of substance use (including cigarette, alcohol, marijuana, and other illicit drug use) were lower among foreign-born adolescents (9 percent for cigarettes, 12 percent for alcohol, and 4 percent for marijuana), in particular those who had been in the United States less than five years, than among U.S.-born adolescents (15 percent for cigarettes, 17 percent for alcohol, and 8 percent for marijuana).51 Prevalence estimates for foreign-born adolescents in the United States for ten or more years were not significantly different from estimates for U.S.-born youths, with one exception. U.S.-born youth had higher rates of heavy alcohol use than foreign-born adolescents. Several studies examining substance use among Latino adolescents aged twelve to eighteen in Add Health found that second generation youth were more likely to smoke cigarettes and use alcohol and marijuana than first-generation youth (figure 2).52 U.S.-born Hispanic youth were more likely than foreign-born Hispanic youth to report associating with substance-using peers, and peer substance use was directly associated with increased substance use.53 Few studies have assessed the impact of acculturation on the substance use of Asian children of immigrants. Asian American adolescents tend to have lower rates of smoking, alcohol, and drug use than other racial and ethnic groups. However, despite low rates overall, there are major differences by Asian ethnic group. Pacific Islander adolescents have higher rates of substance use, including alcohol, marijuana, and illicit drug use, compared with youth of other Asian ethnic groups.54 One smaller study of Asian first- and second-generation adolescents aged fourteen and fifteen showed increases in substance use with length of time in the United States and interactions with substance-using peers.55 Depression and Suicide Although no psychiatric epidemiological studies of children in the United States have been conducted, smaller community based studies and studies of symptom-level psychopathology indicate that anxiety and depression are the most prevalent conditions affecting the emotional well-being of children.56 In any given year, approximately 13 percent of children aged nine to seventeen experience symptoms of anxiety and 10–15 percent experience symptoms of depression. In addition, the vast majority of children and adolescents who commit suicide have experienced either anxiety or depression. Although not conclusive, current research suggests that exposure to culture-related stressors and acculturation to the U.S. mainstream increases the risk of anxiety and depression among children of immigrants. In contrast, adherence to heritage cultures, a sense of belonging to their ethnic groups, and a number of family influences protect the children of immigrants from developing symptoms of anxiety and depression. Thus, mainstream integration may be problematic only when it is not coupled with the retention of one’s cultural heritage, ethnic identity, and family strengths.57 For example, one study of Chinese immigrant families found that twelve- to fifteen-year-olds whose levels of acculturation were different from their fathers were more likely to report depressive symptoms.58 But another study of Chinese immigrant families found that a strong sense of family, measured by family obligations, was associated with decreased depressive symptoms among thirteen- to seventeen-yearolds.59 Similarly, data from Add Health suggest that social support from family, friends, and neighbors attenuates the risk of depressive symptoms and enhances the likelihood of positive well-being for all first- and second-generation adolescents aged twelve to eighteen.60 Parental closeness and the absence of parent-child conflict reduce the risk of poor mental health outcomes for second- and third-generation adolescents. At its most extreme, poor mental health can lead to suicidal ideation and suicide among children of immigrants. Suicide is the third-leading cause of death among all fifteen to twenty-four-year-olds. Although the 2007 Youth Risk Behavior Survey (YRBS) does not contain information on immigrant generation or acculturation, its data indicate that Hispanic students were as likely to have seriously considered suicide in the past year as other racial and ethnic groups but that more Hispanic youth reported making a suicide plan.61 Hispanic youth (both boys and girls) were also more likely to have attempted suicide (10 percent) than non-Hispanic white (5.6 percent) or black (7.7 percent) youth. A study using YRBS data from 1991 to 1997 found that Asian and Pacific Islander youth were less likely than Hispanics and more likely than either non-Hispanic white or non Hispanic black students to have made at least one suicide attempt.62 Those studies with specific data on immigrant generation or acculturation have found that acculturative stress is positively associated with suicidal ideation among Latino youth.63 In addition, the risk of attempted suicide among Latino adolescents doubles between the first and second generations (see figure 2). Research among Asian immigrant youth is much more limited, but results support acculturative stress theory. Under conditions of high parental-child conflict, less acculturated Asian adolescents report higher levels of suicidal behavior than do more acculturated youth.64 Attention-Deficit/Hyperactivity Disorder Whereas internalizing behavioral problems such as depression tend to be most prevalent among females, externalizing symptoms associated with hyperactivity and conduct disorders are most prevalent among males.65 Furthermore, rates of attention-deficit/ hyperactivity disorder (ADHD) and conduct disorders are increasing among children and adolescents in the United States. Although no national studies have assessed patterns of ADHD and conduct disorder 7 among immigrant families, the prevalence varies significantly by racial and ethnic group. Data from the 2008 National Health Interview Survey showed that among three- to seventeen-year-olds, Hispanics were roughly half as likely as non-Hispanic whites or blacks to have been diagnosed with ADHD.66 Only Asians reported fewer cases of ADHD than Hispanics, but the data are too imprecise to report. Once again, however, ethnic differences in diagnosed cases may reflect access to regular sources of medical care rather than true differences in prevalence rates. Even after receiving a diagnosis, both Hispanic and Asian children (aged three to eighteen) receive fewer medical care services than non-Hispanic whites.67</w:t>
      </w:r>
      <w:r w:rsidRPr="00F933AF">
        <w:rPr>
          <w:rFonts w:cs="Calibri"/>
          <w:sz w:val="16"/>
        </w:rPr>
        <w:t xml:space="preserve"> Improving Access to Health Insurance and Health Care </w:t>
      </w:r>
      <w:r w:rsidRPr="00F933AF">
        <w:rPr>
          <w:rStyle w:val="StyleUnderline"/>
          <w:rFonts w:cs="Calibri"/>
        </w:rPr>
        <w:t xml:space="preserve">Access to health care substantially influences the physical and emotional health status of children of immigrants. Less likely to have health insurance and regular access to health care services, immigrant </w:t>
      </w:r>
      <w:proofErr w:type="gramStart"/>
      <w:r w:rsidRPr="00F933AF">
        <w:rPr>
          <w:rStyle w:val="StyleUnderline"/>
          <w:rFonts w:cs="Calibri"/>
        </w:rPr>
        <w:t>parents</w:t>
      </w:r>
      <w:proofErr w:type="gramEnd"/>
      <w:r w:rsidRPr="00F933AF">
        <w:rPr>
          <w:rStyle w:val="StyleUnderline"/>
          <w:rFonts w:cs="Calibri"/>
        </w:rPr>
        <w:t xml:space="preserve"> delay or forgo needed care for their children.</w:t>
      </w:r>
      <w:r w:rsidRPr="00F933AF">
        <w:rPr>
          <w:rFonts w:cs="Calibri"/>
          <w:sz w:val="16"/>
        </w:rPr>
        <w:t xml:space="preserve"> When children finally receive care, it is often in the emergency room after an urgent or lifethreatening condition has developed. Health Insurance </w:t>
      </w:r>
      <w:r w:rsidRPr="00F933AF">
        <w:rPr>
          <w:rStyle w:val="StyleUnderline"/>
          <w:rFonts w:cs="Calibri"/>
        </w:rPr>
        <w:t xml:space="preserve">In 2008, </w:t>
      </w:r>
      <w:r w:rsidRPr="00F933AF">
        <w:rPr>
          <w:rStyle w:val="Emphasis"/>
          <w:rFonts w:cs="Calibri"/>
        </w:rPr>
        <w:t>nearly 45 percent</w:t>
      </w:r>
      <w:r w:rsidRPr="00F933AF">
        <w:rPr>
          <w:rStyle w:val="StyleUnderline"/>
          <w:rFonts w:cs="Calibri"/>
        </w:rPr>
        <w:t xml:space="preserve"> of noncitizen U.S. residents</w:t>
      </w:r>
      <w:r w:rsidRPr="00F933AF">
        <w:rPr>
          <w:rFonts w:cs="Calibri"/>
          <w:sz w:val="16"/>
        </w:rPr>
        <w:t xml:space="preserve">, 18 percent of naturalized citizens, and 13 percent of U.S.-born citizens </w:t>
      </w:r>
      <w:r w:rsidRPr="00F933AF">
        <w:rPr>
          <w:rStyle w:val="StyleUnderline"/>
          <w:rFonts w:cs="Calibri"/>
        </w:rPr>
        <w:t xml:space="preserve">lacked health insurance coverage.68 </w:t>
      </w:r>
      <w:proofErr w:type="gramStart"/>
      <w:r w:rsidRPr="00F933AF">
        <w:rPr>
          <w:rStyle w:val="StyleUnderline"/>
          <w:rFonts w:cs="Calibri"/>
        </w:rPr>
        <w:t>Because</w:t>
      </w:r>
      <w:proofErr w:type="gramEnd"/>
      <w:r w:rsidRPr="00F933AF">
        <w:rPr>
          <w:rStyle w:val="StyleUnderline"/>
          <w:rFonts w:cs="Calibri"/>
        </w:rPr>
        <w:t xml:space="preserve"> most children depend on their parents to obtain health insurance, parental citizenship and immigration status can influence children’s health insurance status</w:t>
      </w:r>
      <w:r w:rsidRPr="00F933AF">
        <w:rPr>
          <w:rFonts w:cs="Calibri"/>
          <w:sz w:val="16"/>
        </w:rPr>
        <w:t xml:space="preserve"> (figure 3). </w:t>
      </w:r>
      <w:r w:rsidRPr="00F933AF">
        <w:rPr>
          <w:rStyle w:val="StyleUnderline"/>
          <w:rFonts w:cs="Calibri"/>
        </w:rPr>
        <w:t xml:space="preserve">Foreign born parents and their children are more likely to be uninsured because parents are frequently self-employed or working for employers who do not offer health insurance, have lower incomes limiting their capacity to purchase insurance in the private market, and </w:t>
      </w:r>
      <w:r w:rsidRPr="00F933AF">
        <w:rPr>
          <w:rStyle w:val="Emphasis"/>
          <w:rFonts w:cs="Calibri"/>
        </w:rPr>
        <w:t>face restrictions on eligibility</w:t>
      </w:r>
      <w:r w:rsidRPr="00F933AF">
        <w:rPr>
          <w:rStyle w:val="StyleUnderline"/>
          <w:rFonts w:cs="Calibri"/>
        </w:rPr>
        <w:t xml:space="preserve"> </w:t>
      </w:r>
      <w:r w:rsidRPr="00F933AF">
        <w:rPr>
          <w:rFonts w:cs="Calibri"/>
          <w:sz w:val="16"/>
        </w:rPr>
        <w:t xml:space="preserve">for public insurance programs.69 When offered insurance coverage by their employers, roughly 85 percent of employees take up this coverage, and there are no differences in take-up rates between citizens and noncitizens. </w:t>
      </w:r>
      <w:r w:rsidRPr="00F933AF">
        <w:rPr>
          <w:rStyle w:val="StyleUnderline"/>
          <w:rFonts w:cs="Calibri"/>
        </w:rPr>
        <w:t>Immigrants’ eligibility for public health insurance is dependent on federal</w:t>
      </w:r>
      <w:r w:rsidRPr="00F933AF">
        <w:rPr>
          <w:rFonts w:cs="Calibri"/>
          <w:sz w:val="16"/>
        </w:rPr>
        <w:t xml:space="preserve"> and state </w:t>
      </w:r>
      <w:r w:rsidRPr="00F933AF">
        <w:rPr>
          <w:rStyle w:val="StyleUnderline"/>
          <w:rFonts w:cs="Calibri"/>
        </w:rPr>
        <w:t xml:space="preserve">policies. Coverage rates among legal immigrants have declined over the past decade as a result of 1996 welfare reforms that prohibited foreign-born children from receiving federally funded Medicaid and state Children’s Health Insurance Program (CHIP) coverage until they had been in the country for at least five years. </w:t>
      </w:r>
      <w:r w:rsidRPr="00F933AF">
        <w:rPr>
          <w:rFonts w:cs="Calibri"/>
          <w:sz w:val="16"/>
        </w:rPr>
        <w:t xml:space="preserve">To fill this coverage gap, some states provided public insurance coverage using state-only funds. In the interest of promoting the health of newborns, several of these states also provided prenatal coverage to immigrant women regardless of their immigration status. In early 2009 the federal Children’s Health Insurance Program Reauthorization Act updated the funding rules for CHIP and provided federal matching funds to states that covered eligible legal first-generation immigrant children and pregnant women regardless of their date of entry into the United States. However, states are not required to provide access to CHIP and can choose not to take advantage of the new option. As of February 2010, thirty states and the District of Columbia had chosen to provide public health insurance coverage to at least some qualified legal immigrants (figure 4).70 In these thirty states, nearly one of every five children is a child of an immigrant. Still, </w:t>
      </w:r>
      <w:r w:rsidRPr="00F933AF">
        <w:rPr>
          <w:rStyle w:val="StyleUnderline"/>
          <w:rFonts w:cs="Calibri"/>
        </w:rPr>
        <w:t>many children of immigrants (56 percent of children with two immigrant parents and 66 percent of children with one foreign born and one U.S-born parent) eligible for public health insurance do not enroll</w:t>
      </w:r>
      <w:r w:rsidRPr="00F933AF">
        <w:rPr>
          <w:rFonts w:cs="Calibri"/>
          <w:sz w:val="16"/>
        </w:rPr>
        <w:t xml:space="preserve">.71 Approximately </w:t>
      </w:r>
      <w:r w:rsidRPr="00F933AF">
        <w:rPr>
          <w:rStyle w:val="StyleUnderline"/>
          <w:rFonts w:cs="Calibri"/>
        </w:rPr>
        <w:t>81 percent of children</w:t>
      </w:r>
      <w:r w:rsidRPr="00F933AF">
        <w:rPr>
          <w:rFonts w:cs="Calibri"/>
          <w:sz w:val="16"/>
        </w:rPr>
        <w:t xml:space="preserve"> (up to age eighteen) </w:t>
      </w:r>
      <w:r w:rsidRPr="00F933AF">
        <w:rPr>
          <w:rStyle w:val="StyleUnderline"/>
          <w:rFonts w:cs="Calibri"/>
        </w:rPr>
        <w:t>in immigrant families</w:t>
      </w:r>
      <w:r w:rsidRPr="00F933AF">
        <w:rPr>
          <w:rFonts w:cs="Calibri"/>
          <w:sz w:val="16"/>
        </w:rPr>
        <w:t xml:space="preserve"> were born in the United States </w:t>
      </w:r>
      <w:r w:rsidRPr="00F933AF">
        <w:rPr>
          <w:rStyle w:val="StyleUnderline"/>
          <w:rFonts w:cs="Calibri"/>
        </w:rPr>
        <w:t>and are U.S. citizens</w:t>
      </w:r>
      <w:r w:rsidRPr="00F933AF">
        <w:rPr>
          <w:rFonts w:cs="Calibri"/>
          <w:sz w:val="16"/>
        </w:rPr>
        <w:t xml:space="preserve">. But an estimated 30 percent of children of immigrants are unauthorized or living with a parent who may not be living in the United States legally.72 </w:t>
      </w:r>
      <w:r w:rsidRPr="00F933AF">
        <w:rPr>
          <w:rStyle w:val="StyleUnderline"/>
          <w:rFonts w:cs="Calibri"/>
        </w:rPr>
        <w:t xml:space="preserve">Thus, </w:t>
      </w:r>
      <w:r w:rsidRPr="00F933AF">
        <w:rPr>
          <w:rStyle w:val="Emphasis"/>
          <w:rFonts w:cs="Calibri"/>
        </w:rPr>
        <w:t>parents of U.S. citizen children may forgo public health insurance and other services because of their own legal status and mistaken fears that they will be deemed a “public charge” if their children receive public health insurance benefits</w:t>
      </w:r>
      <w:r w:rsidRPr="00F933AF">
        <w:rPr>
          <w:rStyle w:val="StyleUnderline"/>
          <w:rFonts w:cs="Calibri"/>
        </w:rPr>
        <w:t>.73 Immigrants deemed a public charge can be denied U.S. citizenship or prohibited from sponsoring the immigration of a family member. In addition to concerns regarding their legal status, immigrant parents face financial and language barriers that can limit their capacity to enroll in both private and public health insurance programs.</w:t>
      </w:r>
      <w:r w:rsidRPr="00F933AF">
        <w:rPr>
          <w:rFonts w:cs="Calibri"/>
          <w:sz w:val="16"/>
        </w:rPr>
        <w:t xml:space="preserve"> Health Care Use Without health insurance and even with insurance, families sometimes forgo critical preventive, diagnostic, and treatment services for their children. Among noncitizen children up to age seventeen, 37 percent lacked a usual source of care and 30 percent had not seen a medical doctor in the past year. Only 5 percent of citizen children lacked a usual source of care; only 9 percent had forgone an annual doctor’s visit. Because they use less care, annual medical expenditures per capita were substantially lower for noncitizen children and their parents ($1,797) than for citizens ($3,702) in 2005.74 Both financial and </w:t>
      </w:r>
      <w:r w:rsidRPr="00F933AF">
        <w:rPr>
          <w:rStyle w:val="StyleUnderline"/>
          <w:rFonts w:cs="Calibri"/>
        </w:rPr>
        <w:t>nonfinancial barriers compromise the ability of immigrant parents to obtain access to medical care</w:t>
      </w:r>
      <w:r w:rsidRPr="00F933AF">
        <w:rPr>
          <w:rFonts w:cs="Calibri"/>
          <w:sz w:val="16"/>
        </w:rPr>
        <w:t xml:space="preserve">.75 Financial impediments include not only out-of-pocket costs for services and prescriptions but also the lack of paid sick leave or the ability to leave work to take their children to appointments during standard office hours. Language is one particularly important nonfinancial barrier for the children of immigrants and their parents. Immigrants with limited English proficiency report lower satisfaction with care, less knowledge of their medical condition, and difficulty understanding instructions on medication usage. Additionally, low levels of health literacy limit immigrant parents’ abilities to use health services effectively or to act as advocates for their children in health care settings. When immigrants face challenges obtaining physician-based medical care, they may turn to complementary and alternative medical providers such as acupuncturists or spiritual healers. Data from the California Health Interview Survey show that more than 22 percent of Latino and 23 percent of Asian adults reported using alternative medicine providers, and almost 20 percent of Latinos and 50 percent of Asians reported using traditional or herbal remedies.76 In addition, uninsured immigrants turn to health care providers working in federally qualified community health centers (FQHCs)—public and private nonprofit organizations serving populations with limited access to care.77 In 2008 FQHCs provided care to 17 million patients. Of these, 25 percent primarily spoke a language other than English, 36 percent were children, and 38 percent were uninsured.78 Uninsured immigrants, however, are less likely to use emergency rooms. Only 13 percent of adult and 12 percent of child noncitizens report an emergency room visit in the past year compared with 20 percent of adult and 22 percent of child citizens.79 Despite this lower frequency of use, emergency room expenditures are three times higher per capita for foreign-born children than for U.S.-born children.80 Thus, at least for children, delaying medical care can have substantial costs. Moreover, because immigrant parents cannot build long-term relationships with providers in these settings, their children may receive lower-quality care. Strategies to Promote Health </w:t>
      </w:r>
      <w:proofErr w:type="gramStart"/>
      <w:r w:rsidRPr="00F933AF">
        <w:rPr>
          <w:rStyle w:val="Emphasis"/>
          <w:rFonts w:cs="Calibri"/>
        </w:rPr>
        <w:t>To</w:t>
      </w:r>
      <w:proofErr w:type="gramEnd"/>
      <w:r w:rsidRPr="00F933AF">
        <w:rPr>
          <w:rStyle w:val="Emphasis"/>
          <w:rFonts w:cs="Calibri"/>
        </w:rPr>
        <w:t xml:space="preserve"> better promote the health of immigrant children</w:t>
      </w:r>
      <w:r w:rsidRPr="00F933AF">
        <w:rPr>
          <w:rFonts w:cs="Calibri"/>
          <w:sz w:val="16"/>
        </w:rPr>
        <w:t xml:space="preserve">, health researchers and </w:t>
      </w:r>
      <w:r w:rsidRPr="00F933AF">
        <w:rPr>
          <w:rStyle w:val="Emphasis"/>
          <w:rFonts w:cs="Calibri"/>
        </w:rPr>
        <w:t>reformers must</w:t>
      </w:r>
      <w:r w:rsidRPr="00F933AF">
        <w:rPr>
          <w:rFonts w:cs="Calibri"/>
          <w:sz w:val="16"/>
        </w:rPr>
        <w:t xml:space="preserve"> improve their understanding of these children’s unique experiences, reduce barriers to medical insurance for immigrant populations, and </w:t>
      </w:r>
      <w:r w:rsidRPr="00F933AF">
        <w:rPr>
          <w:rStyle w:val="Emphasis"/>
          <w:rFonts w:cs="Calibri"/>
        </w:rPr>
        <w:t>improve access to care</w:t>
      </w:r>
      <w:r w:rsidRPr="00F933AF">
        <w:rPr>
          <w:rFonts w:cs="Calibri"/>
          <w:sz w:val="16"/>
        </w:rPr>
        <w:t xml:space="preserve"> and the capacity of providers to work with multilingual and multicultural populations. </w:t>
      </w:r>
    </w:p>
    <w:p w:rsidR="000664A0" w:rsidRPr="000664A0" w:rsidRDefault="000664A0" w:rsidP="000664A0"/>
    <w:p w:rsidR="00F6498F" w:rsidRPr="00F933AF" w:rsidRDefault="00F6498F" w:rsidP="00F6498F">
      <w:pPr>
        <w:pStyle w:val="Heading4"/>
        <w:rPr>
          <w:rFonts w:cs="Calibri"/>
        </w:rPr>
      </w:pPr>
      <w:r w:rsidRPr="00F933AF">
        <w:rPr>
          <w:rFonts w:cs="Calibri"/>
        </w:rPr>
        <w:t>Public charge reform to allow health coverage helps the economy and prevents undocumented immigration of disabled relatives</w:t>
      </w:r>
    </w:p>
    <w:p w:rsidR="00F6498F" w:rsidRPr="00F933AF" w:rsidRDefault="00F6498F" w:rsidP="00F6498F">
      <w:pPr>
        <w:rPr>
          <w:rFonts w:cs="Calibri"/>
        </w:rPr>
      </w:pPr>
      <w:r w:rsidRPr="00F933AF">
        <w:rPr>
          <w:rStyle w:val="Style13ptBold"/>
          <w:rFonts w:cs="Calibri"/>
        </w:rPr>
        <w:t>Caldwell 14</w:t>
      </w:r>
      <w:r w:rsidRPr="00F933AF">
        <w:rPr>
          <w:rFonts w:cs="Calibri"/>
        </w:rPr>
        <w:t xml:space="preserve"> (Joe Caldwell, PhD in disability studies from the University of Illinois at Chicago, Director of Long-Term Services and Supports Policy at the National Council on Aging, former Kennedy Fellow with the Senate HELP Committee, former policy analyst for the Association of University Centers on Disability, Adjunct Assistant Research Professor at the University of Illinois at Chicago, co-principal investigator of the Family Support Research and Training Center, co-chair of the National Quality Forum workgroup on Home and Community-Based services, serves on the boards of the Consortium for Citizens with Disabilities and National Alliance for Caregiving, 4/7/14, “Immigration Reform: Key Issues for People with Disabilities and Older Adult”, https://www.ncoa.org/wp-content/uploads/Immigration-Reform-Policy-Brief.pdf)/CWB</w:t>
      </w:r>
    </w:p>
    <w:p w:rsidR="00F6498F" w:rsidRPr="00F933AF" w:rsidRDefault="00F6498F" w:rsidP="00F6498F">
      <w:pPr>
        <w:rPr>
          <w:rStyle w:val="StyleUnderline"/>
          <w:rFonts w:cs="Calibri"/>
        </w:rPr>
      </w:pPr>
      <w:r w:rsidRPr="00F933AF">
        <w:rPr>
          <w:rStyle w:val="StyleUnderline"/>
          <w:rFonts w:cs="Calibri"/>
        </w:rPr>
        <w:t xml:space="preserve">Short of full eligibility for Medicaid, there are a number of incremental policy options that could be considered to improve access. The 5-year bar for lawful permanent residents could be eliminated or the time during provisional status could be counted as applying to the 5-year bar. Another option could be to provide states with the flexibility to provide Medicaid coverage to immigrants with disabilities and seniors. </w:t>
      </w:r>
      <w:r w:rsidRPr="00F933AF">
        <w:rPr>
          <w:rFonts w:cs="Calibri"/>
          <w:sz w:val="16"/>
        </w:rPr>
        <w:t>A similar option exists for pregnant women and 3 children, and approximately half of states have elected this option. While some of these ideas were considered as amendments in the Senate, none were voted on or adopted. Finally, the Senate bill denies credit for Social Security contributions made by immigrants while they were unauthorized.</w:t>
      </w:r>
      <w:r w:rsidRPr="00F933AF">
        <w:rPr>
          <w:rStyle w:val="StyleUnderline"/>
          <w:rFonts w:cs="Calibri"/>
        </w:rPr>
        <w:t xml:space="preserve"> Not only will this significantly limit SSDI for working immigrants who become disabled, it also will limit access to Medicare for individuals with disabilities and older immigrants approaching retirement age. </w:t>
      </w:r>
      <w:r w:rsidRPr="00F933AF">
        <w:rPr>
          <w:rFonts w:cs="Calibri"/>
          <w:sz w:val="16"/>
        </w:rPr>
        <w:t xml:space="preserve">Full access to Medicare Part A (which covers hospital, nursing home, home health, and hospice service) is based upon work history. Without enough work credits, individuals must purchase Part A at a cost of up to $441 a month in 2013, which is simply unaffordable for many older immigrants and immigrants with disabilities. Strengthening the Direct Care Workforce </w:t>
      </w:r>
      <w:r w:rsidRPr="00F933AF">
        <w:rPr>
          <w:rStyle w:val="StyleUnderline"/>
          <w:rFonts w:cs="Calibri"/>
        </w:rPr>
        <w:t>Immigration reform holds great potential to help stabilize and strengthen the direct care (or personal assistance) workforce that provides long-term services and supports to seniors and people with disabilities</w:t>
      </w:r>
      <w:r w:rsidRPr="00F933AF">
        <w:rPr>
          <w:rFonts w:cs="Calibri"/>
          <w:sz w:val="16"/>
        </w:rPr>
        <w:t xml:space="preserve">. Due to the aging of the U.S. population, the number of individuals who need long-term services and supports will more than double in the coming decades, from 12 million to 27 million by 2050.7 Individuals who need long-term services and their families currently struggle to find and retain direct care workers. A severe shortage of future workers is projected that will create even more difficulties for individuals and families. Conservatively, approximately 1.6 million additional direct care workers will be needed by 2020 and 3 million by 2030.8 Immigration reform is part of the solution to addressing this projected shortfall of workers. Nationally, approximately 26% of the current direct care workforce is foreign born. In some states, the percentage is much higher: NY (63%), NJ (50%), DC (46%), CA (45%), and FL (42%).9 Approximately half of these workers are naturalized citizens and others have legal status, but a portion is estimated to be unauthorized.10 Providing a pathway to citizenship for direct care workers will help stabilize the workforce, ensure protections for workers, and improve the quality of services and supports. For example, legal status would allow for improved background checks of workers, ability of workers to drive legally, opportunities for training and career advancement, and development of registries to assist individuals in locating workers. Moreover, the Senate bill establishes a new “W” nonimmigrant visa for low-skilled workers. This would allow for low-skilled workers to enter the U.S. and work for registered employers in occupations with labor shortages for a limited period of time. The program would start at 20,000 visas, increasing to 75,000 or more annually based on shortages in the labor market. While the number of visas for low-skilled workers is modest, this would be an important step forward in helping to address the projected gap in available direct care workers. Access to Family Visas </w:t>
      </w:r>
      <w:r w:rsidRPr="00F933AF">
        <w:rPr>
          <w:rStyle w:val="StyleUnderline"/>
          <w:rFonts w:cs="Calibri"/>
        </w:rPr>
        <w:t>Dating back to the Eugenics movement, “public charge” policies remain in law and practice.11 The term “public charge,” as defined by the U.S. Citizenship and Immigration Services (USCIS), refers to an individual who is likely to become “primarily dependent on the government for subsistence, as demonstrated by either the receipt of public cash assistance for income maintenance or institutionalization for long-term care at government expense.” An individual who perceived as likely at any time to become a public charge is inadmissible to the U.S. and ineligible to become a lawful permanent resident. These outdated policies counter decades of progress in U.S. and international disability policy that have sought to remove barriers, open opportunities, and promote inclusion. Public charge policies prevent family unification. Immigrants who have become citizens are unable to petition for their children or other relatives with disabilities. These policies also lead to sheltering individuals with disabilities at home for fear of deportation.</w:t>
      </w:r>
      <w:r w:rsidRPr="00F933AF">
        <w:rPr>
          <w:rFonts w:cs="Calibri"/>
          <w:sz w:val="16"/>
        </w:rPr>
        <w:t xml:space="preserve"> While </w:t>
      </w:r>
      <w:r w:rsidRPr="00F933AF">
        <w:rPr>
          <w:rStyle w:val="StyleUnderline"/>
          <w:rFonts w:cs="Calibri"/>
        </w:rPr>
        <w:t>the Senate</w:t>
      </w:r>
      <w:r w:rsidRPr="00F933AF">
        <w:rPr>
          <w:rFonts w:cs="Calibri"/>
          <w:sz w:val="16"/>
        </w:rPr>
        <w:t xml:space="preserve"> bill promotes an inclusive road to citizenship for unauthorized immigrants, it </w:t>
      </w:r>
      <w:r w:rsidRPr="00F933AF">
        <w:rPr>
          <w:rStyle w:val="StyleUnderline"/>
          <w:rFonts w:cs="Calibri"/>
        </w:rPr>
        <w:t>does nothing to remove barriers to entry for individuals with disabilities.</w:t>
      </w:r>
      <w:r w:rsidRPr="00F933AF">
        <w:rPr>
          <w:rFonts w:cs="Calibri"/>
          <w:sz w:val="16"/>
        </w:rPr>
        <w:t xml:space="preserve"> The Senate bill also makes a number of major changes to the current visa system. It eliminates the sibling category for family visas and establishes a new “merit-based” system </w:t>
      </w:r>
      <w:r w:rsidRPr="00F933AF">
        <w:rPr>
          <w:rStyle w:val="StyleUnderline"/>
          <w:rFonts w:cs="Calibri"/>
        </w:rPr>
        <w:t>to reduce the substantial backlogs</w:t>
      </w:r>
      <w:r w:rsidRPr="00F933AF">
        <w:rPr>
          <w:rFonts w:cs="Calibri"/>
          <w:sz w:val="16"/>
        </w:rPr>
        <w:t xml:space="preserve">. Siblings play important support roles in the lives of people with disabilities. For individuals with lifelong intellectual and developmental disabilities, siblings frequently assume family caregiving roles when aging parents pass away or are no longer able to provide support. </w:t>
      </w:r>
      <w:r w:rsidRPr="00F933AF">
        <w:rPr>
          <w:rStyle w:val="StyleUnderline"/>
          <w:rFonts w:cs="Calibri"/>
        </w:rPr>
        <w:t>The merit-based system, which awards points that are heavily weighted toward academic and employment criteria, could pose barriers to reunification with siblings and low-income family members</w:t>
      </w:r>
      <w:r w:rsidRPr="00F933AF">
        <w:rPr>
          <w:rFonts w:cs="Calibri"/>
          <w:sz w:val="16"/>
        </w:rPr>
        <w:t xml:space="preserve">. Economic Benefits of Immigration Reform </w:t>
      </w:r>
      <w:r w:rsidRPr="00F933AF">
        <w:rPr>
          <w:rStyle w:val="StyleUnderline"/>
          <w:rFonts w:cs="Calibri"/>
        </w:rPr>
        <w:t>There are numerous economic benefits from immigration reform that directly and indirectly benefit seniors and people with disabilities.</w:t>
      </w:r>
      <w:r w:rsidRPr="00F933AF">
        <w:rPr>
          <w:rFonts w:cs="Calibri"/>
          <w:sz w:val="16"/>
        </w:rPr>
        <w:t xml:space="preserve"> While many unauthorized immigrants currently contribute to Social Security, immigration reform would increase the percentage of immigrants paying into Social Security and increase contributions due to higher earnings. Because the population is young, they will pay hundreds of billions of dollars more in Social Security taxes than they will receive in benefits over the next 36 years, strengthening the trust fund. 12 Similarly, the net positive contributions of young, working immigrants paying into Medicare would extend the solvency of the Medicare Part A Trust Fund.13 Finally, bipartisan economists and policy experts have estimated that comprehensive immigration reform would contribute to 4.8% growth in the U.S. economy and reduce the federal deficit by $1.2 trillion over the next 20 years. 14 Reducing the deficit would allow for investments in underfunded aging and disability programs, particularly as needs increase with the aging of the U.S. population. Conclusion Immigration reform holds the promise of establishing a new social contract for a more just and caring society across generations. A comprehensive approach is needed that fully includes individuals with disabilities, older adults, and their families. Comprehensive reform can help strengthen the direct care workforce and help fill projected shortages of workers who assist individuals to age with independence and dignity. </w:t>
      </w:r>
      <w:r w:rsidRPr="00F933AF">
        <w:rPr>
          <w:rStyle w:val="StyleUnderline"/>
          <w:rFonts w:cs="Calibri"/>
        </w:rPr>
        <w:t>An influx of younger workers contributing to the economy can produce numerous economic benefits, help reduce the federal deficit, and strengthen programs such as Social Security and Medicare. However, as a matter of equity, hardworking immigrants, paying taxes and producing these economic benefits, should have fair access to a basic safety net of health care and long-term services and supports.</w:t>
      </w:r>
    </w:p>
    <w:p w:rsidR="00330101" w:rsidRDefault="00330101" w:rsidP="00330101">
      <w:pPr>
        <w:pStyle w:val="Heading2"/>
      </w:pPr>
      <w:r>
        <w:t>Disease Scenario</w:t>
      </w:r>
    </w:p>
    <w:p w:rsidR="00EF2125" w:rsidRPr="00EF2125" w:rsidRDefault="00EF2125" w:rsidP="00EF2125">
      <w:pPr>
        <w:pStyle w:val="Heading3"/>
      </w:pPr>
      <w:r>
        <w:t>Uniqueness</w:t>
      </w:r>
      <w:r w:rsidR="004675AB">
        <w:t xml:space="preserve"> - Vaccines</w:t>
      </w:r>
    </w:p>
    <w:p w:rsidR="00EF2125" w:rsidRDefault="00EF2125" w:rsidP="00EF2125">
      <w:pPr>
        <w:pStyle w:val="Heading4"/>
      </w:pPr>
      <w:r>
        <w:t>Vaccinations are on the decline now among immigrants- healthcare is key</w:t>
      </w:r>
    </w:p>
    <w:p w:rsidR="00EF2125" w:rsidRPr="00A41C21" w:rsidRDefault="00EF2125" w:rsidP="00EF2125">
      <w:r>
        <w:rPr>
          <w:rStyle w:val="Style13ptBold"/>
        </w:rPr>
        <w:t>Haston</w:t>
      </w:r>
      <w:r w:rsidRPr="00A41C21">
        <w:rPr>
          <w:rStyle w:val="Style13ptBold"/>
        </w:rPr>
        <w:t xml:space="preserve"> and </w:t>
      </w:r>
      <w:r>
        <w:rPr>
          <w:rStyle w:val="Style13ptBold"/>
        </w:rPr>
        <w:t>Pickering</w:t>
      </w:r>
      <w:r w:rsidRPr="00A41C21">
        <w:rPr>
          <w:rStyle w:val="Style13ptBold"/>
        </w:rPr>
        <w:t xml:space="preserve"> 18</w:t>
      </w:r>
      <w:r w:rsidRPr="00A41C21">
        <w:t>,  (Julia C. Haston, M.D., Faap and Larry K. Pickering, M.D., Fidsa, Fpids, Faap, Young children of immigrants may be behind on vaccines, 7-9-2018, AAP Gateway, http://www.aappublications.org/news/2018/07/09/mmwr071018)</w:t>
      </w:r>
      <w:r>
        <w:t>//AO</w:t>
      </w:r>
    </w:p>
    <w:p w:rsidR="00EF2125" w:rsidRPr="007E3C82" w:rsidRDefault="00EF2125" w:rsidP="00EF2125">
      <w:pPr>
        <w:rPr>
          <w:sz w:val="16"/>
        </w:rPr>
      </w:pPr>
      <w:r w:rsidRPr="00A41C21">
        <w:rPr>
          <w:sz w:val="16"/>
        </w:rPr>
        <w:t xml:space="preserve">Since introduction of routine vaccination in the U.S., there has been a substantial decrease in morbidity and mortality related to many vaccine-preventable illnesses, including but not limited to diphtheria, measles, mumps and pertussis. However, </w:t>
      </w:r>
      <w:r w:rsidRPr="00A41C21">
        <w:rPr>
          <w:u w:val="single"/>
        </w:rPr>
        <w:t>a high level of vaccination coverage must be maintained for a community to benefit from the public health impact of indirect protection. This occurs when vaccinated people block the chain of disease transmission, which protects unvaccinated and under vaccinated people by limiting spread.</w:t>
      </w:r>
      <w:r w:rsidRPr="00A41C21">
        <w:rPr>
          <w:sz w:val="16"/>
        </w:rPr>
        <w:t xml:space="preserve"> A recent study from the Centers for Disease Control and Prevention (</w:t>
      </w:r>
      <w:r w:rsidRPr="00A41C21">
        <w:rPr>
          <w:u w:val="single"/>
        </w:rPr>
        <w:t>CDC) reports that vaccine coverage in children under 3 years of age may vary</w:t>
      </w:r>
      <w:r w:rsidRPr="00A41C21">
        <w:rPr>
          <w:sz w:val="16"/>
        </w:rPr>
        <w:t xml:space="preserve"> depending on the birth country of a child’s parents. Since </w:t>
      </w:r>
      <w:r w:rsidRPr="00A41C21">
        <w:rPr>
          <w:u w:val="single"/>
        </w:rPr>
        <w:t>children of immigrants are the fastest-growing population of children in the U.S.,</w:t>
      </w:r>
      <w:r w:rsidRPr="00A41C21">
        <w:rPr>
          <w:sz w:val="16"/>
        </w:rPr>
        <w:t xml:space="preserve"> this requires consideration not only at the state and national levels, but also by all providers caring for immigrants and/or children of immigrants. Assessing immunization status The Minnesota Department of Health (MDH) used state vaccination registries to assess how many children 2-36 months of age were up-to-date on immunizations in 2016 based on U.S. vaccine recommendations. Using a sample of 97,885 children, the MDH found that </w:t>
      </w:r>
      <w:r w:rsidRPr="00A41C21">
        <w:rPr>
          <w:u w:val="single"/>
        </w:rPr>
        <w:t>children with at least one foreign-born parent were overall less likely to have received all recommended vaccines</w:t>
      </w:r>
      <w:r w:rsidRPr="00A41C21">
        <w:rPr>
          <w:sz w:val="16"/>
        </w:rPr>
        <w:t xml:space="preserve"> at 2, 6, 18 and 36 months of age when compared to children of two U.S.-born parents. However, status of up-to-date children varied significantly based on parents’ birth country. Maternal birth country was used to categorize children into nine regional groups: United States, Asia, Eastern Europe, Western Europe/Canada, Africa (excluding Somalia), Central/South America/Caribbean, Mexico, Oceania/other and Somalia. Of the total sample, 22% of children had at least one foreign-born parent. Children with mothers born in Central and South America/Caribbean, Mexico and Africa (excluding Somalia) had higher rates of vaccine compliance compared with children of two U.S.-born parents at all ages, while the lowest percentage of up-to-date children had mothers born in Eastern Europe and Somalia (see figure). Nearly all regional groups showed higher rates of up-to-date children at 36 months of age when compared with 2, 6 and 18 months of age. Most of this catch-up in vaccinations appears to occur between 18 and 36 months of age. </w:t>
      </w:r>
      <w:r w:rsidRPr="00A41C21">
        <w:rPr>
          <w:u w:val="single"/>
        </w:rPr>
        <w:t>The most alarming vaccination rates were among children with Somalian mothers, with only 10% of children up-to-date at 18 months of age and only 44% at 36 months of age.</w:t>
      </w:r>
      <w:r w:rsidRPr="00A41C21">
        <w:rPr>
          <w:sz w:val="16"/>
        </w:rPr>
        <w:t xml:space="preserve"> </w:t>
      </w:r>
      <w:r w:rsidRPr="00A41C21">
        <w:rPr>
          <w:u w:val="single"/>
        </w:rPr>
        <w:t>The reasons for variation</w:t>
      </w:r>
      <w:r w:rsidRPr="00A41C21">
        <w:rPr>
          <w:sz w:val="16"/>
        </w:rPr>
        <w:t xml:space="preserve"> in vaccination status are incompletely understood but may include lack of public health education programs, misunderstanding of vaccination safety, </w:t>
      </w:r>
      <w:proofErr w:type="gramStart"/>
      <w:r w:rsidRPr="00A41C21">
        <w:rPr>
          <w:u w:val="single"/>
        </w:rPr>
        <w:t>inadequate</w:t>
      </w:r>
      <w:proofErr w:type="gramEnd"/>
      <w:r w:rsidRPr="00A41C21">
        <w:rPr>
          <w:u w:val="single"/>
        </w:rPr>
        <w:t xml:space="preserve"> access to health care,</w:t>
      </w:r>
      <w:r w:rsidRPr="00A41C21">
        <w:rPr>
          <w:sz w:val="16"/>
        </w:rPr>
        <w:t xml:space="preserve"> and economic and social factors surrounding emigration. Understanding factors influencing a child’s vaccination status can have major public health implications. For example, in a 2017 measles outbreak in Minnesota, 82% of confirmed cases involved children of Somali descent. This outbreak was partially attributable to concerns about the safety of the measles-mumps-rubella vaccine among Somali parents living in Minnesota. </w:t>
      </w:r>
      <w:r w:rsidRPr="00A41C21">
        <w:rPr>
          <w:u w:val="single"/>
        </w:rPr>
        <w:t>Diseases of high infectivity, including measles, have the potential to affect large numbers of people in communities with high rates of unimmunized children. These vaccines should be encouraged for all eligible children.</w:t>
      </w:r>
      <w:r w:rsidRPr="00A41C21">
        <w:rPr>
          <w:sz w:val="16"/>
        </w:rPr>
        <w:t xml:space="preserve"> Tools for health care professionals </w:t>
      </w:r>
      <w:proofErr w:type="gramStart"/>
      <w:r w:rsidRPr="00A41C21">
        <w:rPr>
          <w:sz w:val="16"/>
        </w:rPr>
        <w:t>Although</w:t>
      </w:r>
      <w:proofErr w:type="gramEnd"/>
      <w:r w:rsidRPr="00A41C21">
        <w:rPr>
          <w:sz w:val="16"/>
        </w:rPr>
        <w:t xml:space="preserve"> multiple factors likely influence vaccination decisions among immigrant populations, it is health care professionals’ responsibility to educate parents/patients about the safety and importance of vaccines. As stated in the Red Book, “The Immigration and Nationality Act (INA) of 1996 requires all people immigrating to the United States as legal permanent residents (i.e., green card holders) to provide ‘proof of vaccination’ with vaccines recommended by the ACIP before entry into the United States.” </w:t>
      </w:r>
      <w:r w:rsidRPr="00A41C21">
        <w:rPr>
          <w:u w:val="single"/>
        </w:rPr>
        <w:t>The required vaccines are those that protect against pathogens that have the potential to cause an outbreak and those that are in the process of eradication in the U.S</w:t>
      </w:r>
      <w:r w:rsidRPr="00A41C21">
        <w:rPr>
          <w:sz w:val="16"/>
        </w:rPr>
        <w:t>. Only written documentation should be accepted for proof of vaccination. These rules do not apply to refugees, so these children may require catch-up vaccines at their first visit with a health care professional in the U.S.</w:t>
      </w:r>
    </w:p>
    <w:p w:rsidR="00EF2125" w:rsidRPr="00EF2125" w:rsidRDefault="00EF2125" w:rsidP="00EF2125"/>
    <w:p w:rsidR="00831743" w:rsidRDefault="00EC4C20" w:rsidP="00EC4C20">
      <w:pPr>
        <w:pStyle w:val="Heading3"/>
      </w:pPr>
      <w:r>
        <w:t>AT: No Disease Impact</w:t>
      </w:r>
    </w:p>
    <w:p w:rsidR="00EC4C20" w:rsidRDefault="00EC4C20" w:rsidP="00EC4C20">
      <w:pPr>
        <w:pStyle w:val="Heading4"/>
      </w:pPr>
      <w:r>
        <w:t>Lack of equal access to health care threatens global health and magnifies pandemics which causes extinction</w:t>
      </w:r>
    </w:p>
    <w:p w:rsidR="00EC4C20" w:rsidRPr="00AF6AC0" w:rsidRDefault="00EC4C20" w:rsidP="00EC4C20">
      <w:pPr>
        <w:rPr>
          <w:sz w:val="18"/>
          <w:szCs w:val="18"/>
        </w:rPr>
      </w:pPr>
      <w:r>
        <w:rPr>
          <w:b/>
        </w:rPr>
        <w:t xml:space="preserve">Martin 18 </w:t>
      </w:r>
      <w:r w:rsidRPr="00AF6AC0">
        <w:rPr>
          <w:sz w:val="18"/>
          <w:szCs w:val="18"/>
        </w:rPr>
        <w:t>(Sean Martin, Express, 2/15/18, “Pandemic capable of wiping out THE population is on its way, says health organization,” https://www.express.co.uk/news/science/918979/end-of-the-world-pandemic-illness-world-health-organisation-WHO)</w:t>
      </w:r>
      <w:r>
        <w:rPr>
          <w:sz w:val="18"/>
          <w:szCs w:val="18"/>
        </w:rPr>
        <w:t>//jy</w:t>
      </w:r>
    </w:p>
    <w:p w:rsidR="00EC4C20" w:rsidRPr="00EC4C20" w:rsidRDefault="00EC4C20" w:rsidP="00EC4C20">
      <w:pPr>
        <w:rPr>
          <w:sz w:val="14"/>
        </w:rPr>
      </w:pPr>
      <w:r w:rsidRPr="00FD22F1">
        <w:rPr>
          <w:sz w:val="14"/>
        </w:rPr>
        <w:t xml:space="preserve">A DEVASTATING illness which could wipe out large swathes of humanity is on the horizon, according to senior officials at the World Health Organisation (WHO). </w:t>
      </w:r>
      <w:r w:rsidRPr="002939AF">
        <w:rPr>
          <w:u w:val="single"/>
        </w:rPr>
        <w:t>One disease which could kill up to 100 million people in a pandemic similar to the Spanish Flu is long overdue</w:t>
      </w:r>
      <w:r w:rsidRPr="00FD22F1">
        <w:rPr>
          <w:sz w:val="14"/>
        </w:rPr>
        <w:t xml:space="preserve">, according to the shock announcement. This is according to Tedros Adhanom, director general at WHO. Speaking at the World Government Summit in Dubai, Mr Adhanom said </w:t>
      </w:r>
      <w:r w:rsidRPr="002939AF">
        <w:rPr>
          <w:u w:val="single"/>
        </w:rPr>
        <w:t>the world is not prepared for such a pandemic and he also states that it could pop up in any country</w:t>
      </w:r>
      <w:r w:rsidRPr="00FD22F1">
        <w:rPr>
          <w:sz w:val="14"/>
        </w:rPr>
        <w:t>. Mr Adhanom said: "This is not some future nightmare scenario</w:t>
      </w:r>
      <w:proofErr w:type="gramStart"/>
      <w:r w:rsidRPr="00FD22F1">
        <w:rPr>
          <w:sz w:val="14"/>
        </w:rPr>
        <w:t>. "</w:t>
      </w:r>
      <w:proofErr w:type="gramEnd"/>
      <w:r w:rsidRPr="002939AF">
        <w:rPr>
          <w:u w:val="single"/>
        </w:rPr>
        <w:t>This is what happened exactly 100 years ago during the Spanish flu epidemic</w:t>
      </w:r>
      <w:r w:rsidRPr="00FD22F1">
        <w:rPr>
          <w:sz w:val="14"/>
        </w:rPr>
        <w:t>. "A devastating epidemic could start in any country at any time and kill millions of people because we are still not prepared. The world remains vulnerable. "</w:t>
      </w:r>
      <w:r w:rsidRPr="002939AF">
        <w:rPr>
          <w:u w:val="single"/>
        </w:rPr>
        <w:t>The absence of universal health coverage is the greatest threat to global health</w:t>
      </w:r>
      <w:proofErr w:type="gramStart"/>
      <w:r w:rsidRPr="002939AF">
        <w:rPr>
          <w:u w:val="single"/>
        </w:rPr>
        <w:t xml:space="preserve">. </w:t>
      </w:r>
      <w:r w:rsidRPr="00FD22F1">
        <w:rPr>
          <w:sz w:val="14"/>
        </w:rPr>
        <w:t>"</w:t>
      </w:r>
      <w:proofErr w:type="gramEnd"/>
      <w:r w:rsidRPr="00FD22F1">
        <w:rPr>
          <w:sz w:val="14"/>
        </w:rPr>
        <w:t xml:space="preserve">The benefits of universal health coverage go far beyond health. </w:t>
      </w:r>
      <w:r w:rsidRPr="002939AF">
        <w:rPr>
          <w:u w:val="single"/>
        </w:rPr>
        <w:t>Strong health systems are essential to strong economies.</w:t>
      </w:r>
      <w:r w:rsidRPr="00FD22F1">
        <w:rPr>
          <w:sz w:val="14"/>
        </w:rPr>
        <w:t xml:space="preserve"> "</w:t>
      </w:r>
      <w:r w:rsidRPr="00FD22F1">
        <w:rPr>
          <w:u w:val="single"/>
        </w:rPr>
        <w:t>We do not know where and when the next global pandemic will occur, but we know it will take a terrible toll both on human life and on the economy.”</w:t>
      </w:r>
      <w:r w:rsidRPr="00FD22F1">
        <w:rPr>
          <w:sz w:val="14"/>
        </w:rPr>
        <w:t xml:space="preserve"> Mr Adhanom made the bold claims just as the US, which is in the midst of a severe flu season that are causing one in 10 deaths in the US, and the Centers for Disease Control and Prevention (CDC) announced it would be cutting their epidemic prevention programs back by 80 percent. According to the Washington Post, programs for preventing infectious diseases such as Ebola are being diminished in 39 of the 49 countries they were rolled out in. In the UK, the Universal healthcare system, the NHS, is constantly facing cutbacks which will “ultimately put patient safety at risk”, according a recent report from the Continuing Healthcare (CHC).</w:t>
      </w:r>
    </w:p>
    <w:p w:rsidR="00EC4C20" w:rsidRDefault="00EC4C20" w:rsidP="00EC4C20">
      <w:pPr>
        <w:pStyle w:val="Heading4"/>
      </w:pPr>
      <w:r>
        <w:t>Disease undermines the global economy and regional democracy- U.S as a global commerce and travel hub means it’s key to global spread of pandemics</w:t>
      </w:r>
    </w:p>
    <w:p w:rsidR="00EC4C20" w:rsidRDefault="00EC4C20" w:rsidP="00EC4C20">
      <w:pPr>
        <w:rPr>
          <w:sz w:val="16"/>
        </w:rPr>
      </w:pPr>
      <w:r w:rsidRPr="00483B76">
        <w:rPr>
          <w:rStyle w:val="Style13ptBold"/>
        </w:rPr>
        <w:t xml:space="preserve">Gannon 2000 </w:t>
      </w:r>
      <w:r w:rsidRPr="00483B76">
        <w:t xml:space="preserve">(John C. Gannon, National Intelligence Officer for Economics and Global Issues, "The Global Infectious Disease Threat and Its Implications for the United States", 1-16-2000, No Publication, </w:t>
      </w:r>
      <w:hyperlink r:id="rId124" w:history="1">
        <w:r w:rsidRPr="00483B76">
          <w:rPr>
            <w:rStyle w:val="Hyperlink"/>
          </w:rPr>
          <w:t>https://fas.org/irp/threat/nie99-17d.htm</w:t>
        </w:r>
      </w:hyperlink>
      <w:r w:rsidRPr="00483B76">
        <w:t>)//AO</w:t>
      </w:r>
    </w:p>
    <w:p w:rsidR="00EC4C20" w:rsidRDefault="00EC4C20" w:rsidP="00EC4C20">
      <w:pPr>
        <w:rPr>
          <w:u w:val="single"/>
        </w:rPr>
      </w:pPr>
      <w:r w:rsidRPr="00483B76">
        <w:rPr>
          <w:u w:val="single"/>
        </w:rPr>
        <w:t>Implications for US National Security</w:t>
      </w:r>
      <w:r>
        <w:rPr>
          <w:u w:val="single"/>
        </w:rPr>
        <w:t xml:space="preserve"> </w:t>
      </w:r>
      <w:r w:rsidRPr="00483B76">
        <w:rPr>
          <w:u w:val="single"/>
        </w:rPr>
        <w:t>As a major hub of global travel, immigration, and commerce with wide-ranging interests and a large civilian and military presence overseas, the United States and its equities abroad will remain at risk from infectious diseases.</w:t>
      </w:r>
      <w:r>
        <w:rPr>
          <w:u w:val="single"/>
        </w:rPr>
        <w:t xml:space="preserve"> </w:t>
      </w:r>
      <w:r w:rsidRPr="00483B76">
        <w:rPr>
          <w:u w:val="single"/>
        </w:rPr>
        <w:t>Emerging and reemerging infectious diseases, many of which are likely to continue to originate overseas, will continue to kill at least 170,000 Americans annually. Many more could perish in an epidemic of influenza or yet-unknown disease or if there is a substantial decline in the effectiveness of available HIV/AIDS drugs.</w:t>
      </w:r>
      <w:r w:rsidRPr="00483B76">
        <w:rPr>
          <w:sz w:val="16"/>
        </w:rPr>
        <w:t xml:space="preserve"> Infectious diseases are likely to continue to account for more military hospital admissions than battlefield injuries. US military personnel deployed at NATO and US bases overseas, will be at low-to-moderate risk. At highest risk will be US military forces deployed in support of humanitarian and peacekeeping operations in developing countries. The infectious disease burden will weaken the military capabilities of some countries--as well as international peacekeeping efforts--as their armies and recruitment pools experience HIV infection rates ranging from 10 to 60 percent. The cost will be highest among officers and the more modernized militaries in Sub-Saharan Africa and increasingly among FSU states and possibly some rogue states. </w:t>
      </w:r>
      <w:r w:rsidRPr="00483B76">
        <w:rPr>
          <w:u w:val="single"/>
        </w:rPr>
        <w:t>Infectious diseases are likely to slow socioeconomic development in the hardest-hit developing and former communist countries and regions. This will challenge democratic development and transitions and possibly contribute to humanitarian emergencies and civil conflicts.</w:t>
      </w:r>
      <w:r>
        <w:rPr>
          <w:u w:val="single"/>
        </w:rPr>
        <w:t xml:space="preserve"> </w:t>
      </w:r>
      <w:r w:rsidRPr="00483B76">
        <w:rPr>
          <w:sz w:val="16"/>
        </w:rPr>
        <w:t xml:space="preserve">Infectious disease-related embargoes and restrictions on travel and immigration will cause frictions among and between developed and developing countries. </w:t>
      </w:r>
      <w:r w:rsidRPr="00483B76">
        <w:rPr>
          <w:u w:val="single"/>
        </w:rPr>
        <w:t>The probability of a bioterrorist attack against US civilian and military personnel overseas or in the United States also is likely to grow as more states and groups develop a biological warfare capability.</w:t>
      </w:r>
      <w:r w:rsidRPr="00483B76">
        <w:rPr>
          <w:sz w:val="16"/>
        </w:rPr>
        <w:t xml:space="preserve"> Although there is no evidence that the recent West Nile virus outbreak in New York City was caused by foreign state or nonstate actors, the scare and several earlier instances of suspected bioterrorism showed the confusion and fear they can sow regardless of whether or not they are validated. Figure 1 Leading Causes of Death, 1998 Discussion Patterns of Infectious Diseases </w:t>
      </w:r>
      <w:r w:rsidRPr="00483B76">
        <w:rPr>
          <w:u w:val="single"/>
        </w:rPr>
        <w:t>Broad advances in controlling or eradicating a growing number of infectious diseases--such as tuberculosis (TB), malaria, and smallpox--in the decades after the Second World War fueled hopes that the global infectious disease threat would be increasingly manageable.</w:t>
      </w:r>
      <w:r w:rsidRPr="00483B76">
        <w:rPr>
          <w:sz w:val="16"/>
        </w:rPr>
        <w:t xml:space="preserve"> Optimism regarding the battle against infectious diseases peaked in 1978 when the United Nations (UN) member states signed the "Health for All 2000" accord, which predicted that even the poorest nations would undergo a health transition before the millennium, whereby infectious diseases no longer would pose a major danger to human health. As recently as 1996, a World Bank/World Health Organization (WHO)-sponsored study by Christopher J.L. Murray and Alan D. Lopez projected a dramatic reduction in the infectious disease threat. </w:t>
      </w:r>
      <w:r w:rsidRPr="00483B76">
        <w:rPr>
          <w:u w:val="single"/>
        </w:rPr>
        <w:t xml:space="preserve">This optimism, however, led to complacency and overlooked the role of such factors as expanded trade and travel and growing microbial resistance to existing antibiotics in the spread of infectious diseases. </w:t>
      </w:r>
      <w:r w:rsidRPr="00483B76">
        <w:rPr>
          <w:sz w:val="16"/>
        </w:rPr>
        <w:t xml:space="preserve">Today: Infectious diseases remain a leading cause of death (see figure 1). Of the estimated 54 million deaths worldwide in 1998, about one-fourth to one-third were due to infectious diseases, most of them in developing countries and among children globally. Infectious diseases accounted for 41 percent of the global disease burden measured in terms of Disability-Adjusted Life Years (DALYS) that gauge the impact of both deaths and disabilities, as compared to 43 percent for noninfectious diseases and 16 percent for injuries. Although there has been continuing progress in controlling some vaccine-preventable childhood diseases such as polio, neonatal tetanus, and measles, a White House-appointed interagency working group identified at least 29 previously unknown diseases that have appeared globally since 1973, many of them incurable, including HIV/AIDS, Ebola hemorrhagic fever, and hepatitis C. Most recently, Nipah encephalitis was identified. Twenty well-known diseases such as malaria, TB, cholera, and dengue have rebounded after a period of decline or spread to new regions, often in deadlier forms (see table 1). </w:t>
      </w:r>
      <w:r w:rsidRPr="00483B76">
        <w:rPr>
          <w:u w:val="single"/>
        </w:rPr>
        <w:t>These trends are reflected in the United States as well, where annual infectious disease deaths have nearly doubled to some 170,000 since 1980 after reaching historic lows that year, while new and existing pathogens, such as HIV and West Nile virus, respectively, continue to enter US borders.</w:t>
      </w:r>
    </w:p>
    <w:p w:rsidR="001348C9" w:rsidRPr="002A7C61" w:rsidRDefault="001348C9" w:rsidP="001348C9">
      <w:pPr>
        <w:pStyle w:val="Heading4"/>
      </w:pPr>
      <w:r w:rsidRPr="002A7C61">
        <w:t>Increasing pandemic threat- US not prepared- prevention over response</w:t>
      </w:r>
    </w:p>
    <w:p w:rsidR="001348C9" w:rsidRPr="002A7C61" w:rsidRDefault="001348C9" w:rsidP="001348C9">
      <w:r w:rsidRPr="002A7C61">
        <w:rPr>
          <w:rStyle w:val="Style13ptBold"/>
        </w:rPr>
        <w:t>Shinkman 17</w:t>
      </w:r>
      <w:r>
        <w:t xml:space="preserve"> </w:t>
      </w:r>
      <w:r w:rsidRPr="002A7C61">
        <w:t xml:space="preserve">(Paul D. Shinkman, national security reporter for U.S. News &amp; World Report, 5/4/17, “If a Pandemic Hits, the U.S. Isn’t </w:t>
      </w:r>
      <w:proofErr w:type="gramStart"/>
      <w:r w:rsidRPr="002A7C61">
        <w:t>Ready</w:t>
      </w:r>
      <w:proofErr w:type="gramEnd"/>
      <w:r w:rsidRPr="002A7C61">
        <w:t>”</w:t>
      </w:r>
      <w:r>
        <w:t>,</w:t>
      </w:r>
      <w:r w:rsidRPr="002A7C61">
        <w:t xml:space="preserve"> https://www.usnews.com/news/health-care-news/articles/2017-05-04/us-falling-short-on-pandemic-prevention-study-says)/CWB</w:t>
      </w:r>
    </w:p>
    <w:p w:rsidR="001348C9" w:rsidRPr="002A7C61" w:rsidRDefault="001348C9" w:rsidP="001348C9">
      <w:pPr>
        <w:rPr>
          <w:rStyle w:val="StyleUnderline"/>
        </w:rPr>
      </w:pPr>
      <w:r w:rsidRPr="001E1DEB">
        <w:rPr>
          <w:rStyle w:val="StyleUnderline"/>
        </w:rPr>
        <w:t>THE THREAT OF A GLOBAL pandemic is growing at a time when the U.S. government is not adequately prepared to respond to one,</w:t>
      </w:r>
      <w:r w:rsidRPr="002A7C61">
        <w:rPr>
          <w:sz w:val="16"/>
        </w:rPr>
        <w:t xml:space="preserve"> according to a recent study. Misinformation about vaccines, the absence of a clear plan for coordination among federal agencies such as the U.S. Agency for International Development and the Defense Department, and a need to improve public awareness about the </w:t>
      </w:r>
      <w:r w:rsidRPr="002A7C61">
        <w:rPr>
          <w:rStyle w:val="StyleUnderline"/>
        </w:rPr>
        <w:t>threat posed by a biologic outbreak</w:t>
      </w:r>
      <w:r w:rsidRPr="002A7C61">
        <w:rPr>
          <w:sz w:val="16"/>
        </w:rPr>
        <w:t xml:space="preserve"> are among the factors that make the </w:t>
      </w:r>
      <w:r w:rsidRPr="002A7C61">
        <w:rPr>
          <w:rStyle w:val="StyleUnderline"/>
        </w:rPr>
        <w:t xml:space="preserve">possibility of large and deadly pandemics increasingly likely, according to </w:t>
      </w:r>
      <w:hyperlink r:id="rId125" w:tgtFrame="_blank" w:history="1">
        <w:r w:rsidRPr="002A7C61">
          <w:rPr>
            <w:rStyle w:val="StyleUnderline"/>
          </w:rPr>
          <w:t>the study</w:t>
        </w:r>
      </w:hyperlink>
      <w:r w:rsidRPr="002A7C61">
        <w:rPr>
          <w:rStyle w:val="StyleUnderline"/>
        </w:rPr>
        <w:t xml:space="preserve"> from Texas A&amp;M University's Scowcroft Institute of International Affairs</w:t>
      </w:r>
      <w:r w:rsidRPr="002A7C61">
        <w:rPr>
          <w:sz w:val="16"/>
        </w:rPr>
        <w:t xml:space="preserve">. "Unfortunately it's been a series of pickup games," says </w:t>
      </w:r>
      <w:r w:rsidRPr="002A7C61">
        <w:rPr>
          <w:rStyle w:val="StyleUnderline"/>
        </w:rPr>
        <w:t>retired Gen. Mark Welsh, the U.S. Air Force chief of staff from 2012 to 2016.</w:t>
      </w:r>
      <w:r w:rsidRPr="002A7C61">
        <w:rPr>
          <w:sz w:val="16"/>
        </w:rPr>
        <w:t xml:space="preserve"> He now serves as dean of the university's Bush School of Government and Public Service, which </w:t>
      </w:r>
      <w:r w:rsidRPr="002A7C61">
        <w:rPr>
          <w:rStyle w:val="StyleUnderline"/>
        </w:rPr>
        <w:t xml:space="preserve">contributed to the study. </w:t>
      </w:r>
      <w:r w:rsidRPr="002A7C61">
        <w:rPr>
          <w:sz w:val="16"/>
        </w:rPr>
        <w:t xml:space="preserve">"We've lacked the overarching leadership, the national plans." As a member of the Joint Chiefs of Staff at the time, Welsh oversaw the military's contributions in responding to the </w:t>
      </w:r>
      <w:hyperlink r:id="rId126" w:tgtFrame="_blank" w:history="1">
        <w:r w:rsidRPr="002A7C61">
          <w:rPr>
            <w:rStyle w:val="StyleUnderline"/>
          </w:rPr>
          <w:t>Ebola epidemic</w:t>
        </w:r>
      </w:hyperlink>
      <w:r w:rsidRPr="002A7C61">
        <w:rPr>
          <w:sz w:val="16"/>
        </w:rPr>
        <w:t xml:space="preserve"> that peaked in 2014 in West Africa and </w:t>
      </w:r>
      <w:r w:rsidRPr="002A7C61">
        <w:rPr>
          <w:rStyle w:val="StyleUnderline"/>
        </w:rPr>
        <w:t>threatened to expand across the globe.</w:t>
      </w:r>
      <w:r w:rsidRPr="002A7C61">
        <w:rPr>
          <w:sz w:val="16"/>
        </w:rPr>
        <w:t xml:space="preserve"> That scenario showed the U.S. government's ability to overcome a lack of planning, and to deploy experts and support staff to affected areas to contain and mitigate the virus' spread. However, </w:t>
      </w:r>
      <w:r w:rsidRPr="002A7C61">
        <w:rPr>
          <w:rStyle w:val="StyleUnderline"/>
        </w:rPr>
        <w:t>the military and its civilian overseers didn't learn enough from that lesson</w:t>
      </w:r>
      <w:r w:rsidRPr="002A7C61">
        <w:rPr>
          <w:sz w:val="16"/>
        </w:rPr>
        <w:t xml:space="preserve">, Welsh says. "You generally have a lack of a feeling there is a coordinated response that's on the shelf, ready to go in case something like this happens elsewhere in the world," he says. "And </w:t>
      </w:r>
      <w:r w:rsidRPr="002A7C61">
        <w:rPr>
          <w:rStyle w:val="StyleUnderline"/>
        </w:rPr>
        <w:t>you certainly don't get the feeling there is</w:t>
      </w:r>
      <w:r w:rsidRPr="002A7C61">
        <w:rPr>
          <w:sz w:val="16"/>
        </w:rPr>
        <w:t xml:space="preserve"> an international community, even </w:t>
      </w:r>
      <w:r w:rsidRPr="002A7C61">
        <w:rPr>
          <w:rStyle w:val="StyleUnderline"/>
        </w:rPr>
        <w:t xml:space="preserve">a national </w:t>
      </w:r>
      <w:proofErr w:type="gramStart"/>
      <w:r w:rsidRPr="002A7C61">
        <w:rPr>
          <w:rStyle w:val="StyleUnderline"/>
        </w:rPr>
        <w:t>community, that</w:t>
      </w:r>
      <w:proofErr w:type="gramEnd"/>
      <w:r w:rsidRPr="002A7C61">
        <w:rPr>
          <w:rStyle w:val="StyleUnderline"/>
        </w:rPr>
        <w:t xml:space="preserve"> is ready and fully prepared with the required memos of understanding and agreements in place to make a response happen." As past outbreaks become further and further removed, more pressing priorities take precedence over future preparations, </w:t>
      </w:r>
      <w:r w:rsidRPr="002A7C61">
        <w:rPr>
          <w:sz w:val="16"/>
        </w:rPr>
        <w:t xml:space="preserve">he says. "From a pandemic perspective, we can't afford to look at this that way, because the </w:t>
      </w:r>
      <w:r w:rsidRPr="002A7C61">
        <w:rPr>
          <w:rStyle w:val="StyleUnderline"/>
        </w:rPr>
        <w:t>danger levels are rising. The risk factors are increasing and we can't afford not to be ready</w:t>
      </w:r>
      <w:r w:rsidRPr="002A7C61">
        <w:rPr>
          <w:sz w:val="16"/>
        </w:rPr>
        <w:t xml:space="preserve">," Welsh says. Among factors the study points to as contributing to the threat of a pandemic is America's anti-vaccine movement, which includes people who believe in a debunked link between vaccines and autism. President Donald Trump himself </w:t>
      </w:r>
      <w:hyperlink r:id="rId127" w:tgtFrame="_blank" w:history="1">
        <w:r w:rsidRPr="002A7C61">
          <w:rPr>
            <w:rStyle w:val="Hyperlink"/>
            <w:sz w:val="16"/>
          </w:rPr>
          <w:t>has indicated</w:t>
        </w:r>
      </w:hyperlink>
      <w:r w:rsidRPr="002A7C61">
        <w:rPr>
          <w:sz w:val="16"/>
        </w:rPr>
        <w:t xml:space="preserve"> he </w:t>
      </w:r>
      <w:hyperlink r:id="rId128" w:tgtFrame="_blank" w:history="1">
        <w:r w:rsidRPr="002A7C61">
          <w:rPr>
            <w:rStyle w:val="Hyperlink"/>
            <w:sz w:val="16"/>
          </w:rPr>
          <w:t>questions the science behind vaccines</w:t>
        </w:r>
      </w:hyperlink>
      <w:r w:rsidRPr="002A7C61">
        <w:rPr>
          <w:sz w:val="16"/>
        </w:rPr>
        <w:t>. Public-school populations in states like Washington and Texas, meanwhile, are in danger of falling below what the study calls "herd immunity," in which the number of vaccinated people in a particular community is enough to provide protection for those who have not been vaccinated. The study also stresses the need to have uniform vaccination requirements for immigrants and refugees coming to the U.S. The analysis additionally highlights the importance abroad of USAID, which it says should be tasked with overseeing the entire government's response to pandemics. Unlike the military, this agency already has the authority to carry out such a mission, as well as funding that could be used for it. USAID also should help developing countries in improving their health care hiring systems, the study says. Not only could this lessen the chances of future pandemics, but it could save the U.S. money – the government spent $2.4 billion in response operations just to the Ebola outbreak. "</w:t>
      </w:r>
      <w:r w:rsidRPr="002A7C61">
        <w:rPr>
          <w:rStyle w:val="StyleUnderline"/>
        </w:rPr>
        <w:t>This reactive method of disease response is not sustainable and does little to prevent the emergence of infectious diseases at their source</w:t>
      </w:r>
      <w:r w:rsidRPr="002A7C61">
        <w:rPr>
          <w:sz w:val="16"/>
        </w:rPr>
        <w:t>," the study states. The Trump administration signaled an intent to cut USAID funding through its 2018 "</w:t>
      </w:r>
      <w:hyperlink r:id="rId129" w:tgtFrame="_blank" w:history="1">
        <w:r w:rsidRPr="002A7C61">
          <w:rPr>
            <w:rStyle w:val="Hyperlink"/>
            <w:sz w:val="16"/>
          </w:rPr>
          <w:t>skinny budget</w:t>
        </w:r>
      </w:hyperlink>
      <w:r w:rsidRPr="002A7C61">
        <w:rPr>
          <w:sz w:val="16"/>
        </w:rPr>
        <w:t xml:space="preserve">" proposal, and reportedly has considered folding the agency into the State Department amid concerns such a move would </w:t>
      </w:r>
      <w:hyperlink r:id="rId130" w:tgtFrame="_blank" w:history="1">
        <w:r w:rsidRPr="002A7C61">
          <w:rPr>
            <w:rStyle w:val="Hyperlink"/>
            <w:sz w:val="16"/>
          </w:rPr>
          <w:t>strip the federal government of the agency's specialized expertise</w:t>
        </w:r>
      </w:hyperlink>
      <w:r w:rsidRPr="002A7C61">
        <w:rPr>
          <w:sz w:val="16"/>
        </w:rPr>
        <w:t xml:space="preserve">. "We're not turning our lessons observed in Ebola into lessons learned," says Gerry Parker, a strategic adviser to the Texas A&amp;M-headquartered Institute for Infectious Animal Diseases. The 26-year Army veteran previously served in the Department of Health and Human Services' Office of the Assistant Secretary for Preparedness and Response. </w:t>
      </w:r>
      <w:r w:rsidRPr="002A7C61">
        <w:rPr>
          <w:rStyle w:val="StyleUnderline"/>
        </w:rPr>
        <w:t>Citing the recent spread of the Zika virus, Parker says</w:t>
      </w:r>
      <w:r w:rsidRPr="002A7C61">
        <w:rPr>
          <w:sz w:val="16"/>
        </w:rPr>
        <w:t xml:space="preserve"> it's inevitable </w:t>
      </w:r>
      <w:r w:rsidRPr="002A7C61">
        <w:rPr>
          <w:rStyle w:val="StyleUnderline"/>
        </w:rPr>
        <w:t xml:space="preserve">there will be far worse and more serious pandemics in the near future. "We'd just better be prepared," he says. "And we're not today." </w:t>
      </w:r>
    </w:p>
    <w:p w:rsidR="00EC4C20" w:rsidRDefault="00EC4C20" w:rsidP="00EC4C20"/>
    <w:p w:rsidR="00EC4C20" w:rsidRPr="00D84F60" w:rsidRDefault="00EC4C20" w:rsidP="00EC4C20">
      <w:pPr>
        <w:pStyle w:val="Heading4"/>
      </w:pPr>
      <w:r>
        <w:t>Even if disease doesn’t cause extinction, it causes recession, poverty, and increases healthcare costs</w:t>
      </w:r>
    </w:p>
    <w:p w:rsidR="00EC4C20" w:rsidRPr="00D84F60" w:rsidRDefault="00EC4C20" w:rsidP="00EC4C20">
      <w:r w:rsidRPr="00D84F60">
        <w:rPr>
          <w:rStyle w:val="Style13ptBold"/>
        </w:rPr>
        <w:t>Bloom 05</w:t>
      </w:r>
      <w:r w:rsidRPr="00D84F60">
        <w:t xml:space="preserve"> (</w:t>
      </w:r>
      <w:r>
        <w:t>Eric Bloom, Vincent de Wit, and Mary Jane Carangal-San Jose, "Potential Economic Impact of an Avian Flu Pandemic on Asia", November 2005, ERD Policy Brief No. 42, Economics and Research Department, Asian Development Bank</w:t>
      </w:r>
      <w:r w:rsidRPr="00D84F60">
        <w:t>, https://www.adb.org/sites/default/files/publication/28082/pb042.pdf)</w:t>
      </w:r>
      <w:r>
        <w:t>//AO</w:t>
      </w:r>
    </w:p>
    <w:p w:rsidR="00EC4C20" w:rsidRDefault="00EC4C20" w:rsidP="00EC4C20">
      <w:pPr>
        <w:rPr>
          <w:sz w:val="16"/>
        </w:rPr>
      </w:pPr>
      <w:r w:rsidRPr="00D84F60">
        <w:rPr>
          <w:sz w:val="16"/>
        </w:rPr>
        <w:t xml:space="preserve">Scenario 2 assumes that </w:t>
      </w:r>
      <w:r w:rsidRPr="00D84F60">
        <w:rPr>
          <w:u w:val="single"/>
        </w:rPr>
        <w:t>the psychological impact of the outbreak</w:t>
      </w:r>
      <w:r>
        <w:rPr>
          <w:u w:val="single"/>
        </w:rPr>
        <w:t xml:space="preserve"> </w:t>
      </w:r>
      <w:r w:rsidRPr="00D84F60">
        <w:rPr>
          <w:u w:val="single"/>
        </w:rPr>
        <w:t>lasts longer and seriously affects demand for four quarters with another</w:t>
      </w:r>
      <w:r>
        <w:rPr>
          <w:u w:val="single"/>
        </w:rPr>
        <w:t xml:space="preserve"> </w:t>
      </w:r>
      <w:r w:rsidRPr="00D84F60">
        <w:rPr>
          <w:u w:val="single"/>
        </w:rPr>
        <w:t>four quarters with a smaller exogenous shock to consumption and</w:t>
      </w:r>
      <w:r>
        <w:rPr>
          <w:u w:val="single"/>
        </w:rPr>
        <w:t xml:space="preserve"> </w:t>
      </w:r>
      <w:r w:rsidRPr="00D84F60">
        <w:rPr>
          <w:u w:val="single"/>
        </w:rPr>
        <w:t>export of services.</w:t>
      </w:r>
      <w:r w:rsidRPr="00D84F60">
        <w:rPr>
          <w:sz w:val="16"/>
        </w:rPr>
        <w:t xml:space="preserve"> This contraction affects Asia both directly as Asian consumers reduce their activity, and indirectly as the rest of the world reduces its consumption, impacting trade and investment. Here, </w:t>
      </w:r>
      <w:r w:rsidRPr="00D84F60">
        <w:rPr>
          <w:u w:val="single"/>
        </w:rPr>
        <w:t>the economic impact would be more severe and would</w:t>
      </w:r>
      <w:r>
        <w:rPr>
          <w:u w:val="single"/>
        </w:rPr>
        <w:t xml:space="preserve"> </w:t>
      </w:r>
      <w:r w:rsidRPr="00D84F60">
        <w:rPr>
          <w:u w:val="single"/>
        </w:rPr>
        <w:t>likely force the world into a recession.</w:t>
      </w:r>
      <w:r w:rsidRPr="00D84F60">
        <w:rPr>
          <w:sz w:val="16"/>
        </w:rPr>
        <w:t xml:space="preserve"> The estimated loss would be $282.7 billion, around 6.5 percentage points of GDP (Table 2). </w:t>
      </w:r>
      <w:r w:rsidRPr="00D84F60">
        <w:rPr>
          <w:u w:val="single"/>
        </w:rPr>
        <w:t>The</w:t>
      </w:r>
      <w:r>
        <w:rPr>
          <w:u w:val="single"/>
        </w:rPr>
        <w:t xml:space="preserve"> </w:t>
      </w:r>
      <w:r w:rsidRPr="00D84F60">
        <w:rPr>
          <w:u w:val="single"/>
        </w:rPr>
        <w:t>demand effect would swamp the supply effect.</w:t>
      </w:r>
      <w:r w:rsidRPr="00D84F60">
        <w:rPr>
          <w:sz w:val="16"/>
        </w:rPr>
        <w:t xml:space="preserve"> Since the epidemiological assumption is the same, the impact of the supply shock is the same at $14.2 billion. </w:t>
      </w:r>
      <w:r w:rsidRPr="00D84F60">
        <w:rPr>
          <w:u w:val="single"/>
        </w:rPr>
        <w:t>Growth in Asia would virtually</w:t>
      </w:r>
      <w:r>
        <w:rPr>
          <w:u w:val="single"/>
        </w:rPr>
        <w:t xml:space="preserve"> </w:t>
      </w:r>
      <w:r w:rsidRPr="00D84F60">
        <w:rPr>
          <w:u w:val="single"/>
        </w:rPr>
        <w:t>stop, with a regional GDP growth rate of 0.1 percent.</w:t>
      </w:r>
      <w:r w:rsidRPr="00D84F60">
        <w:rPr>
          <w:sz w:val="16"/>
        </w:rPr>
        <w:t xml:space="preserve"> Global GDP will shrink 0.6 percent. </w:t>
      </w:r>
      <w:r w:rsidRPr="00D84F60">
        <w:rPr>
          <w:u w:val="single"/>
        </w:rPr>
        <w:t>The global trade of good and services will contract</w:t>
      </w:r>
      <w:r>
        <w:rPr>
          <w:u w:val="single"/>
        </w:rPr>
        <w:t xml:space="preserve"> </w:t>
      </w:r>
      <w:r w:rsidRPr="00D84F60">
        <w:rPr>
          <w:u w:val="single"/>
        </w:rPr>
        <w:t>around 14%, the equivalent of $2.5 trillion.</w:t>
      </w:r>
      <w:r>
        <w:rPr>
          <w:u w:val="single"/>
        </w:rPr>
        <w:t xml:space="preserve"> </w:t>
      </w:r>
      <w:r w:rsidRPr="00D84F60">
        <w:rPr>
          <w:u w:val="single"/>
        </w:rPr>
        <w:t>As an endogenous response, gross investment will drop in most</w:t>
      </w:r>
      <w:r>
        <w:rPr>
          <w:u w:val="single"/>
        </w:rPr>
        <w:t xml:space="preserve"> </w:t>
      </w:r>
      <w:r w:rsidRPr="00D84F60">
        <w:rPr>
          <w:u w:val="single"/>
        </w:rPr>
        <w:t>countries for 2 years, along with industrial production and trade.</w:t>
      </w:r>
      <w:r>
        <w:rPr>
          <w:u w:val="single"/>
        </w:rPr>
        <w:t xml:space="preserve"> </w:t>
      </w:r>
      <w:r w:rsidRPr="00D84F60">
        <w:rPr>
          <w:sz w:val="16"/>
        </w:rPr>
        <w:t xml:space="preserve">Likewise, </w:t>
      </w:r>
      <w:r w:rsidRPr="00D84F60">
        <w:rPr>
          <w:u w:val="single"/>
        </w:rPr>
        <w:t>unemployment will increase</w:t>
      </w:r>
      <w:r w:rsidRPr="00D84F60">
        <w:rPr>
          <w:sz w:val="16"/>
        </w:rPr>
        <w:t xml:space="preserve">. Commodity prices (including the price of oil) will drop, bringing down consumer prices. As can be seen, some countries are more affected than others. Two factors stand out. First, open economies are more vulnerable to international economic shocks. Second, economies that are significant exporters of services are hard-hit. In Hong Kong, China and in Singapore, trade accounts for a significant share of total GDP and these two countries are major exporters of services. Malaysia and Thailand also are also significant exporters of goods and services. The Appendix summarizes the contribution of trade in Asian economies. </w:t>
      </w:r>
      <w:r w:rsidRPr="00D84F60">
        <w:rPr>
          <w:u w:val="single"/>
        </w:rPr>
        <w:t>These estimates do not include the cost of health expenditures, which</w:t>
      </w:r>
      <w:r>
        <w:rPr>
          <w:u w:val="single"/>
        </w:rPr>
        <w:t xml:space="preserve"> </w:t>
      </w:r>
      <w:r w:rsidRPr="00D84F60">
        <w:rPr>
          <w:u w:val="single"/>
        </w:rPr>
        <w:t>will be substantial.</w:t>
      </w:r>
      <w:r>
        <w:rPr>
          <w:u w:val="single"/>
        </w:rPr>
        <w:t xml:space="preserve"> </w:t>
      </w:r>
      <w:r w:rsidRPr="00D84F60">
        <w:rPr>
          <w:sz w:val="16"/>
        </w:rPr>
        <w:t xml:space="preserve">Long-run Impact </w:t>
      </w:r>
      <w:proofErr w:type="gramStart"/>
      <w:r w:rsidRPr="00D84F60">
        <w:rPr>
          <w:sz w:val="16"/>
        </w:rPr>
        <w:t>Although</w:t>
      </w:r>
      <w:proofErr w:type="gramEnd"/>
      <w:r w:rsidRPr="00D84F60">
        <w:rPr>
          <w:sz w:val="16"/>
        </w:rPr>
        <w:t xml:space="preserve"> the analysis has focused on the immediate impact of the pandemic, </w:t>
      </w:r>
      <w:r w:rsidRPr="00D84F60">
        <w:rPr>
          <w:u w:val="single"/>
        </w:rPr>
        <w:t xml:space="preserve">the economic impact of the pandemic will be felt for years to come. </w:t>
      </w:r>
      <w:r w:rsidRPr="00D84F60">
        <w:rPr>
          <w:sz w:val="16"/>
        </w:rPr>
        <w:t xml:space="preserve">A flu pandemic will lead to a reduction of both human and physical capital. </w:t>
      </w:r>
      <w:r w:rsidRPr="00D84F60">
        <w:rPr>
          <w:u w:val="single"/>
        </w:rPr>
        <w:t>Investment will drop significantly, and remain</w:t>
      </w:r>
      <w:r>
        <w:rPr>
          <w:u w:val="single"/>
        </w:rPr>
        <w:t xml:space="preserve"> </w:t>
      </w:r>
      <w:r w:rsidRPr="00D84F60">
        <w:rPr>
          <w:u w:val="single"/>
        </w:rPr>
        <w:t>low possibly over a long time.</w:t>
      </w:r>
      <w:r w:rsidRPr="00D84F60">
        <w:rPr>
          <w:sz w:val="16"/>
        </w:rPr>
        <w:t xml:space="preserve"> Deaths caused by avian flu will reduce the work force and lower the region’s human capital. </w:t>
      </w:r>
      <w:r w:rsidRPr="00D84F60">
        <w:rPr>
          <w:u w:val="single"/>
        </w:rPr>
        <w:t>Even 5 years</w:t>
      </w:r>
      <w:r>
        <w:rPr>
          <w:u w:val="single"/>
        </w:rPr>
        <w:t xml:space="preserve"> </w:t>
      </w:r>
      <w:r w:rsidRPr="00D84F60">
        <w:rPr>
          <w:u w:val="single"/>
        </w:rPr>
        <w:t>after the pandemic, in scenario 2 the region’s GDP growth will be</w:t>
      </w:r>
      <w:r>
        <w:rPr>
          <w:u w:val="single"/>
        </w:rPr>
        <w:t xml:space="preserve"> </w:t>
      </w:r>
      <w:r w:rsidRPr="00D84F60">
        <w:rPr>
          <w:u w:val="single"/>
        </w:rPr>
        <w:t>lower by 3.6 percentage points than in a case without a pandemic.</w:t>
      </w:r>
      <w:r>
        <w:rPr>
          <w:u w:val="single"/>
        </w:rPr>
        <w:t xml:space="preserve"> </w:t>
      </w:r>
      <w:r w:rsidRPr="00D84F60">
        <w:rPr>
          <w:sz w:val="16"/>
        </w:rPr>
        <w:t xml:space="preserve">The pandemic will impact the region in other ways that cannot be easily modeled. The psychological impact of the disease may be long-lasting. </w:t>
      </w:r>
      <w:r w:rsidRPr="00D84F60">
        <w:rPr>
          <w:u w:val="single"/>
        </w:rPr>
        <w:t>Much of the Asian boom is built on confidence in the</w:t>
      </w:r>
      <w:r>
        <w:rPr>
          <w:u w:val="single"/>
        </w:rPr>
        <w:t xml:space="preserve"> </w:t>
      </w:r>
      <w:r w:rsidRPr="00D84F60">
        <w:rPr>
          <w:u w:val="single"/>
        </w:rPr>
        <w:t>region’s growth potential. A pandemic could shake that confidence</w:t>
      </w:r>
      <w:r>
        <w:rPr>
          <w:u w:val="single"/>
        </w:rPr>
        <w:t xml:space="preserve"> </w:t>
      </w:r>
      <w:r w:rsidRPr="00D84F60">
        <w:rPr>
          <w:u w:val="single"/>
        </w:rPr>
        <w:t>and lower future investment.</w:t>
      </w:r>
      <w:r w:rsidRPr="00D84F60">
        <w:rPr>
          <w:sz w:val="16"/>
        </w:rPr>
        <w:t xml:space="preserve"> Business losses will be significant as importers, exporters, and service industry see a significant drop in demand. </w:t>
      </w:r>
      <w:r w:rsidRPr="00D84F60">
        <w:rPr>
          <w:u w:val="single"/>
        </w:rPr>
        <w:t>This will force many businesses to close, also lowering future</w:t>
      </w:r>
      <w:r>
        <w:rPr>
          <w:u w:val="single"/>
        </w:rPr>
        <w:t xml:space="preserve"> </w:t>
      </w:r>
      <w:r w:rsidRPr="00D84F60">
        <w:rPr>
          <w:u w:val="single"/>
        </w:rPr>
        <w:t>investment and employment. A pandemic will push households below the poverty line and</w:t>
      </w:r>
      <w:r>
        <w:rPr>
          <w:u w:val="single"/>
        </w:rPr>
        <w:t xml:space="preserve"> </w:t>
      </w:r>
      <w:r w:rsidRPr="00D84F60">
        <w:rPr>
          <w:u w:val="single"/>
        </w:rPr>
        <w:t>may increase inequality if poor households are more affected.</w:t>
      </w:r>
      <w:r w:rsidRPr="00D84F60">
        <w:rPr>
          <w:sz w:val="16"/>
        </w:rPr>
        <w:t xml:space="preserve"> Studies show that households that experienced HIV/AIDS7 were more likely to suffer long-term poverty (Greener 2004). </w:t>
      </w:r>
      <w:r w:rsidRPr="00D84F60">
        <w:rPr>
          <w:u w:val="single"/>
        </w:rPr>
        <w:t>Many poor households</w:t>
      </w:r>
      <w:r>
        <w:rPr>
          <w:u w:val="single"/>
        </w:rPr>
        <w:t xml:space="preserve"> </w:t>
      </w:r>
      <w:r w:rsidRPr="00D84F60">
        <w:rPr>
          <w:u w:val="single"/>
        </w:rPr>
        <w:t>never recover their initial income because of lost family members and</w:t>
      </w:r>
      <w:r>
        <w:rPr>
          <w:u w:val="single"/>
        </w:rPr>
        <w:t xml:space="preserve"> </w:t>
      </w:r>
      <w:r w:rsidRPr="00D84F60">
        <w:rPr>
          <w:u w:val="single"/>
        </w:rPr>
        <w:t>sales of assets to pay health care costs</w:t>
      </w:r>
      <w:r w:rsidRPr="00D84F60">
        <w:rPr>
          <w:sz w:val="16"/>
        </w:rPr>
        <w:t xml:space="preserve"> (Cohen 1997).</w:t>
      </w:r>
    </w:p>
    <w:p w:rsidR="00EC4C20" w:rsidRDefault="00EC4C20" w:rsidP="00EC4C20">
      <w:pPr>
        <w:rPr>
          <w:sz w:val="16"/>
        </w:rPr>
      </w:pPr>
    </w:p>
    <w:p w:rsidR="00EC4C20" w:rsidRPr="00BE0E2B" w:rsidRDefault="00EC4C20" w:rsidP="00EC4C20">
      <w:pPr>
        <w:rPr>
          <w:u w:val="single"/>
        </w:rPr>
      </w:pPr>
    </w:p>
    <w:p w:rsidR="00EC4C20" w:rsidRPr="00EC4C20" w:rsidRDefault="00EC4C20" w:rsidP="00EC4C20"/>
    <w:p w:rsidR="00831743" w:rsidRDefault="00831743" w:rsidP="00831743">
      <w:pPr>
        <w:pStyle w:val="Heading3"/>
      </w:pPr>
      <w:r>
        <w:t>AT: ACA Solves</w:t>
      </w:r>
    </w:p>
    <w:p w:rsidR="00831743" w:rsidRDefault="00831743" w:rsidP="00831743">
      <w:pPr>
        <w:pStyle w:val="Heading4"/>
      </w:pPr>
      <w:r>
        <w:t>ACA was a step in the right direction, but our impact’s linear- the less people uninsured the better or pandemic response and national security</w:t>
      </w:r>
    </w:p>
    <w:p w:rsidR="00831743" w:rsidRPr="001E1DEB" w:rsidRDefault="00831743" w:rsidP="00831743">
      <w:r w:rsidRPr="001E1DEB">
        <w:rPr>
          <w:rStyle w:val="Style13ptBold"/>
        </w:rPr>
        <w:t>Kahn 17 </w:t>
      </w:r>
      <w:r>
        <w:t>(</w:t>
      </w:r>
      <w:hyperlink r:id="rId131" w:history="1">
        <w:r w:rsidRPr="001E1DEB">
          <w:rPr>
            <w:rStyle w:val="Hyperlink"/>
          </w:rPr>
          <w:t>Laura H. Kahn</w:t>
        </w:r>
      </w:hyperlink>
      <w:r w:rsidRPr="001E1DEB">
        <w:t>, research staff of Princeton University’s </w:t>
      </w:r>
      <w:hyperlink r:id="rId132" w:tgtFrame="_blank" w:history="1">
        <w:r w:rsidRPr="001E1DEB">
          <w:rPr>
            <w:rStyle w:val="Hyperlink"/>
          </w:rPr>
          <w:t>Program on Science and Global Security</w:t>
        </w:r>
      </w:hyperlink>
      <w:r w:rsidRPr="001E1DEB">
        <w:t>, author of </w:t>
      </w:r>
      <w:hyperlink r:id="rId133" w:history="1">
        <w:r w:rsidRPr="001E1DEB">
          <w:rPr>
            <w:rStyle w:val="Hyperlink"/>
          </w:rPr>
          <w:t>One Health and the Politics of Antimicrobial Resistance</w:t>
        </w:r>
      </w:hyperlink>
      <w:r w:rsidRPr="001E1DEB">
        <w:t>, co-organizer of the Carnegie Corporation’s “Biodefense Challenge”, former anaging physician for the New Jersey Department of Health and Senior Services, former medical officer for the Food and Drug Administration, 6/5/17, “Why access to health care is a national security issue”, https://thebulletin.org/2017/06/why-access-to-health-care-is-a-national-security-issue/)/CWB</w:t>
      </w:r>
    </w:p>
    <w:p w:rsidR="00831743" w:rsidRPr="001E1DEB" w:rsidRDefault="00831743" w:rsidP="00831743">
      <w:pPr>
        <w:rPr>
          <w:rStyle w:val="StyleUnderline"/>
        </w:rPr>
      </w:pPr>
      <w:r w:rsidRPr="001E1DEB">
        <w:rPr>
          <w:sz w:val="16"/>
        </w:rPr>
        <w:t xml:space="preserve">Early last month, US House Republicans rammed through the </w:t>
      </w:r>
      <w:hyperlink r:id="rId134" w:history="1">
        <w:r w:rsidRPr="001E1DEB">
          <w:rPr>
            <w:rStyle w:val="Hyperlink"/>
            <w:sz w:val="16"/>
          </w:rPr>
          <w:t>American Health Care Act</w:t>
        </w:r>
      </w:hyperlink>
      <w:r w:rsidRPr="001E1DEB">
        <w:rPr>
          <w:sz w:val="16"/>
        </w:rPr>
        <w:t xml:space="preserve">, a remarkably regressive piece of legislation that, among other flaws, would be disastrous for pandemic planning and preparedness. The bill eliminates funding for the </w:t>
      </w:r>
      <w:hyperlink r:id="rId135" w:history="1">
        <w:r w:rsidRPr="001E1DEB">
          <w:rPr>
            <w:rStyle w:val="Hyperlink"/>
            <w:sz w:val="16"/>
          </w:rPr>
          <w:t>Prevention and Public Health Fund</w:t>
        </w:r>
      </w:hyperlink>
      <w:r w:rsidRPr="001E1DEB">
        <w:rPr>
          <w:sz w:val="16"/>
        </w:rPr>
        <w:t>, which was created under the 2010 Affordable Care Act to invest in vaccination programs, electronic laboratory reporting of infectious diseases, and infection-prevention programs</w:t>
      </w:r>
      <w:r w:rsidRPr="001E1DEB">
        <w:rPr>
          <w:rStyle w:val="StyleUnderline"/>
        </w:rPr>
        <w:t>. Vaccines are an important preventive strategy against deadly pandemics, while electronic lab reporting facilitates a rapid response to disease.</w:t>
      </w:r>
      <w:r w:rsidRPr="001E1DEB">
        <w:rPr>
          <w:sz w:val="16"/>
        </w:rPr>
        <w:t xml:space="preserve"> In other words, these are precisely the funds that will be needed to </w:t>
      </w:r>
      <w:r w:rsidRPr="001E1DEB">
        <w:rPr>
          <w:rStyle w:val="StyleUnderline"/>
        </w:rPr>
        <w:t>prevent the next Ebola or Zika virus from turning into a national catastrophe</w:t>
      </w:r>
      <w:r w:rsidRPr="001E1DEB">
        <w:rPr>
          <w:sz w:val="16"/>
        </w:rPr>
        <w:t xml:space="preserve">. In late May, the Congressional Budget Office delivered its </w:t>
      </w:r>
      <w:hyperlink r:id="rId136" w:history="1">
        <w:r w:rsidRPr="001E1DEB">
          <w:rPr>
            <w:rStyle w:val="Hyperlink"/>
            <w:sz w:val="16"/>
          </w:rPr>
          <w:t>projections</w:t>
        </w:r>
      </w:hyperlink>
      <w:r w:rsidRPr="001E1DEB">
        <w:rPr>
          <w:sz w:val="16"/>
        </w:rPr>
        <w:t xml:space="preserve"> on the House bill’s costs and impacts, finding that it would leave an estimated 51 million people under the age of 65 uninsured by 2026—23 million more than the estimated 28 million who will be uninsured under the current law. A Senate version of the bill may not pass, which would end Congressional Republicans’ umpteenth attempt to undermine or reverse the Affordable Care Act. But we can be sure their fight will continue, and that has </w:t>
      </w:r>
      <w:r w:rsidRPr="001E1DEB">
        <w:rPr>
          <w:rStyle w:val="StyleUnderline"/>
        </w:rPr>
        <w:t>important national security implications even beyond slashing emergency-planning funds</w:t>
      </w:r>
      <w:r w:rsidRPr="001E1DEB">
        <w:rPr>
          <w:sz w:val="16"/>
        </w:rPr>
        <w:t xml:space="preserve"> (which, by the way, Trump’s proposed federal budget </w:t>
      </w:r>
      <w:hyperlink r:id="rId137" w:history="1">
        <w:r w:rsidRPr="001E1DEB">
          <w:rPr>
            <w:rStyle w:val="Hyperlink"/>
            <w:sz w:val="16"/>
          </w:rPr>
          <w:t>also does</w:t>
        </w:r>
      </w:hyperlink>
      <w:r w:rsidRPr="001E1DEB">
        <w:rPr>
          <w:sz w:val="16"/>
        </w:rPr>
        <w:t xml:space="preserve">). Cutting the Prevention and Public Health Fund, which deals directly with planning for bioterror attacks and pandemics, was only the most obvious way in which the House bill attempted to undermine American security. Over the long term, there is also a movement afoot to put </w:t>
      </w:r>
      <w:r w:rsidRPr="001E1DEB">
        <w:rPr>
          <w:rStyle w:val="StyleUnderline"/>
        </w:rPr>
        <w:t>basic health care out of reach of many Americans. Simply making healthcare unaffordable</w:t>
      </w:r>
      <w:r w:rsidRPr="001E1DEB">
        <w:rPr>
          <w:sz w:val="16"/>
        </w:rPr>
        <w:t xml:space="preserve"> may seem less dramatic than slashing an emergency-preparedness budget, but doing so also </w:t>
      </w:r>
      <w:r w:rsidRPr="001E1DEB">
        <w:rPr>
          <w:rStyle w:val="StyleUnderline"/>
        </w:rPr>
        <w:t>undermines national security</w:t>
      </w:r>
      <w:r w:rsidRPr="001E1DEB">
        <w:rPr>
          <w:sz w:val="16"/>
        </w:rPr>
        <w:t xml:space="preserve">. As the Congressional Budget Office report suggests, the American Health Care Act would make healthcare essentially unaffordable for people with pre-existing conditions, because it would allow insurance companies to dramatically increase their premiums. Ten years ago, I </w:t>
      </w:r>
      <w:hyperlink r:id="rId138" w:history="1">
        <w:r w:rsidRPr="001E1DEB">
          <w:rPr>
            <w:rStyle w:val="Hyperlink"/>
            <w:sz w:val="16"/>
          </w:rPr>
          <w:t>wrote</w:t>
        </w:r>
      </w:hyperlink>
      <w:r w:rsidRPr="001E1DEB">
        <w:rPr>
          <w:sz w:val="16"/>
        </w:rPr>
        <w:t xml:space="preserve"> about the security impact of the uninsured during the George W. Bush presidency. In 2005, almost 47 million people (about 16 </w:t>
      </w:r>
      <w:r w:rsidRPr="001E1DEB">
        <w:rPr>
          <w:rStyle w:val="StyleUnderline"/>
        </w:rPr>
        <w:t>percent of the total US population</w:t>
      </w:r>
      <w:r w:rsidRPr="001E1DEB">
        <w:rPr>
          <w:sz w:val="16"/>
        </w:rPr>
        <w:t xml:space="preserve">) were </w:t>
      </w:r>
      <w:r w:rsidRPr="001E1DEB">
        <w:rPr>
          <w:rStyle w:val="StyleUnderline"/>
        </w:rPr>
        <w:t>uninsured</w:t>
      </w:r>
      <w:r w:rsidRPr="001E1DEB">
        <w:rPr>
          <w:sz w:val="16"/>
        </w:rPr>
        <w:t xml:space="preserve">. Thanks to the Affordable Care Act passed under the Obama </w:t>
      </w:r>
      <w:proofErr w:type="gramStart"/>
      <w:r w:rsidRPr="001E1DEB">
        <w:rPr>
          <w:sz w:val="16"/>
        </w:rPr>
        <w:t xml:space="preserve">administration, that </w:t>
      </w:r>
      <w:r w:rsidRPr="001E1DEB">
        <w:rPr>
          <w:rStyle w:val="StyleUnderline"/>
        </w:rPr>
        <w:t>number dropped to</w:t>
      </w:r>
      <w:r w:rsidRPr="001E1DEB">
        <w:rPr>
          <w:sz w:val="16"/>
        </w:rPr>
        <w:t xml:space="preserve"> a low of </w:t>
      </w:r>
      <w:r w:rsidRPr="001E1DEB">
        <w:rPr>
          <w:rStyle w:val="StyleUnderline"/>
        </w:rPr>
        <w:t>11 percent,</w:t>
      </w:r>
      <w:r w:rsidRPr="001E1DEB">
        <w:rPr>
          <w:sz w:val="16"/>
        </w:rPr>
        <w:t xml:space="preserve"> according to a </w:t>
      </w:r>
      <w:hyperlink r:id="rId139" w:history="1">
        <w:r w:rsidRPr="001E1DEB">
          <w:rPr>
            <w:rStyle w:val="Hyperlink"/>
            <w:sz w:val="16"/>
          </w:rPr>
          <w:t>Gallup poll</w:t>
        </w:r>
      </w:hyperlink>
      <w:r w:rsidRPr="001E1DEB">
        <w:rPr>
          <w:sz w:val="16"/>
        </w:rPr>
        <w:t>taken</w:t>
      </w:r>
      <w:proofErr w:type="gramEnd"/>
      <w:r w:rsidRPr="001E1DEB">
        <w:rPr>
          <w:sz w:val="16"/>
        </w:rPr>
        <w:t xml:space="preserve"> during the first quarter of 2016. </w:t>
      </w:r>
      <w:r w:rsidRPr="001E1DEB">
        <w:rPr>
          <w:rStyle w:val="StyleUnderline"/>
        </w:rPr>
        <w:t>The Affordable Care Act was a big step in the right direction, but it didn’t close the gap, and the national security and public health challenges of having a large fraction of the population uninsured remain as relevant today as they were a decade ago. Uninsured people delay seeking health care.</w:t>
      </w:r>
      <w:r w:rsidRPr="001E1DEB">
        <w:rPr>
          <w:sz w:val="16"/>
        </w:rPr>
        <w:t xml:space="preserve"> Once they seek it, often in a busy emergency room, they are typically given less attention than people with insurance. </w:t>
      </w:r>
      <w:r w:rsidRPr="001E1DEB">
        <w:rPr>
          <w:rStyle w:val="StyleUnderline"/>
        </w:rPr>
        <w:t>This failure to get care becomes a danger not only for the individual but for the public at large when the problem is a deadly infectious disease. We saw this scenario play out in Dallas during the</w:t>
      </w:r>
      <w:r>
        <w:rPr>
          <w:rStyle w:val="StyleUnderline"/>
        </w:rPr>
        <w:t xml:space="preserve"> </w:t>
      </w:r>
      <w:hyperlink r:id="rId140" w:history="1">
        <w:r w:rsidRPr="001E1DEB">
          <w:rPr>
            <w:rStyle w:val="StyleUnderline"/>
          </w:rPr>
          <w:t>Ebola crisis</w:t>
        </w:r>
      </w:hyperlink>
      <w:r w:rsidRPr="001E1DEB">
        <w:rPr>
          <w:sz w:val="16"/>
        </w:rPr>
        <w:t xml:space="preserve"> of 2014 and 2015. A poor Liberian man, infected with the virus, presented himself to Texas Health Presbyterian Hospital with severe abdominal pain and a high fever. He was examined and sent home with a bottle of antibiotics. </w:t>
      </w:r>
      <w:r w:rsidRPr="001E1DEB">
        <w:rPr>
          <w:rStyle w:val="StyleUnderline"/>
        </w:rPr>
        <w:t>Amazingly, he did not set off an Ebola outbreak in his community, though the risk that he could have was significant and the wider public shouldn’t count on being so lucky next time.</w:t>
      </w:r>
      <w:r w:rsidRPr="001E1DEB">
        <w:rPr>
          <w:sz w:val="16"/>
        </w:rPr>
        <w:t xml:space="preserve"> Before dying, he infected two nurses who had received inadequate training and equipment to protect themselves. During the anthrax crisis of 2001, in which spores of the deadly disease were sent through the US mail, many people infected were federal employees with health insurance. If these postal workers hadn’t had easy access to health care, the death toll might have been higher than only five; 17 more were infected but survived thanks to </w:t>
      </w:r>
      <w:hyperlink r:id="rId141" w:history="1">
        <w:r w:rsidRPr="001E1DEB">
          <w:rPr>
            <w:rStyle w:val="Hyperlink"/>
            <w:sz w:val="16"/>
          </w:rPr>
          <w:t>timely medical attention</w:t>
        </w:r>
      </w:hyperlink>
      <w:r w:rsidRPr="001E1DEB">
        <w:rPr>
          <w:sz w:val="16"/>
        </w:rPr>
        <w:t xml:space="preserve">. Anthrax spores do not spread from person to person, but it’s </w:t>
      </w:r>
      <w:r w:rsidRPr="001E1DEB">
        <w:rPr>
          <w:rStyle w:val="StyleUnderline"/>
        </w:rPr>
        <w:t>no stretch to imagine a different scenario: Suppose a future attack involves smallpox, a highly communicable virus, and that the initial victims are uninsured childcare workers or food handlers. The initial signs of smallpox include fever, chills, and headache. Uninsured victims would likely delay trying to get care, hoping for the symptoms to pass. By waiting they would certainly expose others to the virus, potentially setting of a pandemic. Countries like Canada, which has universal health coverage and a well-funded public health infrastructure, are much better prepared to handle deadly epidemics.</w:t>
      </w:r>
      <w:r w:rsidRPr="001E1DEB">
        <w:rPr>
          <w:sz w:val="16"/>
        </w:rPr>
        <w:t xml:space="preserve"> In 2003, Canada confronted Severe Acute Respiratory Syndrome (SARS), which originated in China. A physician from Guangdong province inadvertently infected a number of tourists with the SARS virus, setting off a global pandemic after everyone returned to their home countries. Among the infected travelers was an elderly Canadian woman who returned to Toronto after a 10-day vacation in Hong Kong. Over the course of about four months, the Canadian health system </w:t>
      </w:r>
      <w:hyperlink r:id="rId142" w:history="1">
        <w:r w:rsidRPr="001E1DEB">
          <w:rPr>
            <w:rStyle w:val="Hyperlink"/>
            <w:sz w:val="16"/>
          </w:rPr>
          <w:t>worked hard</w:t>
        </w:r>
      </w:hyperlink>
      <w:r w:rsidRPr="001E1DEB">
        <w:rPr>
          <w:sz w:val="16"/>
        </w:rPr>
        <w:t xml:space="preserve"> to contain the virus, treating 400 people who became ill and quarantining 25,000 Toronto residents who may have been exposed. Ultimately, 44 people died from the disease in Canada, but the result would have been much worse without a quick and well-organized response. The Canadian government’s response had its glitches—primarily in the form of poor political leadership. </w:t>
      </w:r>
      <w:hyperlink r:id="rId143" w:history="1">
        <w:r w:rsidRPr="001E1DEB">
          <w:rPr>
            <w:rStyle w:val="Hyperlink"/>
            <w:sz w:val="16"/>
          </w:rPr>
          <w:t>Mel Lastman</w:t>
        </w:r>
      </w:hyperlink>
      <w:r w:rsidRPr="001E1DEB">
        <w:rPr>
          <w:sz w:val="16"/>
        </w:rPr>
        <w:t xml:space="preserve">, the mayor of Toronto and a former furniture salesman, became angry when the World Health Organization (WHO) issued a travel advisory against his city. He railed against the </w:t>
      </w:r>
      <w:proofErr w:type="gramStart"/>
      <w:r w:rsidRPr="001E1DEB">
        <w:rPr>
          <w:sz w:val="16"/>
        </w:rPr>
        <w:t>WHO’s</w:t>
      </w:r>
      <w:proofErr w:type="gramEnd"/>
      <w:r w:rsidRPr="001E1DEB">
        <w:rPr>
          <w:sz w:val="16"/>
        </w:rPr>
        <w:t xml:space="preserve"> decision on television, revealing his complete lack of knowledge about either the organization or public health in general. As a result of Lastman’s poor leadership, he was ultimately relegated to a secondary role as the deputy mayor took his place. Lastman’s credibility and legitimacy never recovered from the SARS outbreak. Likewise, US leaders will be judged by how they handle a bioterrorist attack or pandemic. Unlike Canada, America’s piecemeal healthcare and public health systems are inherently less able to handle such crises. </w:t>
      </w:r>
      <w:r w:rsidRPr="001E1DEB">
        <w:rPr>
          <w:rStyle w:val="StyleUnderline"/>
        </w:rPr>
        <w:t xml:space="preserve">The Affordable Care Act helped fill in the gaps, but really, the only way to prepare for the eventuality of pandemics or bioterrorist attacks is with a </w:t>
      </w:r>
      <w:r w:rsidRPr="001E1DEB">
        <w:rPr>
          <w:sz w:val="16"/>
        </w:rPr>
        <w:t xml:space="preserve">single-payer </w:t>
      </w:r>
      <w:r w:rsidRPr="001E1DEB">
        <w:rPr>
          <w:rStyle w:val="StyleUnderline"/>
        </w:rPr>
        <w:t>government-run system that covers everyone</w:t>
      </w:r>
      <w:r w:rsidRPr="001E1DEB">
        <w:rPr>
          <w:sz w:val="16"/>
        </w:rPr>
        <w:t xml:space="preserve">. The United States might consider modeling its health care system after the one in </w:t>
      </w:r>
      <w:hyperlink r:id="rId144" w:history="1">
        <w:r w:rsidRPr="001E1DEB">
          <w:rPr>
            <w:rStyle w:val="Hyperlink"/>
            <w:sz w:val="16"/>
          </w:rPr>
          <w:t>Israel</w:t>
        </w:r>
      </w:hyperlink>
      <w:r w:rsidRPr="001E1DEB">
        <w:rPr>
          <w:sz w:val="16"/>
        </w:rPr>
        <w:t xml:space="preserve">, a country that, given longstanding threats, takes every terrorist risk very seriously. In 1994, it established universal health coverage for all citizens. The country’s Ministry of Health monitors and promotes public health, oversees the operations of the nation’s hospitals, and sets healthcare priorities. As a result, </w:t>
      </w:r>
      <w:hyperlink r:id="rId145" w:history="1">
        <w:r w:rsidRPr="001E1DEB">
          <w:rPr>
            <w:rStyle w:val="Hyperlink"/>
            <w:sz w:val="16"/>
          </w:rPr>
          <w:t>Israel’s public health, emergency response, and hospital systems</w:t>
        </w:r>
      </w:hyperlink>
      <w:r w:rsidRPr="001E1DEB">
        <w:rPr>
          <w:sz w:val="16"/>
        </w:rPr>
        <w:t xml:space="preserve"> are state-of-the-art, highly efficient, and coordinated—a </w:t>
      </w:r>
      <w:hyperlink r:id="rId146" w:history="1">
        <w:r w:rsidRPr="001E1DEB">
          <w:rPr>
            <w:rStyle w:val="Hyperlink"/>
            <w:sz w:val="16"/>
          </w:rPr>
          <w:t>necessity</w:t>
        </w:r>
      </w:hyperlink>
      <w:r w:rsidRPr="001E1DEB">
        <w:rPr>
          <w:sz w:val="16"/>
        </w:rPr>
        <w:t xml:space="preserve"> when responding to terrorist attacks. The preamble to the </w:t>
      </w:r>
      <w:hyperlink r:id="rId147" w:history="1">
        <w:r w:rsidRPr="001E1DEB">
          <w:rPr>
            <w:rStyle w:val="Hyperlink"/>
            <w:sz w:val="16"/>
          </w:rPr>
          <w:t>US Constitution</w:t>
        </w:r>
      </w:hyperlink>
      <w:r w:rsidRPr="001E1DEB">
        <w:rPr>
          <w:sz w:val="16"/>
        </w:rPr>
        <w:t xml:space="preserve"> states the goals to “provide for the common defense” and “promote the general Welfare.” </w:t>
      </w:r>
      <w:r w:rsidRPr="001E1DEB">
        <w:rPr>
          <w:rStyle w:val="StyleUnderline"/>
        </w:rPr>
        <w:t>The US</w:t>
      </w:r>
      <w:r w:rsidRPr="001E1DEB">
        <w:rPr>
          <w:sz w:val="16"/>
        </w:rPr>
        <w:t xml:space="preserve"> </w:t>
      </w:r>
      <w:r w:rsidRPr="001E1DEB">
        <w:rPr>
          <w:rStyle w:val="StyleUnderline"/>
        </w:rPr>
        <w:t>government won’t fulfill</w:t>
      </w:r>
      <w:r w:rsidRPr="001E1DEB">
        <w:rPr>
          <w:sz w:val="16"/>
        </w:rPr>
        <w:t xml:space="preserve"> either of these </w:t>
      </w:r>
      <w:r w:rsidRPr="001E1DEB">
        <w:rPr>
          <w:rStyle w:val="StyleUnderline"/>
        </w:rPr>
        <w:t>duties if it fails to protect its citizens against pandemics and bioterrorism</w:t>
      </w:r>
      <w:r w:rsidRPr="001E1DEB">
        <w:rPr>
          <w:sz w:val="16"/>
        </w:rPr>
        <w:t xml:space="preserve">. The mandate </w:t>
      </w:r>
      <w:r w:rsidRPr="001E1DEB">
        <w:rPr>
          <w:rStyle w:val="StyleUnderline"/>
        </w:rPr>
        <w:t>requires a robust public health infrastructure and a universal healthcare system that covers all Americans</w:t>
      </w:r>
      <w:r w:rsidRPr="001E1DEB">
        <w:rPr>
          <w:sz w:val="16"/>
        </w:rPr>
        <w:t>. The</w:t>
      </w:r>
      <w:r w:rsidRPr="001E1DEB">
        <w:rPr>
          <w:rStyle w:val="StyleUnderline"/>
        </w:rPr>
        <w:t xml:space="preserve"> Trump Admin</w:t>
      </w:r>
      <w:r w:rsidRPr="001E1DEB">
        <w:rPr>
          <w:sz w:val="16"/>
        </w:rPr>
        <w:t xml:space="preserve">istration </w:t>
      </w:r>
      <w:r w:rsidRPr="001E1DEB">
        <w:rPr>
          <w:rStyle w:val="StyleUnderline"/>
        </w:rPr>
        <w:t>and Congress</w:t>
      </w:r>
      <w:r w:rsidRPr="001E1DEB">
        <w:rPr>
          <w:sz w:val="16"/>
        </w:rPr>
        <w:t xml:space="preserve">ional Republicans </w:t>
      </w:r>
      <w:r w:rsidRPr="001E1DEB">
        <w:rPr>
          <w:rStyle w:val="StyleUnderline"/>
        </w:rPr>
        <w:t>threaten to undermine this essential function of government, unnecessarily jeopardizing American lives.</w:t>
      </w:r>
    </w:p>
    <w:p w:rsidR="00831743" w:rsidRPr="00285851" w:rsidRDefault="00831743" w:rsidP="00831743"/>
    <w:p w:rsidR="00831743" w:rsidRDefault="00831743" w:rsidP="00831743">
      <w:pPr>
        <w:rPr>
          <w:sz w:val="16"/>
        </w:rPr>
      </w:pPr>
    </w:p>
    <w:p w:rsidR="00831743" w:rsidRPr="0000084A" w:rsidRDefault="00831743" w:rsidP="00831743">
      <w:pPr>
        <w:pStyle w:val="Heading4"/>
      </w:pPr>
      <w:r>
        <w:t>Healthcare access interlinked with sustainable growth- life expectancy, training, institutional performance and worker mobility</w:t>
      </w:r>
    </w:p>
    <w:p w:rsidR="00831743" w:rsidRPr="0000084A" w:rsidRDefault="00831743" w:rsidP="00831743">
      <w:r w:rsidRPr="00675D2B">
        <w:rPr>
          <w:rStyle w:val="Style13ptBold"/>
        </w:rPr>
        <w:t>Frenk 4</w:t>
      </w:r>
      <w:r>
        <w:t xml:space="preserve"> (</w:t>
      </w:r>
      <w:r w:rsidRPr="0000084A">
        <w:t>Julio Frenk, Mexican Minister of Health and Chair of the 2004 meeting of OECD Health Ministers</w:t>
      </w:r>
      <w:r>
        <w:t>, May 2004, “</w:t>
      </w:r>
      <w:r w:rsidRPr="0000084A">
        <w:t>Health and the economy: A vital relationship”</w:t>
      </w:r>
      <w:r>
        <w:t xml:space="preserve">, </w:t>
      </w:r>
      <w:r w:rsidRPr="0000084A">
        <w:t>http://oecdobserver.org/news/archivestory.php/aid/1241/Health_and_the_economy:_A_vital_relationship_.html</w:t>
      </w:r>
      <w:r>
        <w:t>)/CWB</w:t>
      </w:r>
    </w:p>
    <w:p w:rsidR="00831743" w:rsidRPr="0000084A" w:rsidRDefault="00831743" w:rsidP="00831743">
      <w:pPr>
        <w:rPr>
          <w:sz w:val="16"/>
        </w:rPr>
      </w:pPr>
      <w:r w:rsidRPr="00675D2B">
        <w:rPr>
          <w:sz w:val="16"/>
          <w:szCs w:val="16"/>
        </w:rPr>
        <w:t>Healthcare performance is strongly dependent on the economy, but also on the health systems</w:t>
      </w:r>
      <w:r w:rsidRPr="0000084A">
        <w:rPr>
          <w:sz w:val="16"/>
        </w:rPr>
        <w:t xml:space="preserve"> themselves. </w:t>
      </w:r>
      <w:r w:rsidRPr="0000084A">
        <w:rPr>
          <w:rStyle w:val="StyleUnderline"/>
        </w:rPr>
        <w:t xml:space="preserve">This link should not be underestimated. Investment in health is not only a desirable, but also an essential priority for </w:t>
      </w:r>
      <w:r w:rsidRPr="0000084A">
        <w:rPr>
          <w:sz w:val="16"/>
        </w:rPr>
        <w:t xml:space="preserve">most </w:t>
      </w:r>
      <w:r w:rsidRPr="0000084A">
        <w:rPr>
          <w:rStyle w:val="StyleUnderline"/>
        </w:rPr>
        <w:t>societies</w:t>
      </w:r>
      <w:r w:rsidRPr="0000084A">
        <w:rPr>
          <w:sz w:val="16"/>
        </w:rPr>
        <w:t xml:space="preserve">. However, our </w:t>
      </w:r>
      <w:r w:rsidRPr="0000084A">
        <w:rPr>
          <w:rStyle w:val="StyleUnderline"/>
        </w:rPr>
        <w:t>health systems face tough and complex challenges</w:t>
      </w:r>
      <w:r w:rsidRPr="0000084A">
        <w:rPr>
          <w:sz w:val="16"/>
        </w:rPr>
        <w:t xml:space="preserve">, in part derived from new pressures, </w:t>
      </w:r>
      <w:r w:rsidRPr="0000084A">
        <w:rPr>
          <w:rStyle w:val="StyleUnderline"/>
        </w:rPr>
        <w:t>such as ageing populations, growing prevalence of chronic illnesses, and intensive use of expensive yet vital health technologies</w:t>
      </w:r>
      <w:r w:rsidRPr="0000084A">
        <w:rPr>
          <w:sz w:val="16"/>
        </w:rPr>
        <w:t xml:space="preserve">. Moreover, </w:t>
      </w:r>
      <w:r w:rsidRPr="0000084A">
        <w:rPr>
          <w:rStyle w:val="StyleUnderline"/>
        </w:rPr>
        <w:t xml:space="preserve">we must </w:t>
      </w:r>
      <w:r w:rsidRPr="0000084A">
        <w:rPr>
          <w:sz w:val="16"/>
        </w:rPr>
        <w:t>deal with higher expectations of citizens and re</w:t>
      </w:r>
      <w:r w:rsidRPr="0000084A">
        <w:rPr>
          <w:rStyle w:val="StyleUnderline"/>
        </w:rPr>
        <w:t>solve persistent inequities in access and in health conditions among different groups</w:t>
      </w:r>
      <w:r w:rsidRPr="0000084A">
        <w:rPr>
          <w:sz w:val="16"/>
        </w:rPr>
        <w:t xml:space="preserve">. Little wonder that the issue of how to ensure the financial sustainability of health systems, while making a positive contribution to macroeconomic performance, has moved to the top of the policy agenda across the OECD area. Much of the work undertaken in the OECD Health Project has aimed at providing policymakers with the evidence they </w:t>
      </w:r>
      <w:r w:rsidRPr="0000084A">
        <w:rPr>
          <w:rStyle w:val="StyleUnderline"/>
        </w:rPr>
        <w:t>need to promote more value for money in the health sector, while ensuring universal access, equity and raising quality of care</w:t>
      </w:r>
      <w:r w:rsidRPr="0000084A">
        <w:rPr>
          <w:sz w:val="16"/>
        </w:rPr>
        <w:t xml:space="preserve">. We have learned a lot, though there is more to discover. A basic message has emerged: investments in health and the design of health financing policies should be addressed in terms of the </w:t>
      </w:r>
      <w:r w:rsidRPr="0000084A">
        <w:rPr>
          <w:rStyle w:val="StyleUnderline"/>
        </w:rPr>
        <w:t>interaction between health and the economy. Just as growth, income, investment and employment are a function of the performance and quality of the economic system, its regulatory frameworks, trade policies, social capital and labour markets, etc, so health conditions (mortality, morbidity, disability) depend not just on standards of living, but on the actual performance of health systems themselves.</w:t>
      </w:r>
      <w:r w:rsidRPr="0000084A">
        <w:rPr>
          <w:sz w:val="16"/>
        </w:rPr>
        <w:t xml:space="preserve"> Let us go over some of these interactions. </w:t>
      </w:r>
      <w:r w:rsidRPr="0000084A">
        <w:rPr>
          <w:rStyle w:val="StyleUnderline"/>
        </w:rPr>
        <w:t>Health performance and economic performance are interlinked</w:t>
      </w:r>
      <w:r w:rsidRPr="0000084A">
        <w:rPr>
          <w:sz w:val="16"/>
        </w:rPr>
        <w:t xml:space="preserve">. Wealthier countries have healthier populations for a start. And it is a basic truth that poverty, mainly through infant malnourishment and mortality, adversely affects life expectancy. National income has a direct effect on the development of health systems, through insurance coverage and public spending, for instance. As demonstrated in 1997 by the WHO Commission on Macroeconomics and Health for a panel of 167 countries, while health expenditures are determined mainly by national income, they increase faster than income. Another well-known relationship is an institutional one. Take the case of tobacco use. Efficient fiscal systems in the OECD have meant that increases in taxes on tobacco could reinforce other public health policies like rule-based restrictions on smoking in public places. Some countries have gone very far in this respect, with Ireland actually banning smoking in its famous pubs! Such courageous initiatives cannot succeed without institutional backing, whether legalistic or otherwise. Another example of how institutional arrangements can help is through universal provision of insurance coverage, which a larger fiscal base and a small informal sector help to attain. Globalisation in general, and trade liberalisation in particular, also affect healthcare, via constrained pricing and trade policies of pharmaceuticals, and the need for enhanced health surveillance across borders and populations. </w:t>
      </w:r>
      <w:r w:rsidRPr="0000084A">
        <w:rPr>
          <w:rStyle w:val="StyleUnderline"/>
        </w:rPr>
        <w:t>The effects of health on development are clear. Countries with weak health and education conditions find it harder to achieve sustained growth. Indeed, economic evidence confirms that a 10% improvement in life expectancy at birth is associated with a rise in economic growth of some 0.3-0.4 percentage points a year. Disease hinders institutional performance too. Lower life expectancy discourages adult training and damages productivity. Similarly, the emergence of deadly communicable diseases has become an obstacle for the development of sectors like the tourism industry, on which so many countries rely.</w:t>
      </w:r>
      <w:r w:rsidRPr="0000084A">
        <w:rPr>
          <w:sz w:val="16"/>
        </w:rPr>
        <w:t xml:space="preserve"> Policy choices cannot be taken lightly. Health financing, through out-of-pocket expenditures, is inequitable and can expose whole populations to huge cost burdens that block development and simply perpetuate the disease/poverty trap. On the other hand, </w:t>
      </w:r>
      <w:r w:rsidRPr="0000084A">
        <w:rPr>
          <w:rStyle w:val="StyleUnderline"/>
        </w:rPr>
        <w:t>health systems need</w:t>
      </w:r>
      <w:r w:rsidRPr="0000084A">
        <w:rPr>
          <w:sz w:val="16"/>
        </w:rPr>
        <w:t xml:space="preserve"> financing and investment </w:t>
      </w:r>
      <w:r w:rsidRPr="0000084A">
        <w:rPr>
          <w:rStyle w:val="StyleUnderline"/>
        </w:rPr>
        <w:t>to improve their performance,</w:t>
      </w:r>
      <w:r w:rsidRPr="0000084A">
        <w:rPr>
          <w:sz w:val="16"/>
        </w:rPr>
        <w:t xml:space="preserve"> yet this need cannot in turn impose an unfair </w:t>
      </w:r>
      <w:r w:rsidRPr="0000084A">
        <w:rPr>
          <w:rStyle w:val="StyleUnderline"/>
        </w:rPr>
        <w:t xml:space="preserve">burden on national </w:t>
      </w:r>
      <w:r w:rsidRPr="0000084A">
        <w:rPr>
          <w:sz w:val="16"/>
        </w:rPr>
        <w:t>spending or</w:t>
      </w:r>
      <w:r w:rsidRPr="0000084A">
        <w:rPr>
          <w:rStyle w:val="StyleUnderline"/>
        </w:rPr>
        <w:t xml:space="preserve"> competitiveness</w:t>
      </w:r>
      <w:r w:rsidRPr="0000084A">
        <w:rPr>
          <w:sz w:val="16"/>
        </w:rPr>
        <w:t xml:space="preserve">. This is a very delicate balance for policymakers to have to strike. There are other challenges too. For instance, in high-income countries, </w:t>
      </w:r>
      <w:r w:rsidRPr="0000084A">
        <w:rPr>
          <w:rStyle w:val="StyleUnderline"/>
        </w:rPr>
        <w:t>the lack of benefit portability associated with employer-provided health insurance often constrains worker mobility, so impeding the efficiency of labour markets we all want to see</w:t>
      </w:r>
      <w:r w:rsidRPr="0000084A">
        <w:rPr>
          <w:sz w:val="16"/>
        </w:rPr>
        <w:t xml:space="preserve">. And there are indirect effects on other spending decisions, both by households and governments. In other words, if you want to raise investment in health spending, you may need to find cuts elsewhere in the economic system. As policymakers with public responsibilities, we must never forget that decisions taken in one sphere affect conditions, stakeholders and policies in another. We all want better health systems, but </w:t>
      </w:r>
      <w:r w:rsidRPr="0000084A">
        <w:rPr>
          <w:rStyle w:val="StyleUnderline"/>
        </w:rPr>
        <w:t>the impact of health on the economy should not be underestimated</w:t>
      </w:r>
      <w:r w:rsidRPr="0000084A">
        <w:rPr>
          <w:sz w:val="16"/>
        </w:rPr>
        <w:t xml:space="preserve">. Our </w:t>
      </w:r>
      <w:r w:rsidRPr="0000084A">
        <w:rPr>
          <w:rStyle w:val="StyleUnderline"/>
        </w:rPr>
        <w:t>challenge is</w:t>
      </w:r>
      <w:r w:rsidRPr="0000084A">
        <w:rPr>
          <w:sz w:val="16"/>
        </w:rPr>
        <w:t xml:space="preserve"> to harmonise health and economic policies </w:t>
      </w:r>
      <w:r w:rsidRPr="0000084A">
        <w:rPr>
          <w:rStyle w:val="StyleUnderline"/>
        </w:rPr>
        <w:t>to improve health outcomes</w:t>
      </w:r>
      <w:r w:rsidRPr="0000084A">
        <w:rPr>
          <w:sz w:val="16"/>
        </w:rPr>
        <w:t xml:space="preserve">, of course, </w:t>
      </w:r>
      <w:r w:rsidRPr="0000084A">
        <w:rPr>
          <w:rStyle w:val="StyleUnderline"/>
        </w:rPr>
        <w:t>but also to minimise any negative impacts while promoting synergies wherever possible</w:t>
      </w:r>
      <w:r w:rsidRPr="0000084A">
        <w:rPr>
          <w:sz w:val="16"/>
        </w:rPr>
        <w:t>. We cannot do this alone and need the international evidence and shared learning that organisations like the OECD can provide.</w:t>
      </w:r>
    </w:p>
    <w:p w:rsidR="00831743" w:rsidRPr="005D3714" w:rsidRDefault="00831743" w:rsidP="00831743">
      <w:pPr>
        <w:rPr>
          <w:sz w:val="16"/>
        </w:rPr>
      </w:pPr>
    </w:p>
    <w:p w:rsidR="00831743" w:rsidRDefault="00831743" w:rsidP="00831743"/>
    <w:p w:rsidR="00125A1B" w:rsidRDefault="00AD6806" w:rsidP="00495F48">
      <w:pPr>
        <w:pStyle w:val="Heading2"/>
      </w:pPr>
      <w:r>
        <w:t>Poverty/Structural Violence</w:t>
      </w:r>
    </w:p>
    <w:p w:rsidR="001F30DE" w:rsidRPr="00DD0CFC" w:rsidRDefault="001F30DE" w:rsidP="001F30DE">
      <w:pPr>
        <w:pStyle w:val="Heading4"/>
        <w:rPr>
          <w:color w:val="FF0000"/>
        </w:rPr>
      </w:pPr>
      <w:r>
        <w:t xml:space="preserve">Public charge structures unemployment, welfare dependence, and pregnancy as inherently undesirable and unproductive, causing a “chilling effect” that locks immigrants into a cycle of poverty and stigmatization </w:t>
      </w:r>
    </w:p>
    <w:p w:rsidR="001F30DE" w:rsidRPr="00477DEC" w:rsidRDefault="001F30DE" w:rsidP="001F30DE">
      <w:r>
        <w:rPr>
          <w:b/>
        </w:rPr>
        <w:t xml:space="preserve">Park 1 </w:t>
      </w:r>
      <w:r w:rsidRPr="001D4EEE">
        <w:rPr>
          <w:sz w:val="18"/>
          <w:szCs w:val="18"/>
        </w:rPr>
        <w:t>(Lisa Sun-Hee Park, Assistant Professor in the Ethnic Studies Department and the Urban Studies and Planning Program at the University of California, Hein Online,</w:t>
      </w:r>
      <w:r>
        <w:rPr>
          <w:sz w:val="18"/>
          <w:szCs w:val="18"/>
        </w:rPr>
        <w:t xml:space="preserve"> EBSCO Host,</w:t>
      </w:r>
      <w:r w:rsidRPr="001D4EEE">
        <w:rPr>
          <w:sz w:val="18"/>
          <w:szCs w:val="18"/>
        </w:rPr>
        <w:t xml:space="preserve"> 2001, “Perpetuation of Poverty Through ‘Public Charge,’”</w:t>
      </w:r>
      <w:r>
        <w:rPr>
          <w:sz w:val="18"/>
          <w:szCs w:val="18"/>
        </w:rPr>
        <w:t xml:space="preserve"> Introduction,</w:t>
      </w:r>
      <w:r w:rsidRPr="001D4EEE">
        <w:rPr>
          <w:sz w:val="18"/>
          <w:szCs w:val="18"/>
        </w:rPr>
        <w:t xml:space="preserve"> Denver University Law Review)</w:t>
      </w:r>
      <w:r>
        <w:rPr>
          <w:sz w:val="18"/>
          <w:szCs w:val="18"/>
        </w:rPr>
        <w:t>//jy</w:t>
      </w:r>
    </w:p>
    <w:p w:rsidR="001F30DE" w:rsidRPr="001F30DE" w:rsidRDefault="001F30DE" w:rsidP="001F30DE">
      <w:pPr>
        <w:rPr>
          <w:sz w:val="14"/>
        </w:rPr>
      </w:pPr>
      <w:r w:rsidRPr="00F62F5E">
        <w:rPr>
          <w:sz w:val="14"/>
        </w:rPr>
        <w:t xml:space="preserve">INTRODUCTION </w:t>
      </w:r>
      <w:proofErr w:type="gramStart"/>
      <w:r w:rsidRPr="00F62F5E">
        <w:rPr>
          <w:sz w:val="14"/>
        </w:rPr>
        <w:t>A</w:t>
      </w:r>
      <w:proofErr w:type="gramEnd"/>
      <w:r w:rsidRPr="00F62F5E">
        <w:rPr>
          <w:sz w:val="14"/>
        </w:rPr>
        <w:t xml:space="preserve"> number of federal and state policies have had significant impacts on low-income, pregnant immigrant women living in California. This paper focuses on the issue of "Public Charge," in conjunction with the 1996 Welfare Reform(FN1) and the 1996 Immigration Act.(FN2) I argue that </w:t>
      </w:r>
      <w:r w:rsidRPr="00E552BE">
        <w:rPr>
          <w:u w:val="single"/>
        </w:rPr>
        <w:t>the social contexts that helped garner support for</w:t>
      </w:r>
      <w:r w:rsidRPr="00F62F5E">
        <w:rPr>
          <w:sz w:val="14"/>
        </w:rPr>
        <w:t xml:space="preserve"> such </w:t>
      </w:r>
      <w:r w:rsidRPr="00E552BE">
        <w:rPr>
          <w:u w:val="single"/>
        </w:rPr>
        <w:t>anti-immigrant legislative measures created an environment that essentially criminalized motherhood for low-income, immigrant women -- whether they be undocumented or documented. Public charge is a term used by the I</w:t>
      </w:r>
      <w:r w:rsidRPr="00F62F5E">
        <w:rPr>
          <w:sz w:val="14"/>
        </w:rPr>
        <w:t xml:space="preserve">mmigration and </w:t>
      </w:r>
      <w:r w:rsidRPr="00E552BE">
        <w:rPr>
          <w:u w:val="single"/>
        </w:rPr>
        <w:t>N</w:t>
      </w:r>
      <w:r w:rsidRPr="00F62F5E">
        <w:rPr>
          <w:sz w:val="14"/>
        </w:rPr>
        <w:t xml:space="preserve">aturalization </w:t>
      </w:r>
      <w:r w:rsidRPr="00E552BE">
        <w:rPr>
          <w:u w:val="single"/>
        </w:rPr>
        <w:t>S</w:t>
      </w:r>
      <w:r w:rsidRPr="00F62F5E">
        <w:rPr>
          <w:sz w:val="14"/>
        </w:rPr>
        <w:t xml:space="preserve">ervice </w:t>
      </w:r>
      <w:r w:rsidRPr="00E552BE">
        <w:rPr>
          <w:u w:val="single"/>
        </w:rPr>
        <w:t>and the State Department to refer to immigrants who have or will become dependent on public benefits</w:t>
      </w:r>
      <w:proofErr w:type="gramStart"/>
      <w:r w:rsidRPr="00E552BE">
        <w:rPr>
          <w:u w:val="single"/>
        </w:rPr>
        <w:t>.</w:t>
      </w:r>
      <w:r w:rsidRPr="00F62F5E">
        <w:rPr>
          <w:sz w:val="14"/>
        </w:rPr>
        <w:t>(</w:t>
      </w:r>
      <w:proofErr w:type="gramEnd"/>
      <w:r w:rsidRPr="00F62F5E">
        <w:rPr>
          <w:sz w:val="14"/>
        </w:rPr>
        <w:t xml:space="preserve">FN3) Interestingly, </w:t>
      </w:r>
      <w:r w:rsidRPr="00E552BE">
        <w:rPr>
          <w:u w:val="single"/>
        </w:rPr>
        <w:t>this term has been a part of U.S. immigration law for more than 100 years as grounds for inadmissibility and deportation</w:t>
      </w:r>
      <w:r w:rsidRPr="00F62F5E">
        <w:rPr>
          <w:sz w:val="14"/>
        </w:rPr>
        <w:t xml:space="preserve">.(FN4) </w:t>
      </w:r>
      <w:r w:rsidRPr="00E552BE">
        <w:rPr>
          <w:u w:val="single"/>
        </w:rPr>
        <w:t>However, it is with the passage of recent immigration and welfare reform laws that concerns regarding "public charge" have resurfaced</w:t>
      </w:r>
      <w:r w:rsidRPr="00F62F5E">
        <w:rPr>
          <w:sz w:val="14"/>
        </w:rPr>
        <w:t xml:space="preserve">. In particular, </w:t>
      </w:r>
      <w:r w:rsidRPr="00E552BE">
        <w:rPr>
          <w:u w:val="single"/>
        </w:rPr>
        <w:t>the vagueness of its definition and the standards with which this measure is applied generated considerable confusion regarding who is eligible for certain federal, state, or local public benefits and whether non-citizens may face adverse immigration consequences as a public charge for having received public benefits. This concern prompted some non-citizens</w:t>
      </w:r>
      <w:r w:rsidRPr="00F62F5E">
        <w:rPr>
          <w:sz w:val="14"/>
        </w:rPr>
        <w:t xml:space="preserve"> (including residents legally residing in the U.S.) </w:t>
      </w:r>
      <w:r w:rsidRPr="00E552BE">
        <w:rPr>
          <w:u w:val="single"/>
        </w:rPr>
        <w:t xml:space="preserve">and their families to avoid seeking public benefits for which they are eligible -- including health care. Such is the case for many low-income, pregnant immigrant women seeking prenatal care. </w:t>
      </w:r>
      <w:r w:rsidRPr="00F62F5E">
        <w:rPr>
          <w:sz w:val="14"/>
        </w:rPr>
        <w:t>In April 1998, the National Health Law Program and the National Immigration Law Center found that "[</w:t>
      </w:r>
      <w:r w:rsidRPr="00E552BE">
        <w:rPr>
          <w:u w:val="single"/>
        </w:rPr>
        <w:t xml:space="preserve">t]hroughout the country, advocacy groups and healthcare providers are reporting that immigrants </w:t>
      </w:r>
      <w:r w:rsidRPr="00F415C6">
        <w:rPr>
          <w:b/>
          <w:u w:val="single"/>
        </w:rPr>
        <w:t>are medically 'on the run,' too afraid to obtain health care, even when they legally are entitled to it</w:t>
      </w:r>
      <w:r w:rsidRPr="00F62F5E">
        <w:rPr>
          <w:sz w:val="14"/>
        </w:rPr>
        <w:t xml:space="preserve">."(FN5) </w:t>
      </w:r>
      <w:r w:rsidRPr="00E552BE">
        <w:rPr>
          <w:u w:val="single"/>
        </w:rPr>
        <w:t>As a result of this chilling effect, low-income, pregnant immigrant women</w:t>
      </w:r>
      <w:r w:rsidRPr="00F62F5E">
        <w:rPr>
          <w:sz w:val="14"/>
        </w:rPr>
        <w:t xml:space="preserve"> in California </w:t>
      </w:r>
      <w:r w:rsidRPr="00E552BE">
        <w:rPr>
          <w:u w:val="single"/>
        </w:rPr>
        <w:t>are left with few options</w:t>
      </w:r>
      <w:r w:rsidRPr="00F62F5E">
        <w:rPr>
          <w:sz w:val="14"/>
        </w:rPr>
        <w:t xml:space="preserve">. On the whole, </w:t>
      </w:r>
      <w:r w:rsidRPr="00E552BE">
        <w:rPr>
          <w:u w:val="single"/>
        </w:rPr>
        <w:t>they either opt not to seek prenatal care, choose self-pay, or enroll in Medi-Cal</w:t>
      </w:r>
      <w:r w:rsidRPr="00F62F5E">
        <w:rPr>
          <w:sz w:val="14"/>
        </w:rPr>
        <w:t xml:space="preserve">(FN6) </w:t>
      </w:r>
      <w:r w:rsidRPr="00E552BE">
        <w:rPr>
          <w:u w:val="single"/>
        </w:rPr>
        <w:t>and take the risk of public charge</w:t>
      </w:r>
      <w:r w:rsidRPr="00F62F5E">
        <w:rPr>
          <w:sz w:val="14"/>
        </w:rPr>
        <w:t xml:space="preserve">.(FN7) </w:t>
      </w:r>
      <w:r w:rsidRPr="00E552BE">
        <w:rPr>
          <w:u w:val="single"/>
        </w:rPr>
        <w:t>Whichever option they choose, the threat of public charge sends a clear message: low-income immigrant women -- documented and undocumented -- are not welcome to use public benefits, including health care for which they are eligible. Immigrants, regardless of their documentation status, are not viewed as having the same rights and privileges as citizens</w:t>
      </w:r>
      <w:r w:rsidRPr="00F62F5E">
        <w:rPr>
          <w:sz w:val="14"/>
        </w:rPr>
        <w:t xml:space="preserve">. The recent passage of both the Welfare Reform Act and the Immigration Act of 1996, underscore the secondary status of immigrants and the popular assumption that they have a "natural" tendency for dependency.(FN8) In this way, </w:t>
      </w:r>
      <w:r w:rsidRPr="00E552BE">
        <w:rPr>
          <w:u w:val="single"/>
        </w:rPr>
        <w:t>public charge is used as a form of punishment and guarantee against further increases in the number of poor immigrants and their families</w:t>
      </w:r>
      <w:r w:rsidRPr="00F62F5E">
        <w:rPr>
          <w:sz w:val="14"/>
        </w:rPr>
        <w:t>. This paper is part of a larger project investigating the impact of the welfare and immigration reforms on prenatal care providers and immigrant health advocates who serve low-income immigrant communities in California</w:t>
      </w:r>
      <w:proofErr w:type="gramStart"/>
      <w:r w:rsidRPr="00F62F5E">
        <w:rPr>
          <w:sz w:val="14"/>
        </w:rPr>
        <w:t>.(</w:t>
      </w:r>
      <w:proofErr w:type="gramEnd"/>
      <w:r w:rsidRPr="00F62F5E">
        <w:rPr>
          <w:sz w:val="14"/>
        </w:rPr>
        <w:t>FN9) For this paper, I focus on low-income, pregnant immigrant Latinas' access to Medicaid. In the larger study, we interviewed ninety-nine key informants -- government officials, safety-net prenatal care providers</w:t>
      </w:r>
      <w:proofErr w:type="gramStart"/>
      <w:r w:rsidRPr="00F62F5E">
        <w:rPr>
          <w:sz w:val="14"/>
        </w:rPr>
        <w:t>,(</w:t>
      </w:r>
      <w:proofErr w:type="gramEnd"/>
      <w:r w:rsidRPr="00F62F5E">
        <w:rPr>
          <w:sz w:val="14"/>
        </w:rPr>
        <w:t>FN10) and immigrant advocates -- who serve low-income, pregnant Asian and Latina immigrants at the national, state, or local levels. We focused on four regions in California where seventy-seven percent of new immigrants are concentrated: Los Angeles, San Diego, San Francisco Bay Area, and Central Valley</w:t>
      </w:r>
      <w:proofErr w:type="gramStart"/>
      <w:r w:rsidRPr="00F62F5E">
        <w:rPr>
          <w:sz w:val="14"/>
        </w:rPr>
        <w:t>.(</w:t>
      </w:r>
      <w:proofErr w:type="gramEnd"/>
      <w:r w:rsidRPr="00F62F5E">
        <w:rPr>
          <w:sz w:val="14"/>
        </w:rPr>
        <w:t xml:space="preserve">FN11) </w:t>
      </w:r>
      <w:r w:rsidRPr="00E552BE">
        <w:rPr>
          <w:u w:val="single"/>
        </w:rPr>
        <w:t>Safety-net health care providers and advocates</w:t>
      </w:r>
      <w:r w:rsidRPr="00F62F5E">
        <w:rPr>
          <w:sz w:val="14"/>
        </w:rPr>
        <w:t xml:space="preserve"> who work with low-income immigrant Latinas repeatedly and </w:t>
      </w:r>
      <w:r w:rsidRPr="00E552BE">
        <w:rPr>
          <w:u w:val="single"/>
        </w:rPr>
        <w:t xml:space="preserve">consistently reported a </w:t>
      </w:r>
      <w:r w:rsidRPr="00F415C6">
        <w:rPr>
          <w:b/>
          <w:u w:val="single"/>
        </w:rPr>
        <w:t>"chilling" environment</w:t>
      </w:r>
      <w:r w:rsidRPr="00E552BE">
        <w:rPr>
          <w:u w:val="single"/>
        </w:rPr>
        <w:t xml:space="preserve"> in which women are afraid to access Medicaid to cover their prenatal care</w:t>
      </w:r>
      <w:r w:rsidRPr="00F62F5E">
        <w:rPr>
          <w:sz w:val="14"/>
        </w:rPr>
        <w:t xml:space="preserve">. We found that </w:t>
      </w:r>
      <w:r w:rsidRPr="00E552BE">
        <w:rPr>
          <w:u w:val="single"/>
        </w:rPr>
        <w:t>three factors contributed to this "chilling" environment: (1) the sharing of information between the California Department of Health Services and the federal Immigration and Naturalization Service, (2) the slow and confusing implementation of the reforms, and (3) the intimidating Medicaid eligibility process</w:t>
      </w:r>
      <w:proofErr w:type="gramStart"/>
      <w:r w:rsidRPr="00E552BE">
        <w:rPr>
          <w:u w:val="single"/>
        </w:rPr>
        <w:t>.</w:t>
      </w:r>
      <w:r w:rsidRPr="00F62F5E">
        <w:rPr>
          <w:sz w:val="14"/>
        </w:rPr>
        <w:t>(</w:t>
      </w:r>
      <w:proofErr w:type="gramEnd"/>
      <w:r w:rsidRPr="00F62F5E">
        <w:rPr>
          <w:sz w:val="14"/>
        </w:rPr>
        <w:t xml:space="preserve">FN12) Drawing on data from this project, I discuss how these barriers to health care punish Latinas and their children. I argue that </w:t>
      </w:r>
      <w:r w:rsidRPr="00E552BE">
        <w:rPr>
          <w:u w:val="single"/>
        </w:rPr>
        <w:t xml:space="preserve">this punishment comes in the form of criminalizing the status of being low-income immigrant, </w:t>
      </w:r>
      <w:r w:rsidRPr="00F62F5E">
        <w:rPr>
          <w:sz w:val="14"/>
        </w:rPr>
        <w:t xml:space="preserve">Latina, and of childbearing age. </w:t>
      </w:r>
      <w:r w:rsidRPr="00E552BE">
        <w:rPr>
          <w:u w:val="single"/>
        </w:rPr>
        <w:t>This was evident in a number of Medicaid fraud detection programs established at the Mexico-U.S. border</w:t>
      </w:r>
      <w:r w:rsidRPr="00F62F5E">
        <w:rPr>
          <w:sz w:val="14"/>
        </w:rPr>
        <w:t xml:space="preserve">, and later at the Los Angeles and San Francisco International Airports. As Nancy Ehrenreich points out, </w:t>
      </w:r>
      <w:r w:rsidRPr="00E552BE">
        <w:rPr>
          <w:u w:val="single"/>
        </w:rPr>
        <w:t>women's reproduction and the meaning of motherhood are power struggles,(</w:t>
      </w:r>
      <w:r w:rsidRPr="00F62F5E">
        <w:rPr>
          <w:sz w:val="14"/>
        </w:rPr>
        <w:t xml:space="preserve">FN13) </w:t>
      </w:r>
      <w:r w:rsidRPr="00E552BE">
        <w:rPr>
          <w:u w:val="single"/>
        </w:rPr>
        <w:t>wherein the state</w:t>
      </w:r>
      <w:r w:rsidRPr="00F62F5E">
        <w:rPr>
          <w:sz w:val="14"/>
        </w:rPr>
        <w:t xml:space="preserve"> (i.e., courts, or in this case, federal and state legislatures) </w:t>
      </w:r>
      <w:r w:rsidRPr="007C6609">
        <w:rPr>
          <w:b/>
          <w:u w:val="single"/>
        </w:rPr>
        <w:t>determines those who are "good" or "deserving" mothers and those who are "bad" or "dependent" mothers</w:t>
      </w:r>
      <w:r w:rsidRPr="00F62F5E">
        <w:rPr>
          <w:sz w:val="14"/>
        </w:rPr>
        <w:t xml:space="preserve">. I also argue that the consequences of this criminalization are significant, in that </w:t>
      </w:r>
      <w:r w:rsidRPr="00E552BE">
        <w:rPr>
          <w:u w:val="single"/>
        </w:rPr>
        <w:t xml:space="preserve">low-income immigrant women are treated as deviants for giving birth to yet another unwanted "immigrant" and this in turn helps to maintain their subjugated status. </w:t>
      </w:r>
      <w:r w:rsidRPr="00F62F5E">
        <w:rPr>
          <w:sz w:val="14"/>
        </w:rPr>
        <w:t xml:space="preserve">In other words, </w:t>
      </w:r>
      <w:r w:rsidRPr="00E552BE">
        <w:rPr>
          <w:u w:val="single"/>
        </w:rPr>
        <w:t>rather than assistance towards upward mobility, recent retrenchments in welfare benefits and stringent immigration policies have helped to perpetuate the continued poverty of low-income immigrant women and their families.</w:t>
      </w:r>
      <w:r w:rsidRPr="00F62F5E">
        <w:rPr>
          <w:sz w:val="14"/>
        </w:rPr>
        <w:t xml:space="preserve"> Part I critiques the feminization of poverty model and discusses its limitations as an explanatory instrument for immigrant Latinas. Part II discusses how these legislative policies have worked to perpetuate the poverty among low-income immigrant communities in California. Part II.A briefly outlines particular provisions in the 1996 Welfare and Immigration policies that are relevant to immigrant women's health. Then, Part II.B and II.C present a case study of how public charge determinations (long dormant until these recent legislative reforms) and point of entry detection programs maintain the poverty of low-income Latina immigrants by criminalizing their motherhood. Finally, I conclude with a discussion of the larger social context of anti-immigrant policies and their implications on women's poverty.</w:t>
      </w:r>
    </w:p>
    <w:p w:rsidR="00DE4FE5" w:rsidRPr="00F933AF" w:rsidRDefault="00DE4FE5" w:rsidP="00DE4FE5">
      <w:pPr>
        <w:pStyle w:val="Heading4"/>
        <w:rPr>
          <w:rFonts w:cs="Calibri"/>
        </w:rPr>
      </w:pPr>
      <w:r w:rsidRPr="00F933AF">
        <w:rPr>
          <w:rFonts w:cs="Calibri"/>
        </w:rPr>
        <w:t>Public charge grounds for inadmissibility exclude the disabled- affidavit of support excludes the poor</w:t>
      </w:r>
    </w:p>
    <w:p w:rsidR="00DE4FE5" w:rsidRPr="00F933AF" w:rsidRDefault="00DE4FE5" w:rsidP="00DE4FE5">
      <w:pPr>
        <w:rPr>
          <w:rFonts w:cs="Calibri"/>
        </w:rPr>
      </w:pPr>
      <w:r w:rsidRPr="00F933AF">
        <w:rPr>
          <w:rStyle w:val="Style13ptBold"/>
          <w:rFonts w:cs="Calibri"/>
        </w:rPr>
        <w:t>Moore 17</w:t>
      </w:r>
      <w:r w:rsidRPr="00F933AF">
        <w:rPr>
          <w:rFonts w:cs="Calibri"/>
        </w:rPr>
        <w:t xml:space="preserve"> (Andrew F. Moore, Associate Professor of Law at the University of Detroit, 2017, “THE IMMIGRANT PARADOX: PROTECTING IMMIGRANTS THROUGH BETTER MENTAL HEALTH CARE”, Albany Law Review, LexisNexis)/CWB</w:t>
      </w:r>
    </w:p>
    <w:p w:rsidR="002635B9" w:rsidRPr="00DE4FE5" w:rsidRDefault="00DE4FE5" w:rsidP="002635B9">
      <w:pPr>
        <w:rPr>
          <w:rFonts w:cs="Calibri"/>
          <w:sz w:val="16"/>
        </w:rPr>
      </w:pPr>
      <w:r w:rsidRPr="00F933AF">
        <w:rPr>
          <w:rFonts w:cs="Calibri"/>
          <w:sz w:val="16"/>
        </w:rPr>
        <w:t xml:space="preserve">B. </w:t>
      </w:r>
      <w:r w:rsidRPr="00F933AF">
        <w:rPr>
          <w:rStyle w:val="StyleUnderline"/>
          <w:rFonts w:cs="Calibri"/>
        </w:rPr>
        <w:t>Public Charge</w:t>
      </w:r>
      <w:r w:rsidRPr="00F933AF">
        <w:rPr>
          <w:rFonts w:cs="Calibri"/>
          <w:sz w:val="16"/>
        </w:rPr>
        <w:t xml:space="preserve"> The </w:t>
      </w:r>
      <w:r w:rsidRPr="00F933AF">
        <w:rPr>
          <w:rStyle w:val="StyleUnderline"/>
          <w:rFonts w:cs="Calibri"/>
        </w:rPr>
        <w:t xml:space="preserve">ground most </w:t>
      </w:r>
      <w:r w:rsidRPr="00F933AF">
        <w:rPr>
          <w:rStyle w:val="Emphasis"/>
          <w:rFonts w:cs="Calibri"/>
        </w:rPr>
        <w:t>closely affiliated with mental disorders</w:t>
      </w:r>
      <w:r w:rsidRPr="00F933AF">
        <w:rPr>
          <w:rFonts w:cs="Calibri"/>
          <w:sz w:val="16"/>
        </w:rPr>
        <w:t xml:space="preserve"> is also </w:t>
      </w:r>
      <w:r w:rsidRPr="00F933AF">
        <w:rPr>
          <w:rStyle w:val="StyleUnderline"/>
          <w:rFonts w:cs="Calibri"/>
        </w:rPr>
        <w:t>one of the oldest grounds for</w:t>
      </w:r>
      <w:r w:rsidRPr="00F933AF">
        <w:rPr>
          <w:rFonts w:cs="Calibri"/>
          <w:sz w:val="16"/>
        </w:rPr>
        <w:t xml:space="preserve"> exclusion, and now </w:t>
      </w:r>
      <w:r w:rsidRPr="00F933AF">
        <w:rPr>
          <w:rStyle w:val="StyleUnderline"/>
          <w:rFonts w:cs="Calibri"/>
        </w:rPr>
        <w:t>inadmissibility</w:t>
      </w:r>
      <w:r w:rsidRPr="00F933AF">
        <w:rPr>
          <w:rFonts w:cs="Calibri"/>
          <w:sz w:val="16"/>
        </w:rPr>
        <w:t xml:space="preserve">, and </w:t>
      </w:r>
      <w:r w:rsidRPr="00F933AF">
        <w:rPr>
          <w:rStyle w:val="StyleUnderline"/>
          <w:rFonts w:cs="Calibri"/>
        </w:rPr>
        <w:t>remains a separate ground for deportation after admission;</w:t>
      </w:r>
      <w:r w:rsidRPr="00F933AF">
        <w:rPr>
          <w:rFonts w:cs="Calibri"/>
          <w:sz w:val="16"/>
        </w:rPr>
        <w:t xml:space="preserve"> the "</w:t>
      </w:r>
      <w:r w:rsidRPr="00F933AF">
        <w:rPr>
          <w:rStyle w:val="StyleUnderline"/>
          <w:rFonts w:cs="Calibri"/>
        </w:rPr>
        <w:t>public charge" ground</w:t>
      </w:r>
      <w:r w:rsidRPr="00F933AF">
        <w:rPr>
          <w:rFonts w:cs="Calibri"/>
          <w:sz w:val="16"/>
        </w:rPr>
        <w:t xml:space="preserve">. </w:t>
      </w:r>
      <w:proofErr w:type="gramStart"/>
      <w:r w:rsidRPr="00F933AF">
        <w:rPr>
          <w:rFonts w:cs="Calibri"/>
          <w:sz w:val="16"/>
        </w:rPr>
        <w:t>n246</w:t>
      </w:r>
      <w:proofErr w:type="gramEnd"/>
      <w:r w:rsidRPr="00F933AF">
        <w:rPr>
          <w:rFonts w:cs="Calibri"/>
          <w:sz w:val="16"/>
        </w:rPr>
        <w:t xml:space="preserve"> Like the mental health exclusions of the past, it </w:t>
      </w:r>
      <w:r w:rsidRPr="00F933AF">
        <w:rPr>
          <w:rStyle w:val="StyleUnderline"/>
          <w:rFonts w:cs="Calibri"/>
        </w:rPr>
        <w:t>reflect</w:t>
      </w:r>
      <w:r w:rsidRPr="00F933AF">
        <w:rPr>
          <w:rFonts w:cs="Calibri"/>
          <w:sz w:val="16"/>
        </w:rPr>
        <w:t xml:space="preserve">ed a </w:t>
      </w:r>
      <w:r w:rsidRPr="00F933AF">
        <w:rPr>
          <w:rStyle w:val="Emphasis"/>
          <w:rFonts w:cs="Calibri"/>
        </w:rPr>
        <w:t>belief that many immigrants coming to this country may become a burden on public resources</w:t>
      </w:r>
      <w:r w:rsidRPr="00F933AF">
        <w:rPr>
          <w:rFonts w:cs="Calibri"/>
          <w:sz w:val="16"/>
        </w:rPr>
        <w:t xml:space="preserve">. </w:t>
      </w:r>
      <w:proofErr w:type="gramStart"/>
      <w:r w:rsidRPr="00F933AF">
        <w:rPr>
          <w:rFonts w:cs="Calibri"/>
          <w:sz w:val="16"/>
        </w:rPr>
        <w:t>n247</w:t>
      </w:r>
      <w:proofErr w:type="gramEnd"/>
      <w:r w:rsidRPr="00F933AF">
        <w:rPr>
          <w:rFonts w:cs="Calibri"/>
          <w:sz w:val="16"/>
        </w:rPr>
        <w:t xml:space="preserve"> The original language and the 1952 INA also used the terms "pauper" as well as "professional beggar" and "vagrant." n248 The language changed in 1990, to reflect a somewhat greater acceptance of immigrants with disabilities. </w:t>
      </w:r>
      <w:proofErr w:type="gramStart"/>
      <w:r w:rsidRPr="00F933AF">
        <w:rPr>
          <w:rFonts w:cs="Calibri"/>
          <w:sz w:val="16"/>
        </w:rPr>
        <w:t>n249</w:t>
      </w:r>
      <w:proofErr w:type="gramEnd"/>
      <w:r w:rsidRPr="00F933AF">
        <w:rPr>
          <w:rFonts w:cs="Calibri"/>
          <w:sz w:val="16"/>
        </w:rPr>
        <w:t xml:space="preserve"> However, the </w:t>
      </w:r>
      <w:r w:rsidRPr="00F933AF">
        <w:rPr>
          <w:rStyle w:val="StyleUnderline"/>
          <w:rFonts w:cs="Calibri"/>
        </w:rPr>
        <w:t xml:space="preserve">public charge inadmissibility ground became </w:t>
      </w:r>
      <w:r w:rsidRPr="00F933AF">
        <w:rPr>
          <w:rStyle w:val="Emphasis"/>
          <w:rFonts w:cs="Calibri"/>
        </w:rPr>
        <w:t>more stringent</w:t>
      </w:r>
      <w:r w:rsidRPr="00F933AF">
        <w:rPr>
          <w:rStyle w:val="StyleUnderline"/>
          <w:rFonts w:cs="Calibri"/>
        </w:rPr>
        <w:t xml:space="preserve"> in the 1996 reforms</w:t>
      </w:r>
      <w:r w:rsidRPr="00F933AF">
        <w:rPr>
          <w:rFonts w:cs="Calibri"/>
          <w:sz w:val="16"/>
        </w:rPr>
        <w:t xml:space="preserve"> in that an immigrant's sponsor is </w:t>
      </w:r>
      <w:r w:rsidRPr="00F933AF">
        <w:rPr>
          <w:rStyle w:val="StyleUnderline"/>
          <w:rFonts w:cs="Calibri"/>
        </w:rPr>
        <w:t>required to file</w:t>
      </w:r>
      <w:r w:rsidRPr="00F933AF">
        <w:rPr>
          <w:rFonts w:cs="Calibri"/>
          <w:sz w:val="16"/>
        </w:rPr>
        <w:t xml:space="preserve"> a legally-binding document called an </w:t>
      </w:r>
      <w:r w:rsidRPr="00F933AF">
        <w:rPr>
          <w:rStyle w:val="StyleUnderline"/>
          <w:rFonts w:cs="Calibri"/>
        </w:rPr>
        <w:t>affidavit of support</w:t>
      </w:r>
      <w:r w:rsidRPr="00F933AF">
        <w:rPr>
          <w:rFonts w:cs="Calibri"/>
          <w:sz w:val="16"/>
        </w:rPr>
        <w:t xml:space="preserve">. n250 The sponsor of the immigrant n251 </w:t>
      </w:r>
      <w:r w:rsidRPr="00F933AF">
        <w:rPr>
          <w:rStyle w:val="StyleUnderline"/>
          <w:rFonts w:cs="Calibri"/>
        </w:rPr>
        <w:t>attests in the affidavit</w:t>
      </w:r>
      <w:r w:rsidRPr="00F933AF">
        <w:rPr>
          <w:rFonts w:cs="Calibri"/>
          <w:sz w:val="16"/>
        </w:rPr>
        <w:t xml:space="preserve"> [*106] </w:t>
      </w:r>
      <w:r w:rsidRPr="00F933AF">
        <w:rPr>
          <w:rStyle w:val="StyleUnderline"/>
          <w:rFonts w:cs="Calibri"/>
        </w:rPr>
        <w:t xml:space="preserve">that he or she had a </w:t>
      </w:r>
      <w:r w:rsidRPr="00F933AF">
        <w:rPr>
          <w:rStyle w:val="Emphasis"/>
          <w:rFonts w:cs="Calibri"/>
        </w:rPr>
        <w:t>sufficient income</w:t>
      </w:r>
      <w:r w:rsidRPr="00F933AF">
        <w:rPr>
          <w:rFonts w:cs="Calibri"/>
          <w:sz w:val="16"/>
        </w:rPr>
        <w:t xml:space="preserve"> n252 </w:t>
      </w:r>
      <w:r w:rsidRPr="00F933AF">
        <w:rPr>
          <w:rStyle w:val="StyleUnderline"/>
          <w:rFonts w:cs="Calibri"/>
        </w:rPr>
        <w:t>to support the immigrant and that he or she will reimburse any public or private entity that ended up giving support to the immigrant</w:t>
      </w:r>
      <w:r w:rsidRPr="00F933AF">
        <w:rPr>
          <w:rFonts w:cs="Calibri"/>
          <w:sz w:val="16"/>
        </w:rPr>
        <w:t xml:space="preserve">. n253 </w:t>
      </w:r>
      <w:r w:rsidRPr="00F933AF">
        <w:rPr>
          <w:rStyle w:val="StyleUnderline"/>
          <w:rFonts w:cs="Calibri"/>
        </w:rPr>
        <w:t>Looking at the visa ineligibility</w:t>
      </w:r>
      <w:r w:rsidRPr="00F933AF">
        <w:rPr>
          <w:rStyle w:val="Emphasis"/>
          <w:rFonts w:cs="Calibri"/>
        </w:rPr>
        <w:t xml:space="preserve"> statistics</w:t>
      </w:r>
      <w:r w:rsidRPr="00F933AF">
        <w:rPr>
          <w:rStyle w:val="StyleUnderline"/>
          <w:rFonts w:cs="Calibri"/>
        </w:rPr>
        <w:t xml:space="preserve"> maintained by the Department of State, public charge grounds serves as one of the </w:t>
      </w:r>
      <w:r w:rsidRPr="00F933AF">
        <w:rPr>
          <w:rStyle w:val="Emphasis"/>
          <w:rFonts w:cs="Calibri"/>
        </w:rPr>
        <w:t>most frequent base</w:t>
      </w:r>
      <w:r w:rsidRPr="00F933AF">
        <w:rPr>
          <w:rFonts w:cs="Calibri"/>
          <w:sz w:val="16"/>
        </w:rPr>
        <w:t>s</w:t>
      </w:r>
      <w:r w:rsidRPr="00F933AF">
        <w:rPr>
          <w:rStyle w:val="StyleUnderline"/>
          <w:rFonts w:cs="Calibri"/>
        </w:rPr>
        <w:t xml:space="preserve"> for denying a visa</w:t>
      </w:r>
      <w:r w:rsidRPr="00F933AF">
        <w:rPr>
          <w:rFonts w:cs="Calibri"/>
          <w:sz w:val="16"/>
        </w:rPr>
        <w:t xml:space="preserve">. </w:t>
      </w:r>
      <w:proofErr w:type="gramStart"/>
      <w:r w:rsidRPr="00F933AF">
        <w:rPr>
          <w:rFonts w:cs="Calibri"/>
          <w:sz w:val="16"/>
        </w:rPr>
        <w:t>n254</w:t>
      </w:r>
      <w:proofErr w:type="gramEnd"/>
      <w:r w:rsidRPr="00F933AF">
        <w:rPr>
          <w:rFonts w:cs="Calibri"/>
          <w:sz w:val="16"/>
        </w:rPr>
        <w:t xml:space="preserve"> Unlike the mental disorder ground, the INA retains a separate ground of deportability for becoming a public charge. </w:t>
      </w:r>
      <w:proofErr w:type="gramStart"/>
      <w:r w:rsidRPr="00F933AF">
        <w:rPr>
          <w:rFonts w:cs="Calibri"/>
          <w:sz w:val="16"/>
        </w:rPr>
        <w:t>n255</w:t>
      </w:r>
      <w:proofErr w:type="gramEnd"/>
      <w:r w:rsidRPr="00F933AF">
        <w:rPr>
          <w:rFonts w:cs="Calibri"/>
          <w:sz w:val="16"/>
        </w:rPr>
        <w:t xml:space="preserve"> It continues the extended border control concept of the 1952 INA by stating that if an immigrant becomes a public charge within five years of entry, removal may occur. </w:t>
      </w:r>
      <w:proofErr w:type="gramStart"/>
      <w:r w:rsidRPr="00F933AF">
        <w:rPr>
          <w:rFonts w:cs="Calibri"/>
          <w:sz w:val="16"/>
        </w:rPr>
        <w:t>n256</w:t>
      </w:r>
      <w:proofErr w:type="gramEnd"/>
      <w:r w:rsidRPr="00F933AF">
        <w:rPr>
          <w:rFonts w:cs="Calibri"/>
          <w:sz w:val="16"/>
        </w:rPr>
        <w:t xml:space="preserve"> However, the current provision still has the same limitation as the 1952 version, n257 because it provides that an immigrant who can affirmatively show that the conditions causing him or her to become a public charge arose after entry, can avoid deportation. </w:t>
      </w:r>
      <w:proofErr w:type="gramStart"/>
      <w:r w:rsidRPr="00F933AF">
        <w:rPr>
          <w:rFonts w:cs="Calibri"/>
          <w:sz w:val="16"/>
        </w:rPr>
        <w:t>n258</w:t>
      </w:r>
      <w:proofErr w:type="gramEnd"/>
      <w:r w:rsidRPr="00F933AF">
        <w:rPr>
          <w:rFonts w:cs="Calibri"/>
          <w:sz w:val="16"/>
        </w:rPr>
        <w:t xml:space="preserve"> As with the mental disorder ground, it is infrequently invoked today as a reason for deportation. </w:t>
      </w:r>
      <w:proofErr w:type="gramStart"/>
      <w:r w:rsidRPr="00F933AF">
        <w:rPr>
          <w:rFonts w:cs="Calibri"/>
          <w:sz w:val="16"/>
        </w:rPr>
        <w:t>n259</w:t>
      </w:r>
      <w:proofErr w:type="gramEnd"/>
      <w:r w:rsidRPr="00F933AF">
        <w:rPr>
          <w:rFonts w:cs="Calibri"/>
          <w:sz w:val="16"/>
        </w:rPr>
        <w:t xml:space="preserve"> The great decline in its use as a ground of deportation happened in the 1940s. </w:t>
      </w:r>
      <w:proofErr w:type="gramStart"/>
      <w:r w:rsidRPr="00F933AF">
        <w:rPr>
          <w:rFonts w:cs="Calibri"/>
          <w:sz w:val="16"/>
        </w:rPr>
        <w:t>n260</w:t>
      </w:r>
      <w:proofErr w:type="gramEnd"/>
      <w:r w:rsidRPr="00F933AF">
        <w:rPr>
          <w:rFonts w:cs="Calibri"/>
          <w:sz w:val="16"/>
        </w:rPr>
        <w:t xml:space="preserve"> Therefore, </w:t>
      </w:r>
      <w:r w:rsidRPr="00F933AF">
        <w:rPr>
          <w:rStyle w:val="StyleUnderline"/>
          <w:rFonts w:cs="Calibri"/>
        </w:rPr>
        <w:t xml:space="preserve">it </w:t>
      </w:r>
      <w:r w:rsidRPr="00F933AF">
        <w:rPr>
          <w:rStyle w:val="Emphasis"/>
          <w:rFonts w:cs="Calibri"/>
        </w:rPr>
        <w:t>appears</w:t>
      </w:r>
      <w:r w:rsidRPr="00F933AF">
        <w:rPr>
          <w:rStyle w:val="StyleUnderline"/>
          <w:rFonts w:cs="Calibri"/>
        </w:rPr>
        <w:t xml:space="preserve"> the grounds historically used to rid the nation of immigrants with mental illness are rarely used today. This does </w:t>
      </w:r>
      <w:r w:rsidRPr="00F933AF">
        <w:rPr>
          <w:rStyle w:val="Emphasis"/>
          <w:rFonts w:cs="Calibri"/>
        </w:rPr>
        <w:t xml:space="preserve">not </w:t>
      </w:r>
      <w:r w:rsidRPr="00F933AF">
        <w:rPr>
          <w:rStyle w:val="StyleUnderline"/>
          <w:rFonts w:cs="Calibri"/>
        </w:rPr>
        <w:t xml:space="preserve">lead to the conclusion that we are more </w:t>
      </w:r>
      <w:r w:rsidRPr="00F933AF">
        <w:rPr>
          <w:rStyle w:val="Emphasis"/>
          <w:rFonts w:cs="Calibri"/>
        </w:rPr>
        <w:t>permissive</w:t>
      </w:r>
      <w:r w:rsidRPr="00F933AF">
        <w:rPr>
          <w:rStyle w:val="StyleUnderline"/>
          <w:rFonts w:cs="Calibri"/>
        </w:rPr>
        <w:t xml:space="preserve"> toward immigrants with mental health issues</w:t>
      </w:r>
      <w:r w:rsidRPr="00F933AF">
        <w:rPr>
          <w:rFonts w:cs="Calibri"/>
          <w:sz w:val="16"/>
        </w:rPr>
        <w:t>. Rather, it is the theory of this article that these grounds have been to a significant [*107] extent replaced by removal grounds related to drug use and criminal behavior.</w:t>
      </w:r>
    </w:p>
    <w:p w:rsidR="00125A1B" w:rsidRPr="00F933AF" w:rsidRDefault="00125A1B" w:rsidP="00125A1B">
      <w:pPr>
        <w:pStyle w:val="Heading4"/>
        <w:rPr>
          <w:rFonts w:cs="Calibri"/>
        </w:rPr>
      </w:pPr>
      <w:r w:rsidRPr="00F933AF">
        <w:rPr>
          <w:rFonts w:cs="Calibri"/>
        </w:rPr>
        <w:t>New policy invites government corruption, overt racism, inequality and denial of health care</w:t>
      </w:r>
    </w:p>
    <w:p w:rsidR="00125A1B" w:rsidRPr="00F933AF" w:rsidRDefault="00125A1B" w:rsidP="00125A1B">
      <w:pPr>
        <w:rPr>
          <w:rFonts w:cs="Calibri"/>
        </w:rPr>
      </w:pPr>
      <w:r w:rsidRPr="00F933AF">
        <w:rPr>
          <w:rStyle w:val="Style13ptBold"/>
          <w:rFonts w:cs="Calibri"/>
        </w:rPr>
        <w:t>Gonzalez and Stahl 18</w:t>
      </w:r>
      <w:r w:rsidRPr="00F933AF">
        <w:rPr>
          <w:rFonts w:cs="Calibri"/>
        </w:rPr>
        <w:t xml:space="preserve"> (</w:t>
      </w:r>
      <w:hyperlink r:id="rId148" w:history="1">
        <w:r w:rsidRPr="00F933AF">
          <w:rPr>
            <w:rStyle w:val="Hyperlink"/>
            <w:rFonts w:cs="Calibri"/>
          </w:rPr>
          <w:t>Alberto Gonzalez</w:t>
        </w:r>
      </w:hyperlink>
      <w:r w:rsidRPr="00F933AF">
        <w:rPr>
          <w:rFonts w:cs="Calibri"/>
        </w:rPr>
        <w:t xml:space="preserve">, master’s degree in Public Policy from Harvard, Senior State Advocacy Manager for the State Consumer Health Advocacy Program at Community Catalyst, former Statewide Policy Advocate for the California Immigrant Policy Center, </w:t>
      </w:r>
      <w:hyperlink r:id="rId149" w:history="1">
        <w:r w:rsidRPr="00F933AF">
          <w:rPr>
            <w:rStyle w:val="Hyperlink"/>
            <w:rFonts w:cs="Calibri"/>
          </w:rPr>
          <w:t>Eva Marie Stahl</w:t>
        </w:r>
      </w:hyperlink>
      <w:r w:rsidRPr="00F933AF">
        <w:rPr>
          <w:rFonts w:cs="Calibri"/>
        </w:rPr>
        <w:t>, Ph.D. in social policy from Brandeis University, Director of Community Catalyst’s Children's Health Initiative, partner with New England Alliance for Children’s Health, former employee for Institute of Medicine and for the Agency for Health Care Research and Quality, 2/9/18, “‘Public Charge’ Would Create a Public Health Crisis for Immigrant Families”, Health Policy Hub, https://www.communitycatalyst.org/blog/public-charge-would-create-a-public-health-crisis-for-immigrant-families#.W0EmFNL0lPY)/CWB</w:t>
      </w:r>
    </w:p>
    <w:p w:rsidR="00125A1B" w:rsidRPr="00F933AF" w:rsidRDefault="00125A1B" w:rsidP="00125A1B">
      <w:pPr>
        <w:rPr>
          <w:rStyle w:val="Emphasis"/>
          <w:rFonts w:cs="Calibri"/>
        </w:rPr>
      </w:pPr>
      <w:r w:rsidRPr="00F933AF">
        <w:rPr>
          <w:rStyle w:val="Emphasis"/>
          <w:rFonts w:cs="Calibri"/>
        </w:rPr>
        <w:t xml:space="preserve">“Public Charge” Would Create a Public Health Crisis for Immigrant Families </w:t>
      </w:r>
      <w:r w:rsidRPr="00F933AF">
        <w:rPr>
          <w:rFonts w:cs="Calibri"/>
          <w:sz w:val="16"/>
        </w:rPr>
        <w:t xml:space="preserve">Yesterday, Vox published a leaked version of a </w:t>
      </w:r>
      <w:hyperlink r:id="rId150" w:tgtFrame="new" w:history="1">
        <w:r w:rsidRPr="00F933AF">
          <w:rPr>
            <w:rStyle w:val="StyleUnderline"/>
            <w:rFonts w:cs="Calibri"/>
          </w:rPr>
          <w:t>new regulation</w:t>
        </w:r>
      </w:hyperlink>
      <w:r w:rsidRPr="00F933AF">
        <w:rPr>
          <w:rStyle w:val="StyleUnderline"/>
          <w:rFonts w:cs="Calibri"/>
        </w:rPr>
        <w:t xml:space="preserve"> </w:t>
      </w:r>
      <w:r w:rsidRPr="00F933AF">
        <w:rPr>
          <w:rFonts w:cs="Calibri"/>
          <w:sz w:val="16"/>
        </w:rPr>
        <w:t xml:space="preserve">that </w:t>
      </w:r>
      <w:r w:rsidRPr="00F933AF">
        <w:rPr>
          <w:rStyle w:val="StyleUnderline"/>
          <w:rFonts w:cs="Calibri"/>
        </w:rPr>
        <w:t xml:space="preserve">seeks to limit legal immigrants’ access to public benefits. In sum, the rule would empower immigration officials to deny immigrants’ applications for certain visas or green cards if they are considered likely to utilize available social services. The regulation </w:t>
      </w:r>
      <w:r w:rsidRPr="00F933AF">
        <w:rPr>
          <w:rStyle w:val="Emphasis"/>
          <w:rFonts w:cs="Calibri"/>
        </w:rPr>
        <w:t>essentially gives immigration officials a structural racism roadmap</w:t>
      </w:r>
      <w:r w:rsidRPr="00F933AF">
        <w:rPr>
          <w:rStyle w:val="StyleUnderline"/>
          <w:rFonts w:cs="Calibri"/>
        </w:rPr>
        <w:t>, labeling immigrants as a “public charge” if they or their dependents (often their U.S.-born children) utilize needed benefits</w:t>
      </w:r>
      <w:r w:rsidRPr="00F933AF">
        <w:rPr>
          <w:rFonts w:cs="Calibri"/>
          <w:sz w:val="16"/>
        </w:rPr>
        <w:t xml:space="preserve">. </w:t>
      </w:r>
      <w:r w:rsidRPr="00F933AF">
        <w:rPr>
          <w:rStyle w:val="StyleUnderline"/>
          <w:rFonts w:cs="Calibri"/>
        </w:rPr>
        <w:t xml:space="preserve">The most likely effect of the revised rule is that it will </w:t>
      </w:r>
      <w:r w:rsidRPr="00F933AF">
        <w:rPr>
          <w:rStyle w:val="Emphasis"/>
          <w:rFonts w:cs="Calibri"/>
        </w:rPr>
        <w:t xml:space="preserve">scare immigrants away from using benefits they are legally eligible for, and undermine the ability of immigrant families to protect the health and well-being of themselves and their children. </w:t>
      </w:r>
      <w:r w:rsidRPr="00F933AF">
        <w:rPr>
          <w:rFonts w:cs="Calibri"/>
          <w:sz w:val="16"/>
        </w:rPr>
        <w:t xml:space="preserve">So what is considered a public benefit? According to the Trump administration’s draft rule, the list of what is considered a “public benefit” is far-reaching and includes: Cash benefits such as Temporary Assistance for Needy Families (TANF) Head Start’s educational and developmental supports Children’s Health Insurance Program (CHIP) coverage Financial help to purchase health coverage on the marketplace Supplemental Nutrition Assistance Program (SNAP) assistance Women, Infants, and Children (WIC) assistance to ensure healthy pregnancies and breastfeeding Some housing support and low-income supports for home heating Transportation vouchers or support If a person uses any of the aforementioned services to access food, housing, health care or transportation to keep their families secure and healthy, they could be denied a new visa or green card. The new rule does exempt refugees and people seeking asylum from the public charge test. </w:t>
      </w:r>
      <w:r w:rsidRPr="00F933AF">
        <w:rPr>
          <w:rStyle w:val="StyleUnderline"/>
          <w:rFonts w:cs="Calibri"/>
        </w:rPr>
        <w:t xml:space="preserve">Immigrants have </w:t>
      </w:r>
      <w:r w:rsidRPr="00F933AF">
        <w:rPr>
          <w:rStyle w:val="Emphasis"/>
          <w:rFonts w:cs="Calibri"/>
        </w:rPr>
        <w:t>limited options</w:t>
      </w:r>
      <w:r w:rsidRPr="00F933AF">
        <w:rPr>
          <w:rStyle w:val="StyleUnderline"/>
          <w:rFonts w:cs="Calibri"/>
        </w:rPr>
        <w:t xml:space="preserve"> in avoiding the public charge designation</w:t>
      </w:r>
      <w:r w:rsidRPr="00F933AF">
        <w:rPr>
          <w:rFonts w:cs="Calibri"/>
          <w:sz w:val="16"/>
        </w:rPr>
        <w:t xml:space="preserve">. For example, they can ask another individual to sign an “affidavit of support,” where the signee promises to support them if they fall below 125 percent of the federal poverty level. However, officials can dismiss the affidavit at their discretion. A second </w:t>
      </w:r>
      <w:r w:rsidRPr="00F933AF">
        <w:rPr>
          <w:rStyle w:val="StyleUnderline"/>
          <w:rFonts w:cs="Calibri"/>
        </w:rPr>
        <w:t>option for immigrants is to pay the government a $10,000 bond in exchange for removal of their public charge designation.</w:t>
      </w:r>
      <w:r w:rsidRPr="00F933AF">
        <w:rPr>
          <w:rFonts w:cs="Calibri"/>
          <w:sz w:val="16"/>
        </w:rPr>
        <w:t xml:space="preserve"> </w:t>
      </w:r>
      <w:r w:rsidRPr="00F933AF">
        <w:rPr>
          <w:rStyle w:val="StyleUnderline"/>
          <w:rFonts w:cs="Calibri"/>
        </w:rPr>
        <w:t>The D</w:t>
      </w:r>
      <w:r w:rsidRPr="00F933AF">
        <w:rPr>
          <w:rFonts w:cs="Calibri"/>
          <w:sz w:val="16"/>
        </w:rPr>
        <w:t xml:space="preserve">epartment of </w:t>
      </w:r>
      <w:r w:rsidRPr="00F933AF">
        <w:rPr>
          <w:rStyle w:val="StyleUnderline"/>
          <w:rFonts w:cs="Calibri"/>
        </w:rPr>
        <w:t>H</w:t>
      </w:r>
      <w:r w:rsidRPr="00F933AF">
        <w:rPr>
          <w:rFonts w:cs="Calibri"/>
          <w:sz w:val="16"/>
        </w:rPr>
        <w:t xml:space="preserve">omeland </w:t>
      </w:r>
      <w:r w:rsidRPr="00F933AF">
        <w:rPr>
          <w:rStyle w:val="StyleUnderline"/>
          <w:rFonts w:cs="Calibri"/>
        </w:rPr>
        <w:t>S</w:t>
      </w:r>
      <w:r w:rsidRPr="00F933AF">
        <w:rPr>
          <w:rFonts w:cs="Calibri"/>
          <w:sz w:val="16"/>
        </w:rPr>
        <w:t xml:space="preserve">ecurity </w:t>
      </w:r>
      <w:r w:rsidRPr="00F933AF">
        <w:rPr>
          <w:rStyle w:val="StyleUnderline"/>
          <w:rFonts w:cs="Calibri"/>
        </w:rPr>
        <w:t xml:space="preserve">would have </w:t>
      </w:r>
      <w:r w:rsidRPr="00F933AF">
        <w:rPr>
          <w:rStyle w:val="Emphasis"/>
          <w:rFonts w:cs="Calibri"/>
        </w:rPr>
        <w:t>discretion</w:t>
      </w:r>
      <w:r w:rsidRPr="00F933AF">
        <w:rPr>
          <w:rFonts w:cs="Calibri"/>
          <w:sz w:val="16"/>
        </w:rPr>
        <w:t xml:space="preserve"> in accepting the bond and if the individual uses any public benefits over the next five years, they forfeit the $10,000 bond to the government. </w:t>
      </w:r>
      <w:r w:rsidRPr="00F933AF">
        <w:rPr>
          <w:rStyle w:val="Emphasis"/>
          <w:rFonts w:cs="Calibri"/>
        </w:rPr>
        <w:t>This policy invites corruption and discrimination</w:t>
      </w:r>
      <w:r w:rsidRPr="00F933AF">
        <w:rPr>
          <w:rFonts w:cs="Calibri"/>
          <w:sz w:val="16"/>
        </w:rPr>
        <w:t xml:space="preserve">. Why does the public charge test matter? The Trump administration’s </w:t>
      </w:r>
      <w:r w:rsidRPr="00F933AF">
        <w:rPr>
          <w:rStyle w:val="StyleUnderline"/>
          <w:rFonts w:cs="Calibri"/>
        </w:rPr>
        <w:t>view</w:t>
      </w:r>
      <w:r w:rsidRPr="00F933AF">
        <w:rPr>
          <w:rFonts w:cs="Calibri"/>
          <w:sz w:val="16"/>
        </w:rPr>
        <w:t xml:space="preserve"> on immigration </w:t>
      </w:r>
      <w:r w:rsidRPr="00F933AF">
        <w:rPr>
          <w:rStyle w:val="StyleUnderline"/>
          <w:rFonts w:cs="Calibri"/>
        </w:rPr>
        <w:t xml:space="preserve">is quite clear throughout the leaked document: immigrants are not welcome in this country. The willingness to </w:t>
      </w:r>
      <w:r w:rsidRPr="00F933AF">
        <w:rPr>
          <w:rStyle w:val="Emphasis"/>
          <w:rFonts w:cs="Calibri"/>
        </w:rPr>
        <w:t>jeopardize the health and well-being of families and young children</w:t>
      </w:r>
      <w:r w:rsidRPr="00F933AF">
        <w:rPr>
          <w:rStyle w:val="StyleUnderline"/>
          <w:rFonts w:cs="Calibri"/>
        </w:rPr>
        <w:t xml:space="preserve"> in an effort to set up extensive rules that would </w:t>
      </w:r>
      <w:r w:rsidRPr="00F933AF">
        <w:rPr>
          <w:rStyle w:val="Emphasis"/>
          <w:rFonts w:cs="Calibri"/>
        </w:rPr>
        <w:t>codify racism</w:t>
      </w:r>
      <w:r w:rsidRPr="00F933AF">
        <w:rPr>
          <w:rStyle w:val="StyleUnderline"/>
          <w:rFonts w:cs="Calibri"/>
        </w:rPr>
        <w:t xml:space="preserve"> and deny many individuals needed supports is </w:t>
      </w:r>
      <w:r w:rsidRPr="00F933AF">
        <w:rPr>
          <w:rStyle w:val="Emphasis"/>
          <w:rFonts w:cs="Calibri"/>
        </w:rPr>
        <w:t>unconscionable.</w:t>
      </w:r>
      <w:r w:rsidRPr="00F933AF">
        <w:rPr>
          <w:rFonts w:cs="Calibri"/>
          <w:sz w:val="16"/>
        </w:rPr>
        <w:t xml:space="preserve"> Speaker Ryan naming Trump’s support as a condition for a Dreamer solution calls into question his own commitment to protect Dreamers and to anti-immigration policies more broadly. </w:t>
      </w:r>
      <w:r w:rsidRPr="00F933AF">
        <w:rPr>
          <w:rStyle w:val="StyleUnderline"/>
          <w:rFonts w:cs="Calibri"/>
        </w:rPr>
        <w:t xml:space="preserve">Finally, in addition to the specific anti-immigrant content of this proposal, we have to note that the public charge test is part of a larger Trump administration effort to </w:t>
      </w:r>
      <w:r w:rsidRPr="00F933AF">
        <w:rPr>
          <w:rStyle w:val="Emphasis"/>
          <w:rFonts w:cs="Calibri"/>
        </w:rPr>
        <w:t xml:space="preserve">stigmatize and limit access to benefits for low- </w:t>
      </w:r>
      <w:r w:rsidRPr="00F933AF">
        <w:rPr>
          <w:rStyle w:val="StyleUnderline"/>
          <w:rFonts w:cs="Calibri"/>
        </w:rPr>
        <w:t>and moderate-</w:t>
      </w:r>
      <w:r w:rsidRPr="00F933AF">
        <w:rPr>
          <w:rStyle w:val="Emphasis"/>
          <w:rFonts w:cs="Calibri"/>
        </w:rPr>
        <w:t>income people</w:t>
      </w:r>
      <w:r w:rsidRPr="00F933AF">
        <w:rPr>
          <w:rStyle w:val="StyleUnderline"/>
          <w:rFonts w:cs="Calibri"/>
        </w:rPr>
        <w:t>. This administration is taking aggressive action to accelerate systemic barriers to Medicaid coverage through “work requirements” and other tests that aim to reduce the use of public benefits and services. They are messaging these tests as extending dignity to underserved individuals but in reality they are simply a judgment portfolio, denying those who are struggling day-to-day to meet their health and wellness needs as unworthy.</w:t>
      </w:r>
      <w:r w:rsidRPr="00F933AF">
        <w:rPr>
          <w:rFonts w:cs="Calibri"/>
          <w:sz w:val="16"/>
        </w:rPr>
        <w:t xml:space="preserve"> We are better than this. </w:t>
      </w:r>
      <w:r w:rsidRPr="00F933AF">
        <w:rPr>
          <w:rStyle w:val="StyleUnderline"/>
          <w:rFonts w:cs="Calibri"/>
        </w:rPr>
        <w:t xml:space="preserve">The Trump administration’s leaked plans would inflict acute pain on women and children of immigrants and would create a </w:t>
      </w:r>
      <w:hyperlink r:id="rId151" w:anchor=".Wn3AZ66nH3h" w:history="1">
        <w:r w:rsidRPr="00F933AF">
          <w:rPr>
            <w:rStyle w:val="StyleUnderline"/>
            <w:rFonts w:cs="Calibri"/>
          </w:rPr>
          <w:t>chilling effect</w:t>
        </w:r>
      </w:hyperlink>
      <w:r w:rsidRPr="00F933AF">
        <w:rPr>
          <w:rStyle w:val="StyleUnderline"/>
          <w:rFonts w:cs="Calibri"/>
        </w:rPr>
        <w:t xml:space="preserve"> — deterring people from seeking medical care when they need it most. Consumer health and social justice advocates can play an active role in protecting immigrant families who are being targeted by the White House and Congress. </w:t>
      </w:r>
      <w:r w:rsidRPr="00F933AF">
        <w:rPr>
          <w:rFonts w:cs="Calibri"/>
          <w:sz w:val="16"/>
        </w:rPr>
        <w:t xml:space="preserve">By exploring ways to collaborate with local groups supporting immigrant families and elevating how devastating this rule change would be for your constituencies, your organization can help complement ongoing efforts led by immigrant rights groups. Community Catalyst has worked closely with national partners leading the fight to </w:t>
      </w:r>
      <w:hyperlink r:id="rId152" w:history="1">
        <w:r w:rsidRPr="00F933AF">
          <w:rPr>
            <w:rStyle w:val="Hyperlink"/>
            <w:rFonts w:cs="Calibri"/>
            <w:sz w:val="16"/>
          </w:rPr>
          <w:t>protect immigrant families</w:t>
        </w:r>
      </w:hyperlink>
      <w:r w:rsidRPr="00F933AF">
        <w:rPr>
          <w:rFonts w:cs="Calibri"/>
          <w:sz w:val="16"/>
        </w:rPr>
        <w:t xml:space="preserve">. We recognize that it is important to educate and inform our partners, stakeholders and community leaders about the important </w:t>
      </w:r>
      <w:hyperlink r:id="rId153" w:tgtFrame="new" w:history="1">
        <w:r w:rsidRPr="00F933AF">
          <w:rPr>
            <w:rStyle w:val="Hyperlink"/>
            <w:rFonts w:cs="Calibri"/>
            <w:sz w:val="16"/>
          </w:rPr>
          <w:t>contributions</w:t>
        </w:r>
      </w:hyperlink>
      <w:r w:rsidRPr="00F933AF">
        <w:rPr>
          <w:rFonts w:cs="Calibri"/>
          <w:sz w:val="16"/>
        </w:rPr>
        <w:t xml:space="preserve"> immigrants make, and how </w:t>
      </w:r>
      <w:r w:rsidRPr="00F933AF">
        <w:rPr>
          <w:rStyle w:val="StyleUnderline"/>
          <w:rFonts w:cs="Calibri"/>
        </w:rPr>
        <w:t xml:space="preserve">the actions of this administration and its allies in Congress are </w:t>
      </w:r>
      <w:r w:rsidRPr="00F933AF">
        <w:rPr>
          <w:rStyle w:val="Emphasis"/>
          <w:rFonts w:cs="Calibri"/>
        </w:rPr>
        <w:t>not only bad for immigrant families, but for the country as a whole.</w:t>
      </w:r>
    </w:p>
    <w:p w:rsidR="00904C4C" w:rsidRPr="00F933AF" w:rsidRDefault="00904C4C" w:rsidP="00904C4C">
      <w:pPr>
        <w:pStyle w:val="Heading4"/>
        <w:rPr>
          <w:rFonts w:cs="Calibri"/>
        </w:rPr>
      </w:pPr>
      <w:r w:rsidRPr="00F933AF">
        <w:rPr>
          <w:rFonts w:cs="Calibri"/>
        </w:rPr>
        <w:t>Trump’s proposal will dissuade immigrant from using public health care – risks health problems, and loss of economic self-sufficiency</w:t>
      </w:r>
    </w:p>
    <w:p w:rsidR="00904C4C" w:rsidRPr="00F933AF" w:rsidRDefault="00904C4C" w:rsidP="00904C4C">
      <w:pPr>
        <w:rPr>
          <w:rFonts w:cs="Calibri"/>
        </w:rPr>
      </w:pPr>
      <w:r w:rsidRPr="00904C4C">
        <w:rPr>
          <w:rFonts w:cs="Calibri"/>
          <w:b/>
        </w:rPr>
        <w:t>Jewett, Bailey, and Andalo18</w:t>
      </w:r>
      <w:r w:rsidRPr="00F933AF">
        <w:rPr>
          <w:rFonts w:cs="Calibri"/>
        </w:rPr>
        <w:t xml:space="preserve"> (Christina Jewett and MELISSA BAILEY PAULA ANDALO, Kaiser Health News is a nonprofit news service that is an editorially independent program of the Kaiser Family Foundation and not affiliated with Kaiser Permanente, "Under A Trump Proposal, Lawful Immigrants Might Shun Medical Care," [NPR.org], 5-10-2018, accessed: 7-11-2018, https://www.npr.org/sections/health-shots/2018/05/10/609758169/under-a-trump-proposal-lawful-immigrants-might-shun-medical-care)//DCai</w:t>
      </w:r>
    </w:p>
    <w:p w:rsidR="00904C4C" w:rsidRDefault="00904C4C" w:rsidP="00904C4C">
      <w:pPr>
        <w:rPr>
          <w:rFonts w:cs="Calibri"/>
          <w:sz w:val="16"/>
        </w:rPr>
      </w:pPr>
      <w:r w:rsidRPr="00F933AF">
        <w:rPr>
          <w:rStyle w:val="StyleUnderline"/>
          <w:rFonts w:cs="Calibri"/>
        </w:rPr>
        <w:t xml:space="preserve">The Trump administration is considering a policy change that might discourage immigrants who are seeking permanent residency from using government-supported health care, a scenario that is alarming some doctors, hospitals and patient advocates. </w:t>
      </w:r>
      <w:r w:rsidRPr="00F933AF">
        <w:rPr>
          <w:rFonts w:cs="Calibri"/>
          <w:sz w:val="16"/>
        </w:rPr>
        <w:t xml:space="preserve">Under the proposed plan, </w:t>
      </w:r>
      <w:r w:rsidRPr="00F933AF">
        <w:rPr>
          <w:rStyle w:val="StyleUnderline"/>
          <w:rFonts w:cs="Calibri"/>
        </w:rPr>
        <w:t>a lawful immigrant holding a visa could be passed over for getting permanent residency — getting a green card — if they use Medicaid, a subsidized Obamacare plan, food stamps, tax credits or a list of other non-cash government benefits</w:t>
      </w:r>
      <w:r w:rsidRPr="00F933AF">
        <w:rPr>
          <w:rFonts w:cs="Calibri"/>
          <w:sz w:val="16"/>
        </w:rPr>
        <w:t xml:space="preserve">, according to a draft of the plan published by The Washington Post. </w:t>
      </w:r>
      <w:r w:rsidRPr="00F933AF">
        <w:rPr>
          <w:rStyle w:val="StyleUnderline"/>
          <w:rFonts w:cs="Calibri"/>
        </w:rPr>
        <w:t xml:space="preserve">Even letting a child who is a U.S. citizen use such benefits could jeopardize a parent's chances of attaining lawful residency, according to the measure. </w:t>
      </w:r>
      <w:r w:rsidRPr="00F933AF">
        <w:rPr>
          <w:rFonts w:cs="Calibri"/>
          <w:sz w:val="16"/>
        </w:rPr>
        <w:t xml:space="preserve">Health advocates say </w:t>
      </w:r>
      <w:r w:rsidRPr="00F933AF">
        <w:rPr>
          <w:rStyle w:val="StyleUnderline"/>
          <w:rFonts w:cs="Calibri"/>
        </w:rPr>
        <w:t xml:space="preserve">such a policy could frighten a far broader group of immigrants into avoiding government-supported health coverage, </w:t>
      </w:r>
      <w:r w:rsidRPr="00F933AF">
        <w:rPr>
          <w:rStyle w:val="Emphasis"/>
          <w:rFonts w:cs="Calibri"/>
        </w:rPr>
        <w:t xml:space="preserve">creating public health problems that could be dire in the long run — for those patients and for U.S. hospitals. </w:t>
      </w:r>
      <w:r w:rsidRPr="00F933AF">
        <w:rPr>
          <w:rFonts w:cs="Calibri"/>
          <w:sz w:val="16"/>
        </w:rPr>
        <w:t>About 3 million people received green cards from 2014 through 2016, government records show. Immigrants in the U.S. on a visa or those who have no legal status but plan to seek citizenship based on a close family relationship would be affected. "</w:t>
      </w:r>
      <w:r w:rsidRPr="00F933AF">
        <w:rPr>
          <w:rStyle w:val="StyleUnderline"/>
          <w:rFonts w:cs="Calibri"/>
        </w:rPr>
        <w:t>We are very concerned that this rule, if finalized, would have a significant impact on health in this country</w:t>
      </w:r>
      <w:r w:rsidRPr="00F933AF">
        <w:rPr>
          <w:rFonts w:cs="Calibri"/>
          <w:sz w:val="16"/>
        </w:rPr>
        <w:t xml:space="preserve">," says Erin O'Malley, senior director of policy for America's Essential Hospitals, who discussed the plan with Trump administration officials in mid-April. O'Malley says she fears that some visa holders and their families would steer clear of getting routine treatment and resort to going to emergency rooms for medical care. </w:t>
      </w:r>
      <w:r w:rsidRPr="00F933AF">
        <w:rPr>
          <w:rStyle w:val="Emphasis"/>
          <w:rFonts w:cs="Calibri"/>
        </w:rPr>
        <w:t>Such a change would "undermine the stability of our hospitals by creating uncompensated care costs and creating sicker patients</w:t>
      </w:r>
      <w:r w:rsidRPr="00F933AF">
        <w:rPr>
          <w:rFonts w:cs="Calibri"/>
          <w:sz w:val="16"/>
        </w:rPr>
        <w:t xml:space="preserve">," O'Malley says. If enacted, the rule could force a mother to weigh the need for hospital inpatient care for an ailing newborn against losing her legal immigration status, says Wendy Parmet, director of the Center for Health Policy and Law at Northeastern University. "The administration, in the draft, talks about self-sufficiency," she says. "But we don't expect that of [babies]" who are U.S. citizens because they were born in this country. "It's extremely hardhearted." Pushback has already begun against the leaked draft proposal, even though it is in the earliest stages of the rulemaking process. Washington </w:t>
      </w:r>
      <w:proofErr w:type="gramStart"/>
      <w:r w:rsidRPr="00F933AF">
        <w:rPr>
          <w:rFonts w:cs="Calibri"/>
          <w:sz w:val="16"/>
        </w:rPr>
        <w:t>state's</w:t>
      </w:r>
      <w:proofErr w:type="gramEnd"/>
      <w:r w:rsidRPr="00F933AF">
        <w:rPr>
          <w:rFonts w:cs="Calibri"/>
          <w:sz w:val="16"/>
        </w:rPr>
        <w:t xml:space="preserve"> Gov. Jay Inslee, a Democrat, is sending staff in mid-May to meet with the White House Office of Management and Budget, which is vetting the proposed rule. Inslee sent a letter on April 24 urging OMB Director Mick Mulvaney to consider the impact on tax-paying, lawful immigrants. "</w:t>
      </w:r>
      <w:r w:rsidRPr="00F933AF">
        <w:rPr>
          <w:rStyle w:val="Emphasis"/>
          <w:rFonts w:cs="Calibri"/>
        </w:rPr>
        <w:t>This will undoubtedly lead to people across the U.S. going hungry, not accessing needed medical care, losing economic self-sufficiency, and even becoming homeless</w:t>
      </w:r>
      <w:r w:rsidRPr="00F933AF">
        <w:rPr>
          <w:rFonts w:cs="Calibri"/>
          <w:sz w:val="16"/>
        </w:rPr>
        <w:t xml:space="preserve">," Inslee's letter says. </w:t>
      </w:r>
      <w:r w:rsidRPr="00F933AF">
        <w:rPr>
          <w:rStyle w:val="StyleUnderline"/>
          <w:rFonts w:cs="Calibri"/>
        </w:rPr>
        <w:t xml:space="preserve">The leaked draft document said immigration officials would count the use of one or more non-cash benefits by the applicant within three years as a "heavily weighed negative factor" in deciding whether to grant permanent residency. </w:t>
      </w:r>
      <w:r w:rsidRPr="00F933AF">
        <w:rPr>
          <w:rFonts w:cs="Calibri"/>
          <w:sz w:val="16"/>
        </w:rPr>
        <w:t xml:space="preserve">On March 29, the Department of Homeland Security sent a version of the proposal to OMB, which is reviewing it for conflicts with existing law. Next, it will be published as a proposed rule that the public can comment on before it's finalized. Marilu Cabrera, public affairs officer with the U.S. Citizenship and Immigration Services, declined to comment on whether the draft published by the Post mirrors what the OMB is reviewing. </w:t>
      </w:r>
      <w:r w:rsidRPr="00F933AF">
        <w:rPr>
          <w:rStyle w:val="Emphasis"/>
          <w:rFonts w:cs="Calibri"/>
        </w:rPr>
        <w:t xml:space="preserve">Fear in immigrant communities already weighs on physicians. </w:t>
      </w:r>
      <w:r w:rsidRPr="00F933AF">
        <w:rPr>
          <w:rFonts w:cs="Calibri"/>
          <w:sz w:val="16"/>
        </w:rPr>
        <w:t xml:space="preserve">Dr. Julie Linton, a spokeswoman for the American Academy of Pediatrics, treats many </w:t>
      </w:r>
      <w:r w:rsidRPr="00F933AF">
        <w:rPr>
          <w:rFonts w:cs="Calibri"/>
          <w:strike/>
          <w:sz w:val="16"/>
        </w:rPr>
        <w:t>Latino</w:t>
      </w:r>
      <w:r w:rsidRPr="00F933AF">
        <w:rPr>
          <w:rFonts w:cs="Calibri"/>
          <w:sz w:val="16"/>
        </w:rPr>
        <w:t xml:space="preserve"> [Latinx] immigrant families at an outpatient clinic in Winston-Salem, N.C. One woman from Mexico, who had a newborn baby and three other children, told Linton she was afraid to keep her family enrolled in the nutrition program for Women, Infants, and Children — commonly known as WIC. "Is it safe to use WIC?" the woman asked Linton. Linton said questions like that put pediatricians in a tough position. On the one hand, Linton says, evidence shows enrolling in WIC leads to better health outcomes for kids. But what if it also puts the family at risk of being split apart? "</w:t>
      </w:r>
      <w:r w:rsidRPr="00F933AF">
        <w:rPr>
          <w:rStyle w:val="StyleUnderline"/>
          <w:rFonts w:cs="Calibri"/>
        </w:rPr>
        <w:t>It feels very frightening to have a family in front of me, and have a child with so much potential ... and be uncertain how to advise them" on whether to accept public benefits</w:t>
      </w:r>
      <w:r w:rsidRPr="00F933AF">
        <w:rPr>
          <w:rFonts w:cs="Calibri"/>
          <w:sz w:val="16"/>
        </w:rPr>
        <w:t xml:space="preserve">, Linton says. Maria Gomez, president of Mary's Center, which runs health clinics in Washington, D.C., and Maryland, said she's seeing three to four people a week who are not applying for WIC and are canceling their appointments to re-enroll in Medicaid. </w:t>
      </w:r>
      <w:r w:rsidRPr="00F933AF">
        <w:rPr>
          <w:rStyle w:val="StyleUnderline"/>
          <w:rFonts w:cs="Calibri"/>
        </w:rPr>
        <w:t xml:space="preserve">The proposal homes in on who is considered a "public charge." The concept emerged in immigration law in 1882, when Congress sought to bar immigrants deemed "idiots, lunatics" or otherwise likely to become a burden on the government. </w:t>
      </w:r>
      <w:r w:rsidRPr="00F933AF">
        <w:rPr>
          <w:rFonts w:cs="Calibri"/>
          <w:sz w:val="16"/>
        </w:rPr>
        <w:t xml:space="preserve">The notion of a "public charge" last surfaced in 1999, when the immigration service clarified the concept. Then and now, an immigrant considered a "public charge" is inadmissible to the U.S. if the person is likely to rely on cash support from the government for income, or lives in a government-funded long-term institution. Yet the guideline published in 1999 clarified that legal residents were free to access non-cash benefits like Medicaid, food stamps and assistance for heating bills. "These benefits are often provided to low-income working families to sustain and improve their ability to remain self-sufficient," the guideline says. The leaked proposal draft would rewrite those rules. If enacted, </w:t>
      </w:r>
      <w:r w:rsidRPr="00F933AF">
        <w:rPr>
          <w:rStyle w:val="StyleUnderline"/>
          <w:rFonts w:cs="Calibri"/>
        </w:rPr>
        <w:t xml:space="preserve">Trump's proposal would label anyone who had recent or ongoing use of a non-cash government benefit in the previous 36 months a likely "public charge," and therefore inadmissible to the U.S. The use of such benefits by a spouse, dependent parent or child would also be taken into account. </w:t>
      </w:r>
      <w:r w:rsidRPr="00F933AF">
        <w:rPr>
          <w:rStyle w:val="Emphasis"/>
          <w:rFonts w:cs="Calibri"/>
        </w:rPr>
        <w:t>Applicants who have "expensive health conditions" such as cancer, heart disease or "mental disorders" and who have used a subsidized program would also get a heavily weighted negative mark on their application</w:t>
      </w:r>
      <w:r w:rsidRPr="00F933AF">
        <w:rPr>
          <w:rFonts w:cs="Calibri"/>
          <w:sz w:val="16"/>
        </w:rPr>
        <w:t xml:space="preserve">, the leaked proposal says. Forty-eight-year-old Marnobia Juarez battled cancer successfully and is hoping her husband's green card application is approved; she also dreams of one day getting her own. Juarez says she never wanted to apply for public benefits until she was diagnosed with breast cancer in 2014. Since then, she has been treated at no cost under a program run by the state of Maryland. "I'm alive thanks to this program," says Juarez, who is a community leader at CASA de Maryland, an immigrant advocacy group. "You don't play with life, and they are playing with life." The proposal says immigrants would have the option of posting a minimum $10,000 bond to help overcome a determination that they are likely to be a "public charge." </w:t>
      </w:r>
      <w:r w:rsidRPr="00F933AF">
        <w:rPr>
          <w:rStyle w:val="StyleUnderline"/>
          <w:rFonts w:cs="Calibri"/>
        </w:rPr>
        <w:t>The changes would affect people sponsored by a U.S. citizen family member, most employment-based immigrants, diversity visa immigrants and "certain non-immigrants</w:t>
      </w:r>
      <w:r w:rsidRPr="00F933AF">
        <w:rPr>
          <w:rFonts w:cs="Calibri"/>
          <w:sz w:val="16"/>
        </w:rPr>
        <w:t xml:space="preserve">," the leaked proposal says. In 2016, roughly 1.2 million people got their lawful permanent residence status, or a green card in the U.S. Of the total, 566,000 were immediate relatives or spouses of U.S. citizens and 238,000 more were family-sponsored, according to data from the Department of Homeland Security. </w:t>
      </w:r>
      <w:r w:rsidRPr="00F933AF">
        <w:rPr>
          <w:rStyle w:val="StyleUnderline"/>
          <w:rFonts w:cs="Calibri"/>
        </w:rPr>
        <w:t xml:space="preserve">The change would not affect some immigrants — such as refugees and people granted political asylum. Nor would it apply to undocumented immigrants. </w:t>
      </w:r>
      <w:r w:rsidRPr="00F933AF">
        <w:rPr>
          <w:rFonts w:cs="Calibri"/>
          <w:sz w:val="16"/>
        </w:rPr>
        <w:t>"</w:t>
      </w:r>
      <w:r w:rsidRPr="00F933AF">
        <w:rPr>
          <w:rStyle w:val="StyleUnderline"/>
          <w:rFonts w:cs="Calibri"/>
        </w:rPr>
        <w:t>We're talking about middle-class and working families</w:t>
      </w:r>
      <w:r w:rsidRPr="00F933AF">
        <w:rPr>
          <w:rFonts w:cs="Calibri"/>
          <w:sz w:val="16"/>
        </w:rPr>
        <w:t>," says Madison Hardee, a senior policy analyst and attorney with the Center for Law and Social Policy, which has organized a coalition to fight the proposal. "</w:t>
      </w:r>
      <w:r w:rsidRPr="00F933AF">
        <w:rPr>
          <w:rStyle w:val="StyleUnderline"/>
          <w:rFonts w:cs="Calibri"/>
        </w:rPr>
        <w:t>This could really put parents in an impossible situation — between seeking health assistance for their children and obtaining a permanent legal status in the U.S.,"</w:t>
      </w:r>
      <w:r w:rsidRPr="00F933AF">
        <w:rPr>
          <w:rFonts w:cs="Calibri"/>
          <w:sz w:val="16"/>
        </w:rPr>
        <w:t xml:space="preserve"> Hardee says. The list of benefits includes, among other programs, the Children's Health Insurance Program; non-emergency Medicaid; the Supplemental Nutrition Assistance Program, or food stamps; WIC and short-term institutionalization at government expense. The leaked proposal notes that foreign-born and native-born Americans use such programs at similar rates. The leaked proposal says it is meant to ensure that people seeking to "change their nonimmigrant status are self-sufficient." It notes "relevant congressional policy statements," including one that says "the availability of public benefits [should] not constitute an incentive for immigration to the United States."</w:t>
      </w:r>
    </w:p>
    <w:p w:rsidR="003F0AB2" w:rsidRPr="00F933AF" w:rsidRDefault="003F0AB2" w:rsidP="003F0AB2">
      <w:pPr>
        <w:pStyle w:val="Heading4"/>
        <w:rPr>
          <w:rFonts w:cs="Calibri"/>
        </w:rPr>
      </w:pPr>
      <w:r w:rsidRPr="00F933AF">
        <w:rPr>
          <w:rFonts w:cs="Calibri"/>
        </w:rPr>
        <w:t>Public charge restrictions undermine health for immigrant women and children and destroy education outcomes</w:t>
      </w:r>
    </w:p>
    <w:p w:rsidR="003F0AB2" w:rsidRPr="00F933AF" w:rsidRDefault="003F0AB2" w:rsidP="003F0AB2">
      <w:pPr>
        <w:rPr>
          <w:rFonts w:cs="Calibri"/>
        </w:rPr>
      </w:pPr>
      <w:r w:rsidRPr="00F933AF">
        <w:rPr>
          <w:rStyle w:val="Style13ptBold"/>
          <w:rFonts w:cs="Calibri"/>
        </w:rPr>
        <w:t>Parrott 18,</w:t>
      </w:r>
      <w:r w:rsidRPr="00F933AF">
        <w:rPr>
          <w:rFonts w:cs="Calibri"/>
        </w:rPr>
        <w:t xml:space="preserve">  (Sharon Parrott, Trump “Public Charge” Rule Would Prove Particularly Harsh for Pregnant Women and Children, 5-1-2018, Center on Budget and Policy Priorities, https://www.cbpp.org/research/poverty-and-inequality/trump-public-charge-rule-would-prove-particularly-harsh-for-pregnant)//AO</w:t>
      </w:r>
    </w:p>
    <w:p w:rsidR="003F0AB2" w:rsidRPr="009B5BE6" w:rsidRDefault="003F0AB2" w:rsidP="003F0AB2">
      <w:pPr>
        <w:rPr>
          <w:rFonts w:cs="Calibri"/>
          <w:u w:val="single"/>
        </w:rPr>
      </w:pPr>
      <w:r w:rsidRPr="00F933AF">
        <w:rPr>
          <w:rFonts w:cs="Calibri"/>
          <w:sz w:val="12"/>
        </w:rPr>
        <w:t xml:space="preserve">In an accompanying </w:t>
      </w:r>
      <w:proofErr w:type="gramStart"/>
      <w:r w:rsidRPr="00F933AF">
        <w:rPr>
          <w:rFonts w:cs="Calibri"/>
          <w:sz w:val="12"/>
        </w:rPr>
        <w:t>paper[</w:t>
      </w:r>
      <w:proofErr w:type="gramEnd"/>
      <w:r w:rsidRPr="00F933AF">
        <w:rPr>
          <w:rFonts w:cs="Calibri"/>
          <w:sz w:val="12"/>
        </w:rPr>
        <w:t xml:space="preserve">1], we explained that </w:t>
      </w:r>
      <w:r w:rsidRPr="00F933AF">
        <w:rPr>
          <w:rFonts w:cs="Calibri"/>
          <w:u w:val="single"/>
        </w:rPr>
        <w:t>the Trump Administration is planning[2] a radical change in policy that would jeopardize the immigration status of substantial numbers of immigrants lawfully in the United States</w:t>
      </w:r>
      <w:r w:rsidRPr="00F933AF">
        <w:rPr>
          <w:rFonts w:cs="Calibri"/>
          <w:sz w:val="12"/>
        </w:rPr>
        <w:t xml:space="preserve"> who work at low-wage jobs and whose families receive any of a sweeping array of benefits or tax credits — even though these immigrants are fully eligible to receive them. If implemented, the new policy would set new rules for who could stay in or come to the United States, and it would likely convince large numbers of immigrants in the country lawfully and their U.S. citizen family members to forgo benefits and tax credits for which they are eligible and that help their families make ends meet and access health care and nutrition assistance. </w:t>
      </w:r>
      <w:r w:rsidRPr="00F933AF">
        <w:rPr>
          <w:rFonts w:cs="Calibri"/>
          <w:u w:val="single"/>
        </w:rPr>
        <w:t xml:space="preserve">The new policy could affect a wide range of individuals of all ages, but its impact could be particularly harsh on pregnant and postpartum women and children. Their decision to forgo health care and nutrition assistance could have serious negative consequences for them in both the near and long term. In particular, the children may lose access to benefits that, in their later years, could mean better health, higher educational achievement, more work, and greater earnings. </w:t>
      </w:r>
      <w:r w:rsidRPr="00F933AF">
        <w:rPr>
          <w:rFonts w:cs="Calibri"/>
          <w:sz w:val="12"/>
        </w:rPr>
        <w:t xml:space="preserve">Public Charge Rules Would Be Dramatically Changed Under longstanding federal law, immigration authorities must determine whether an individual who is seeking lawful admission to the United States and whether an immigrant who is seeking to adjust to become a lawful permanent resident[3] is or will likely become a “public charge.” For decades under administrations of both parties, immigration authorities considered (among other factors) whether the individual received (or was likely to receive) cash assistance benefits and the part of Medicaid that pays for nursing homes and other forms of long-term care. Someone could be considered a public charge if she or he was primarily dependent (for more than half of his or her income) on cash assistance benefits or Medicaid long-term care benefits. (Cash assistance benefits include assistance from the Temporary Assistance for Needy Families program, the Supplemental Security Income program and state cash aid programs, which are now uncommon.) The draft rule, which was leaked to the media, would dramatically change the benefit-related criteria used to make a public charge determination. The draft proposal would put someone at risk of being deemed a “public charge” if that person — or anyone in the person’s immediate family, including citizen children — receive any of a far broader set of benefits. The criteria also would consider any receipt, not whether the individual was primarily dependent, so working families who receive benefits to supplement their low pay could receive an unfavorable public charge determination. The benefits and tax credits that would be considered include the Earned Income Tax Credit (EITC), the low-income component of the Child Tax Credit, Medicaid, the Children’s Health Insurance Program (CHIP), subsidies to help people afford health insurance in the Affordable Care Act’s marketplaces, SNAP (formerly known as food stamps), the Special Supplemental Nutrition Program for Women, Infants and Children (WIC), and others. Because undocumented immigrants are ineligible for nearly all of these forms of assistance — and because cash assistance is already considered in public charge determinations — </w:t>
      </w:r>
      <w:r w:rsidRPr="00F933AF">
        <w:rPr>
          <w:rFonts w:cs="Calibri"/>
          <w:u w:val="single"/>
        </w:rPr>
        <w:t xml:space="preserve">the rule targets immigrants who are lawfully in the United States and working along with their citizen children and spouses. </w:t>
      </w:r>
      <w:r w:rsidRPr="00F933AF">
        <w:rPr>
          <w:rFonts w:cs="Calibri"/>
          <w:sz w:val="12"/>
        </w:rPr>
        <w:t xml:space="preserve">This extreme proposal would have two main effects. First, immigration authorities could use it to prevent some immigrants here lawfully who receive — or whose close family members receive — any of these benefits or tax credits from becoming permanent residents, and to prevent prospective immigrants who want to reunite with their families from entering the United States, if the authorities rule that they or any member of their families have received or would likely receive any of these benefits in the future. Second, </w:t>
      </w:r>
      <w:r w:rsidRPr="00F933AF">
        <w:rPr>
          <w:rFonts w:cs="Calibri"/>
          <w:u w:val="single"/>
        </w:rPr>
        <w:t>the proposal almost certainly would convince large numbers of immigrants here lawfully and their children, many of them U.S. citizens, to forgo benefits or tax credits for which they’re eligible.</w:t>
      </w:r>
      <w:r w:rsidRPr="00F933AF">
        <w:rPr>
          <w:rFonts w:cs="Calibri"/>
          <w:sz w:val="12"/>
        </w:rPr>
        <w:t xml:space="preserve"> Because the rules for determining whether someone is a “public charge” are technical and the circumstances under which the authorities make a determination can be hard to understand, the number of low-income immigrant families that would choose not to receive benefits would likely exceed by a sizable amount the number that would ultimately be subject to a “public charge” determination. This has happened previously. In the late 1990s, widespread confusion and fear about how public charge rules could impact families’ ability to adjust their status among immigrants with children eligible for and in need of federal benefits such as SNAP and Medicaid resulted in many being deterred from applying for benefits. Partly as a result, the share of eligible individuals among these groups who were participating in benefits was low. For example, in 1999, just 40 percent of eligible citizen children living in households with immigrants participated in SNAP, compared to 70 percent of all eligible children</w:t>
      </w:r>
      <w:proofErr w:type="gramStart"/>
      <w:r w:rsidRPr="00F933AF">
        <w:rPr>
          <w:rFonts w:cs="Calibri"/>
          <w:sz w:val="12"/>
        </w:rPr>
        <w:t>.[</w:t>
      </w:r>
      <w:proofErr w:type="gramEnd"/>
      <w:r w:rsidRPr="00F933AF">
        <w:rPr>
          <w:rFonts w:cs="Calibri"/>
          <w:sz w:val="12"/>
        </w:rPr>
        <w:t xml:space="preserve">4] Concerned that eligible individuals in immigrant households were unable to access federal benefits, the Clinton and George W. Bush Administrations took actions to clarify public charge rules and to ensure that benefit program applications and outreach were designed to address the fear and confusion. Participation rates subsequently improved significantly for eligible children in immigrant families.[5] Finally, the draft rule indicates that the Administration is considering whether to change the rules governing when federal authorities can deport legal immigrants in ways that might make their receipt of benefits a consideration — though we have no information about what, if any, changes the Administration may propose. If the Administration makes problematic changes in this area, that would heighten the risk that the rule would have a very large “chilling” effect on lawfully present immigrants receiving benefits for which they are eligible. Especially Acute Impact on Pregnant Women and Children </w:t>
      </w:r>
      <w:proofErr w:type="gramStart"/>
      <w:r w:rsidRPr="00F933AF">
        <w:rPr>
          <w:rFonts w:cs="Calibri"/>
          <w:u w:val="single"/>
        </w:rPr>
        <w:t>The</w:t>
      </w:r>
      <w:proofErr w:type="gramEnd"/>
      <w:r w:rsidRPr="00F933AF">
        <w:rPr>
          <w:rFonts w:cs="Calibri"/>
          <w:u w:val="single"/>
        </w:rPr>
        <w:t xml:space="preserve"> proposed rule could convince immigrants to forgo health coverage or nutrition assistance for themselves or for their infants, preschoolers, and school-age children and families to forgo tax credits like the EITC for which they are eligible. The results could include pregnant women who decline to enroll in Medicaid and thus lose access to pregnancy-related services, families that choose not to enroll babies and young children in Medicaid or CHIP, pregnant and postpartum women and young children who choose not to enroll in WIC, and school-age children who go to school without the health coverage and food assistance they need to succeed. In these cases, the result could be higher rates of poor birth outcomes — including higher rates of infant and maternal mortality — as well as poorer health, education, and financial outcomes for children of all ages. The harm would be particularly acute for pregnant women and young children — and the young children affected would typically be citizen children — who may lose access to benefits that would lead to better long-term outcomes, including better health, greater educational attainment, and brighter future earnings prospects. The impacts for these children can start before birth, when the lack of prenatal care and nutrition assistance for their mothers could affect their birth and early health outcomes, and extend decades into the future, diminishing their opportunity to thrive in tangible and entirely preventable ways. </w:t>
      </w:r>
      <w:r w:rsidRPr="00F933AF">
        <w:rPr>
          <w:rFonts w:cs="Calibri"/>
          <w:sz w:val="12"/>
        </w:rPr>
        <w:t xml:space="preserve">More specifically, under this rule: Women who qualify for Medicaid that would cover prenatal care and labor and delivery may feel that </w:t>
      </w:r>
      <w:r w:rsidRPr="00F933AF">
        <w:rPr>
          <w:rFonts w:cs="Calibri"/>
          <w:u w:val="single"/>
        </w:rPr>
        <w:t xml:space="preserve">they face the impossible choice of (1) risking a public charge determination by signing up for this coverage, (2) finding a way to pay thousands of dollars for labor and delivery, as well as prenatal and postpartum care, or (3) going without needed care. </w:t>
      </w:r>
      <w:r w:rsidRPr="00F933AF">
        <w:rPr>
          <w:rFonts w:cs="Calibri"/>
          <w:sz w:val="12"/>
        </w:rPr>
        <w:t>A pregnant woman or mother of an infant (generally a citizen) might avoid enrolling herself and her child in WIC, which provides critical nutrition assistance to pregnant and breastfeeding women, infants, and preschoolers</w:t>
      </w:r>
      <w:proofErr w:type="gramStart"/>
      <w:r w:rsidRPr="00F933AF">
        <w:rPr>
          <w:rFonts w:cs="Calibri"/>
          <w:sz w:val="12"/>
        </w:rPr>
        <w:t>.[</w:t>
      </w:r>
      <w:proofErr w:type="gramEnd"/>
      <w:r w:rsidRPr="00F933AF">
        <w:rPr>
          <w:rFonts w:cs="Calibri"/>
          <w:sz w:val="12"/>
        </w:rPr>
        <w:t>6] That’s not a mere hypothetical possibility. In recent weeks, service providers reported that families said they were afraid to apply for WIC benefits. As The New York Times recently put it, “Immigrants hoping for permanent residence are dropping out of public nutrition programs even before prominent elements of the Trump administration’s proposed policy changes are enacted, fearful that participating could threaten their citizenship eligibility or put them at risk for deportation, according to program administrators.”[7] Eligible children (including citizens) could miss out on Medicaid, which produces near and long-term benefits for children</w:t>
      </w:r>
      <w:proofErr w:type="gramStart"/>
      <w:r w:rsidRPr="00F933AF">
        <w:rPr>
          <w:rFonts w:cs="Calibri"/>
          <w:sz w:val="12"/>
        </w:rPr>
        <w:t>.[</w:t>
      </w:r>
      <w:proofErr w:type="gramEnd"/>
      <w:r w:rsidRPr="00F933AF">
        <w:rPr>
          <w:rFonts w:cs="Calibri"/>
          <w:sz w:val="12"/>
        </w:rPr>
        <w:t>8] Children who are eligible for Medicaid do better in school, on average, and miss fewer school days due to illness or injury. They’re also likelier to finish high school, attend college, and graduate from college</w:t>
      </w:r>
      <w:proofErr w:type="gramStart"/>
      <w:r w:rsidRPr="00F933AF">
        <w:rPr>
          <w:rFonts w:cs="Calibri"/>
          <w:sz w:val="12"/>
        </w:rPr>
        <w:t>.[</w:t>
      </w:r>
      <w:proofErr w:type="gramEnd"/>
      <w:r w:rsidRPr="00F933AF">
        <w:rPr>
          <w:rFonts w:cs="Calibri"/>
          <w:sz w:val="12"/>
        </w:rPr>
        <w:t xml:space="preserve">9] And they earn more as adults and experience fewer emergency room visits and hospitalizations, research shows. Eligible children could miss out on SNAP, which also produces long-term benefits for children.[10] Research on the early days of the SNAP program shows that children who received food stamps (as SNAP was previously known) had greater rates of high school completion and a lower incidence of heart disease, stunted growth, and obesity as adults. In addition, eligible legal immigrant families with one or more adults working hard at low pay may forgo the Earned Income Tax Credit or Child Tax Credit for which they are otherwise eligible. Children in immigrant families that forgo these credits — including citizen children — would face more poverty and hardship immediately and weaker prospects in the labor market in the future. Without these tax credits, they would be less likely to do well in school, finish high school, and go on to college, research indicates. </w:t>
      </w:r>
      <w:r w:rsidRPr="00F933AF">
        <w:rPr>
          <w:rFonts w:cs="Calibri"/>
          <w:u w:val="single"/>
        </w:rPr>
        <w:t>The rule would likely have other adverse effects as well — for example, on the financial health and viability of many hospitals, due to the significant increase it would produce in people who lack health insurance and come to emergency rooms for their medical care.</w:t>
      </w:r>
    </w:p>
    <w:p w:rsidR="009B5BE6" w:rsidRDefault="009B5BE6" w:rsidP="009B5BE6">
      <w:pPr>
        <w:pStyle w:val="Heading4"/>
      </w:pPr>
      <w:r>
        <w:t>Public charge discrimination spills over to other poor people by undercutting the ACA and education</w:t>
      </w:r>
    </w:p>
    <w:p w:rsidR="009B5BE6" w:rsidRPr="00A5765D" w:rsidRDefault="009B5BE6" w:rsidP="009B5BE6">
      <w:r w:rsidRPr="00A5765D">
        <w:rPr>
          <w:rStyle w:val="Style13ptBold"/>
        </w:rPr>
        <w:t>Hayoun 18</w:t>
      </w:r>
      <w:r>
        <w:t xml:space="preserve"> (Massoud Hayoun, writer for the Pacific Standard, 2/14/18, “THE TRUMP ADMINISTRATION'S REVISED IMMIGRATION RULE COULD PENALIZE AMERICAN CITIZENS FOR USING SOCIAL SERVICES”, </w:t>
      </w:r>
      <w:r w:rsidRPr="00A5765D">
        <w:t>https://psmag.com/social-justice/the-trump-administrations-revised-immigration-rule-could-penalize-american-citizens-for-using-social-services</w:t>
      </w:r>
      <w:r>
        <w:t>)/CWB</w:t>
      </w:r>
    </w:p>
    <w:p w:rsidR="009B5BE6" w:rsidRPr="00A5765D" w:rsidRDefault="009B5BE6" w:rsidP="009B5BE6">
      <w:pPr>
        <w:rPr>
          <w:sz w:val="16"/>
        </w:rPr>
      </w:pPr>
      <w:r w:rsidRPr="00A5765D">
        <w:rPr>
          <w:rStyle w:val="StyleUnderline"/>
        </w:rPr>
        <w:t xml:space="preserve">The Trump administration is revising a little-known, century-old rule to penalize </w:t>
      </w:r>
      <w:hyperlink r:id="rId154" w:history="1">
        <w:r w:rsidRPr="00A5765D">
          <w:rPr>
            <w:rStyle w:val="StyleUnderline"/>
          </w:rPr>
          <w:t>immigration</w:t>
        </w:r>
      </w:hyperlink>
      <w:r w:rsidRPr="00A5765D">
        <w:rPr>
          <w:rStyle w:val="StyleUnderline"/>
        </w:rPr>
        <w:t xml:space="preserve"> applicants whose American-citizen relatives receive social assistance,</w:t>
      </w:r>
      <w:r w:rsidRPr="00A5765D">
        <w:rPr>
          <w:sz w:val="16"/>
        </w:rPr>
        <w:t xml:space="preserve"> reports say. </w:t>
      </w:r>
      <w:r w:rsidRPr="00A5765D">
        <w:rPr>
          <w:rStyle w:val="StyleUnderline"/>
        </w:rPr>
        <w:t>Washington calls the draft rule a safeguard against the misuse of tax dollars; immigrant rights advocates warn that it could drive United States citizens into abject poverty. The "</w:t>
      </w:r>
      <w:hyperlink r:id="rId155" w:tgtFrame="_blank" w:history="1">
        <w:r w:rsidRPr="00A5765D">
          <w:rPr>
            <w:rStyle w:val="StyleUnderline"/>
          </w:rPr>
          <w:t>public charge</w:t>
        </w:r>
      </w:hyperlink>
      <w:r w:rsidRPr="00A5765D">
        <w:rPr>
          <w:rStyle w:val="StyleUnderline"/>
        </w:rPr>
        <w:t xml:space="preserve">" </w:t>
      </w:r>
      <w:hyperlink r:id="rId156" w:tgtFrame="_blank" w:history="1">
        <w:r w:rsidRPr="00A5765D">
          <w:rPr>
            <w:rStyle w:val="StyleUnderline"/>
          </w:rPr>
          <w:t>provision</w:t>
        </w:r>
      </w:hyperlink>
      <w:r w:rsidRPr="00A5765D">
        <w:rPr>
          <w:rStyle w:val="StyleUnderline"/>
        </w:rPr>
        <w:t xml:space="preserve"> of the U.S. immigration law aims to bar immigrants who would become dependent on state resources, unable, financially or mentally, to care for themselves.</w:t>
      </w:r>
      <w:r w:rsidRPr="00A5765D">
        <w:rPr>
          <w:sz w:val="16"/>
        </w:rPr>
        <w:t xml:space="preserve"> Currently the provision bars the government from considering non-cash benefits—food or housing assistance, for example—against family-based immigration petitions. The </w:t>
      </w:r>
      <w:hyperlink r:id="rId157" w:history="1">
        <w:r w:rsidRPr="00A5765D">
          <w:rPr>
            <w:rStyle w:val="StyleUnderline"/>
            <w:sz w:val="16"/>
          </w:rPr>
          <w:t>D</w:t>
        </w:r>
        <w:r w:rsidRPr="00A5765D">
          <w:rPr>
            <w:rStyle w:val="Hyperlink"/>
            <w:sz w:val="16"/>
          </w:rPr>
          <w:t xml:space="preserve">epartment of </w:t>
        </w:r>
        <w:r w:rsidRPr="00A5765D">
          <w:rPr>
            <w:rStyle w:val="StyleUnderline"/>
            <w:sz w:val="16"/>
          </w:rPr>
          <w:t>H</w:t>
        </w:r>
        <w:r w:rsidRPr="00A5765D">
          <w:rPr>
            <w:rStyle w:val="Hyperlink"/>
            <w:sz w:val="16"/>
          </w:rPr>
          <w:t>omeland</w:t>
        </w:r>
        <w:r w:rsidRPr="00A5765D">
          <w:rPr>
            <w:rStyle w:val="StyleUnderline"/>
            <w:sz w:val="16"/>
          </w:rPr>
          <w:t xml:space="preserve"> S</w:t>
        </w:r>
        <w:r w:rsidRPr="00A5765D">
          <w:rPr>
            <w:rStyle w:val="Hyperlink"/>
            <w:sz w:val="16"/>
          </w:rPr>
          <w:t>ecurity</w:t>
        </w:r>
      </w:hyperlink>
      <w:r w:rsidRPr="00A5765D">
        <w:rPr>
          <w:sz w:val="16"/>
        </w:rPr>
        <w:t xml:space="preserve">'s </w:t>
      </w:r>
      <w:r w:rsidRPr="00A5765D">
        <w:rPr>
          <w:rStyle w:val="StyleUnderline"/>
        </w:rPr>
        <w:t>new draft rule</w:t>
      </w:r>
      <w:r w:rsidRPr="00A5765D">
        <w:rPr>
          <w:sz w:val="16"/>
        </w:rPr>
        <w:t xml:space="preserve">, first </w:t>
      </w:r>
      <w:hyperlink r:id="rId158" w:tgtFrame="_blank" w:history="1">
        <w:r w:rsidRPr="00A5765D">
          <w:rPr>
            <w:rStyle w:val="Hyperlink"/>
            <w:sz w:val="16"/>
          </w:rPr>
          <w:t>reported</w:t>
        </w:r>
      </w:hyperlink>
      <w:r w:rsidRPr="00A5765D">
        <w:rPr>
          <w:sz w:val="16"/>
        </w:rPr>
        <w:t xml:space="preserve"> by Reuters late last week, </w:t>
      </w:r>
      <w:r w:rsidRPr="00A5765D">
        <w:rPr>
          <w:rStyle w:val="StyleUnderline"/>
        </w:rPr>
        <w:t>would make those non-cash benefits count against applications for immigration status. In effect, low-income families with non-citizens applying for legal residency status would have to choose between living with loved ones or much-needed public aid for their citizen relatives. Civil liberties advocates are concerned not just for immigrants, but for low-income Americans in general. The draft rule emanates from "a nativist position that says we don't want certain people in our country,"</w:t>
      </w:r>
      <w:r w:rsidRPr="00A5765D">
        <w:rPr>
          <w:sz w:val="16"/>
        </w:rPr>
        <w:t xml:space="preserve"> says Kevin Solis, spokesman for immigrant rights group </w:t>
      </w:r>
      <w:hyperlink r:id="rId159" w:tgtFrame="_blank" w:history="1">
        <w:r w:rsidRPr="00A5765D">
          <w:rPr>
            <w:rStyle w:val="Hyperlink"/>
            <w:sz w:val="16"/>
          </w:rPr>
          <w:t>DREAM Team Los Angeles</w:t>
        </w:r>
      </w:hyperlink>
      <w:r w:rsidRPr="00A5765D">
        <w:rPr>
          <w:sz w:val="16"/>
        </w:rPr>
        <w:t>, "</w:t>
      </w:r>
      <w:r w:rsidRPr="00A5765D">
        <w:rPr>
          <w:rStyle w:val="StyleUnderline"/>
        </w:rPr>
        <w:t>combined with the Republicans trying to undo the social welfare state</w:t>
      </w:r>
      <w:r w:rsidRPr="00A5765D">
        <w:rPr>
          <w:sz w:val="16"/>
        </w:rPr>
        <w:t xml:space="preserve">, it's a twofer. You get all their worst ideologies in one package." </w:t>
      </w:r>
      <w:r w:rsidRPr="00A5765D">
        <w:rPr>
          <w:rStyle w:val="StyleUnderline"/>
        </w:rPr>
        <w:t>The aid that under the new draft rule could harm applications for immigration status includes subsidies for health-insurance coverage guaranteed by the Affordable Care Act. The apparent blow to the ACA is "not incidental,"</w:t>
      </w:r>
      <w:r w:rsidRPr="00A5765D">
        <w:rPr>
          <w:sz w:val="16"/>
        </w:rPr>
        <w:t xml:space="preserve"> says </w:t>
      </w:r>
      <w:hyperlink r:id="rId160" w:tgtFrame="_blank" w:history="1">
        <w:r w:rsidRPr="00A5765D">
          <w:rPr>
            <w:rStyle w:val="Hyperlink"/>
            <w:sz w:val="16"/>
          </w:rPr>
          <w:t>Claudia Calhoon</w:t>
        </w:r>
      </w:hyperlink>
      <w:r w:rsidRPr="00A5765D">
        <w:rPr>
          <w:sz w:val="16"/>
        </w:rPr>
        <w:t xml:space="preserve">, director of health policy at the </w:t>
      </w:r>
      <w:hyperlink r:id="rId161" w:tgtFrame="_blank" w:history="1">
        <w:r w:rsidRPr="00A5765D">
          <w:rPr>
            <w:rStyle w:val="Hyperlink"/>
            <w:sz w:val="16"/>
          </w:rPr>
          <w:t>New York Immigration Coalition</w:t>
        </w:r>
      </w:hyperlink>
      <w:r w:rsidRPr="00A5765D">
        <w:rPr>
          <w:sz w:val="16"/>
        </w:rPr>
        <w:t xml:space="preserve"> advocacy group. </w:t>
      </w:r>
      <w:r w:rsidRPr="00A5765D">
        <w:rPr>
          <w:rStyle w:val="StyleUnderline"/>
        </w:rPr>
        <w:t xml:space="preserve">"[The administration is] trying to come at it from every angle they can." But the potential effect on American communities is more far-reaching than </w:t>
      </w:r>
      <w:hyperlink r:id="rId162" w:history="1">
        <w:r w:rsidRPr="00A5765D">
          <w:rPr>
            <w:rStyle w:val="StyleUnderline"/>
          </w:rPr>
          <w:t>Donald Trump</w:t>
        </w:r>
      </w:hyperlink>
      <w:r w:rsidRPr="00A5765D">
        <w:rPr>
          <w:rStyle w:val="StyleUnderline"/>
        </w:rPr>
        <w:t xml:space="preserve">'s apparent push to undo Obama-era policy. Among the benefits that would become public charge considerations are food stamps and other food safety programs. When children go hungry, their schooling takes a hit, "and that starts a cycle of potential challenges that aren't good for anybody," </w:t>
      </w:r>
      <w:r w:rsidRPr="00A5765D">
        <w:rPr>
          <w:sz w:val="16"/>
        </w:rPr>
        <w:t xml:space="preserve">Calhoon says. The affected communities include a long list of non-citizens with U.S.-born or naturalized relatives, including people </w:t>
      </w:r>
      <w:hyperlink r:id="rId163" w:history="1">
        <w:r w:rsidRPr="00A5765D">
          <w:rPr>
            <w:rStyle w:val="Hyperlink"/>
            <w:sz w:val="16"/>
          </w:rPr>
          <w:t>granted stays of deportation by immigration courts</w:t>
        </w:r>
      </w:hyperlink>
      <w:r w:rsidRPr="00A5765D">
        <w:rPr>
          <w:sz w:val="16"/>
        </w:rPr>
        <w:t xml:space="preserve">, </w:t>
      </w:r>
      <w:hyperlink r:id="rId164" w:history="1">
        <w:r w:rsidRPr="00A5765D">
          <w:rPr>
            <w:rStyle w:val="Hyperlink"/>
            <w:sz w:val="16"/>
          </w:rPr>
          <w:t>Temporary Protected Status</w:t>
        </w:r>
      </w:hyperlink>
      <w:r w:rsidRPr="00A5765D">
        <w:rPr>
          <w:sz w:val="16"/>
        </w:rPr>
        <w:t xml:space="preserve"> recipients, and many others who have come under attack by the Trump administration, Calhoon explains. The draft rule has the stated aim of protecting American taxpayers. "The administration is committed to enforcing existing immigration law, which is clearly intended to protect the American taxpayers," Department of Homeland Security Press Secretary Tyler Houlton tells Pacific Standard. "Any potential changes to the rule would be in keeping with the letter and spirit of the law—as well as the reasonable expectations of the American people for the government to be good stewards of taxpayer funds." A copy of the draft rule published in </w:t>
      </w:r>
      <w:hyperlink r:id="rId165" w:tgtFrame="_blank" w:history="1">
        <w:r w:rsidRPr="00A5765D">
          <w:rPr>
            <w:rStyle w:val="Hyperlink"/>
            <w:sz w:val="16"/>
          </w:rPr>
          <w:t>Vox</w:t>
        </w:r>
      </w:hyperlink>
      <w:r w:rsidRPr="00A5765D">
        <w:rPr>
          <w:sz w:val="16"/>
        </w:rPr>
        <w:t xml:space="preserve"> echoes that concern for American dollars. "The availability of public benefits must not constitute an incentive for immigration to the United States; and Aliens in the United States must not depend on public resources to meet their needs," the draft reads. </w:t>
      </w:r>
      <w:r w:rsidRPr="00A5765D">
        <w:rPr>
          <w:rStyle w:val="StyleUnderline"/>
        </w:rPr>
        <w:t xml:space="preserve">But some fear that the safeguarding of tax dollars is really just a pretext for the administration's populist brand of politics, and indeed the provision has been used in the past to enable discriminatory immigration policy, </w:t>
      </w:r>
      <w:r w:rsidRPr="00A5765D">
        <w:rPr>
          <w:sz w:val="16"/>
        </w:rPr>
        <w:t xml:space="preserve">analysts say. </w:t>
      </w:r>
      <w:r w:rsidRPr="00A5765D">
        <w:rPr>
          <w:rStyle w:val="StyleUnderline"/>
        </w:rPr>
        <w:t xml:space="preserve">The "obscure" public charge provision was first enacted in 1882, according to </w:t>
      </w:r>
      <w:hyperlink r:id="rId166" w:tgtFrame="_blank" w:history="1">
        <w:r w:rsidRPr="00A5765D">
          <w:rPr>
            <w:rStyle w:val="StyleUnderline"/>
          </w:rPr>
          <w:t>analysis</w:t>
        </w:r>
      </w:hyperlink>
      <w:r w:rsidRPr="00A5765D">
        <w:rPr>
          <w:rStyle w:val="StyleUnderline"/>
        </w:rPr>
        <w:t xml:space="preserve"> from the left-leaning Center for American Progress, and has historically been used as means for barring the disabled, Jewish European immigrants escaping the Holocaust, and the Irish escaping famine, among others. Today, under Trump, the provision would target Americans of Mexican origin and other people who hail from the communities targeted by Trump's </w:t>
      </w:r>
      <w:hyperlink r:id="rId167" w:tgtFrame="_blank" w:history="1">
        <w:r w:rsidRPr="00A5765D">
          <w:rPr>
            <w:rStyle w:val="StyleUnderline"/>
          </w:rPr>
          <w:t>rhetoric</w:t>
        </w:r>
      </w:hyperlink>
      <w:r w:rsidRPr="00A5765D">
        <w:rPr>
          <w:rStyle w:val="StyleUnderline"/>
        </w:rPr>
        <w:t xml:space="preserve"> on immigrants. "The plan would significantly restrict family-based legal immigration from Mexico and other countries that have been the subject of the administration's racist and discriminatory animus," the CAP report reads.</w:t>
      </w:r>
      <w:r w:rsidRPr="00A5765D">
        <w:rPr>
          <w:sz w:val="16"/>
        </w:rPr>
        <w:t xml:space="preserve"> </w:t>
      </w:r>
    </w:p>
    <w:p w:rsidR="009B5BE6" w:rsidRPr="00A5765D" w:rsidRDefault="009B5BE6" w:rsidP="009B5BE6">
      <w:pPr>
        <w:pStyle w:val="Heading4"/>
      </w:pPr>
      <w:r w:rsidRPr="00A5765D">
        <w:t>Removing public charge lowers income requirements</w:t>
      </w:r>
      <w:r>
        <w:t>- reunites families</w:t>
      </w:r>
    </w:p>
    <w:p w:rsidR="009B5BE6" w:rsidRPr="00A5765D" w:rsidRDefault="009B5BE6" w:rsidP="009B5BE6">
      <w:r w:rsidRPr="00A5765D">
        <w:rPr>
          <w:rStyle w:val="Style13ptBold"/>
        </w:rPr>
        <w:t>NIF 12</w:t>
      </w:r>
      <w:r>
        <w:t xml:space="preserve"> (National Immigration Forum, </w:t>
      </w:r>
      <w:r w:rsidRPr="00A5765D">
        <w:t>7/26/12, “Immigration Backlogs are Separating American Families”, https://immigrationforum.org/article/immigration-backlogs-separating-american-families/)/CWB</w:t>
      </w:r>
    </w:p>
    <w:p w:rsidR="009B5BE6" w:rsidRPr="00C42100" w:rsidRDefault="009B5BE6" w:rsidP="009B5BE6">
      <w:pPr>
        <w:rPr>
          <w:rStyle w:val="StyleUnderline"/>
        </w:rPr>
      </w:pPr>
      <w:r w:rsidRPr="00C42100">
        <w:rPr>
          <w:rStyle w:val="StyleUnderline"/>
        </w:rPr>
        <w:t>Reduce income requirements that close off opportunities for some hardworking, but low-paid Americans to reunite with family members:</w:t>
      </w:r>
      <w:r w:rsidRPr="00A5765D">
        <w:rPr>
          <w:sz w:val="16"/>
        </w:rPr>
        <w:t xml:space="preserve"> In 1996, a new provision was added to the </w:t>
      </w:r>
      <w:r w:rsidRPr="00C42100">
        <w:rPr>
          <w:rStyle w:val="StyleUnderline"/>
        </w:rPr>
        <w:t xml:space="preserve">immigration law requiring all citizens or legal permanent residents wishing to petition for a family member must earn at least 125% of the federal poverty level and sign a legally enforceable affidavit of support promising to support the immigrant financially. While this requirement was added to the law to ensure that immigrants will be provided for by family members and will not become a “public charge,” for some hardworking but low paid Americans, it shuts off an opportunity to reunite with close family members. </w:t>
      </w:r>
      <w:r w:rsidRPr="00A5765D">
        <w:rPr>
          <w:sz w:val="16"/>
        </w:rPr>
        <w:t xml:space="preserve">For example, immigrants in certain occupations, if they earn the median income for that occupation, might earn less than 125% of the federal poverty level for their family size. Though they may be hard working, these Americans may lose the chance to reunite with close family members because of the new income requirements. </w:t>
      </w:r>
      <w:r w:rsidRPr="00C42100">
        <w:rPr>
          <w:rStyle w:val="StyleUnderline"/>
        </w:rPr>
        <w:t>The income requirement should be lowered, so that hardworking but low-paid workers are not penalized and kept from reuniting with family members simply because they do not earn enough in their jobs.</w:t>
      </w:r>
    </w:p>
    <w:p w:rsidR="003F0AB2" w:rsidRDefault="003F0AB2" w:rsidP="003F0AB2"/>
    <w:p w:rsidR="00831743" w:rsidRDefault="00831743" w:rsidP="00831743">
      <w:pPr>
        <w:pStyle w:val="Heading3"/>
      </w:pPr>
      <w:r>
        <w:t xml:space="preserve">War Impact Add-on </w:t>
      </w:r>
    </w:p>
    <w:p w:rsidR="00831743" w:rsidRDefault="00831743" w:rsidP="00831743">
      <w:pPr>
        <w:pStyle w:val="Heading4"/>
      </w:pPr>
      <w:r>
        <w:t>Economic inequality creates grievance over differences and ethnonationalism- empirically causes war</w:t>
      </w:r>
    </w:p>
    <w:p w:rsidR="00831743" w:rsidRPr="00822B39" w:rsidRDefault="00831743" w:rsidP="00831743">
      <w:r w:rsidRPr="001C6A52">
        <w:rPr>
          <w:rStyle w:val="Style13ptBold"/>
        </w:rPr>
        <w:t xml:space="preserve">UK Essays 15 </w:t>
      </w:r>
      <w:r>
        <w:t>(UK Essays undergraduate student submission, 3/23/15, Ed. 4/25/17, “Does Poverty Cause War?</w:t>
      </w:r>
      <w:proofErr w:type="gramStart"/>
      <w:r>
        <w:t>”,</w:t>
      </w:r>
      <w:proofErr w:type="gramEnd"/>
      <w:r>
        <w:t xml:space="preserve"> </w:t>
      </w:r>
      <w:r w:rsidRPr="001C6A52">
        <w:t>https://www.ukessays.com/essays/politics/does-poverty-cause-war-politics-essay.php#</w:t>
      </w:r>
      <w:r>
        <w:t>)/CWB</w:t>
      </w:r>
    </w:p>
    <w:p w:rsidR="00831743" w:rsidRPr="00822B39" w:rsidRDefault="00831743" w:rsidP="00831743">
      <w:pPr>
        <w:rPr>
          <w:sz w:val="16"/>
        </w:rPr>
      </w:pPr>
      <w:r w:rsidRPr="00822B39">
        <w:rPr>
          <w:rStyle w:val="StyleUnderline"/>
        </w:rPr>
        <w:t>Awareness by the poor of the disparities between wealth and income acts as a trigger in the stages leading to war</w:t>
      </w:r>
      <w:r w:rsidRPr="00822B39">
        <w:rPr>
          <w:sz w:val="16"/>
        </w:rPr>
        <w:t xml:space="preserve">: There was a 30:1 gap in 1960 in the average per capita income between the fifth of the world's population in rich countries and the fifth of the world's population living in poor countries. This increased to 60:1 in 1990 and beyond 2000, 74:1. </w:t>
      </w:r>
      <w:r w:rsidRPr="00822B39">
        <w:rPr>
          <w:rStyle w:val="StyleUnderline"/>
        </w:rPr>
        <w:t>The figures now stand at $30,000 annual average income per person and less than $400. These vast disparities lead to tensions, riots and insurgencies. A few developing countries with a yawning gap between wealth and income have been victims of civil war. For example, In Sierra Leone and Columbia half the population has about 5 percent of the country's total income. These inconsistencies increase the probability of armed conflict</w:t>
      </w:r>
      <w:r w:rsidRPr="00822B39">
        <w:rPr>
          <w:sz w:val="16"/>
        </w:rPr>
        <w:t>. The World Development Report 2000- Attacking Poverty also discusses the condition of poverty, `</w:t>
      </w:r>
      <w:r w:rsidRPr="00822B39">
        <w:rPr>
          <w:rStyle w:val="StyleUnderline"/>
        </w:rPr>
        <w:t>as perceived by the poor</w:t>
      </w:r>
      <w:r w:rsidRPr="00822B39">
        <w:rPr>
          <w:sz w:val="16"/>
        </w:rPr>
        <w:t>.' [</w:t>
      </w:r>
      <w:bookmarkStart w:id="65" w:name="bodyftn14"/>
      <w:r w:rsidRPr="00822B39">
        <w:rPr>
          <w:sz w:val="16"/>
        </w:rPr>
        <w:fldChar w:fldCharType="begin"/>
      </w:r>
      <w:r w:rsidRPr="00822B39">
        <w:rPr>
          <w:sz w:val="16"/>
        </w:rPr>
        <w:instrText xml:space="preserve"> HYPERLINK "https://www.ukessays.com/essays/politics/does-poverty-cause-war-politics-essay.php" \l "ftn14" </w:instrText>
      </w:r>
      <w:r w:rsidRPr="00822B39">
        <w:rPr>
          <w:sz w:val="16"/>
        </w:rPr>
        <w:fldChar w:fldCharType="separate"/>
      </w:r>
      <w:r w:rsidRPr="00822B39">
        <w:rPr>
          <w:rStyle w:val="Hyperlink"/>
          <w:sz w:val="16"/>
        </w:rPr>
        <w:t>14</w:t>
      </w:r>
      <w:r w:rsidRPr="00822B39">
        <w:rPr>
          <w:sz w:val="16"/>
        </w:rPr>
        <w:fldChar w:fldCharType="end"/>
      </w:r>
      <w:bookmarkEnd w:id="65"/>
      <w:r w:rsidRPr="00822B39">
        <w:rPr>
          <w:sz w:val="16"/>
        </w:rPr>
        <w:t xml:space="preserve">] The theory of `relative deprivation' also indicates the occurrence of a similar situation. </w:t>
      </w:r>
      <w:r w:rsidRPr="00822B39">
        <w:rPr>
          <w:rStyle w:val="StyleUnderline"/>
        </w:rPr>
        <w:t>Relative deprivation is `perceived discrepancy between value expectations and value capabilities' and adequately encompasses most pre requisites to revolution. If dissidents feel that their goals can be achieved only by altering the system, terrorist tactics will be applied to gain support and publicize the government's incapability. [</w:t>
      </w:r>
      <w:bookmarkStart w:id="66" w:name="bodyftn15"/>
      <w:r w:rsidRPr="00822B39">
        <w:rPr>
          <w:rStyle w:val="StyleUnderline"/>
        </w:rPr>
        <w:fldChar w:fldCharType="begin"/>
      </w:r>
      <w:r w:rsidRPr="00822B39">
        <w:rPr>
          <w:rStyle w:val="StyleUnderline"/>
        </w:rPr>
        <w:instrText xml:space="preserve"> HYPERLINK "https://www.ukessays.com/essays/politics/does-poverty-cause-war-politics-essay.php" \l "ftn15" </w:instrText>
      </w:r>
      <w:r w:rsidRPr="00822B39">
        <w:rPr>
          <w:rStyle w:val="StyleUnderline"/>
        </w:rPr>
        <w:fldChar w:fldCharType="separate"/>
      </w:r>
      <w:r w:rsidRPr="00822B39">
        <w:rPr>
          <w:rStyle w:val="StyleUnderline"/>
        </w:rPr>
        <w:t>15</w:t>
      </w:r>
      <w:r w:rsidRPr="00822B39">
        <w:rPr>
          <w:rStyle w:val="StyleUnderline"/>
        </w:rPr>
        <w:fldChar w:fldCharType="end"/>
      </w:r>
      <w:bookmarkEnd w:id="66"/>
      <w:r w:rsidRPr="00822B39">
        <w:rPr>
          <w:rStyle w:val="StyleUnderline"/>
        </w:rPr>
        <w:t>] Modern wars do not happen by chance. They stem from the perceived difference between income and available resources. Conflicts and wars within states have occurred due to food shortage, water scarcity and land ownership</w:t>
      </w:r>
      <w:r w:rsidRPr="00822B39">
        <w:rPr>
          <w:sz w:val="16"/>
        </w:rPr>
        <w:t>. Riots in Indonesia and Lesotho were a result of sudden rise in food prices. The Chiapas rebellion in Mexico, guerrilla movement in Columbia and conflicts in Senegal were an outcome of the opposition movement's claim on large land tracts. [</w:t>
      </w:r>
      <w:bookmarkStart w:id="67" w:name="bodyftn16"/>
      <w:r w:rsidRPr="00822B39">
        <w:rPr>
          <w:sz w:val="16"/>
        </w:rPr>
        <w:fldChar w:fldCharType="begin"/>
      </w:r>
      <w:r w:rsidRPr="00822B39">
        <w:rPr>
          <w:sz w:val="16"/>
        </w:rPr>
        <w:instrText xml:space="preserve"> HYPERLINK "https://www.ukessays.com/essays/politics/does-poverty-cause-war-politics-essay.php" \l "ftn16" </w:instrText>
      </w:r>
      <w:r w:rsidRPr="00822B39">
        <w:rPr>
          <w:sz w:val="16"/>
        </w:rPr>
        <w:fldChar w:fldCharType="separate"/>
      </w:r>
      <w:r w:rsidRPr="00822B39">
        <w:rPr>
          <w:rStyle w:val="Hyperlink"/>
          <w:sz w:val="16"/>
        </w:rPr>
        <w:t>16</w:t>
      </w:r>
      <w:r w:rsidRPr="00822B39">
        <w:rPr>
          <w:sz w:val="16"/>
        </w:rPr>
        <w:fldChar w:fldCharType="end"/>
      </w:r>
      <w:bookmarkEnd w:id="67"/>
      <w:r w:rsidRPr="00822B39">
        <w:rPr>
          <w:sz w:val="16"/>
        </w:rPr>
        <w:t xml:space="preserve">] Role played by Frances Stewart's Horizontal Inequalities (HI) in the sequence of events leading to war: </w:t>
      </w:r>
      <w:r w:rsidRPr="00822B39">
        <w:rPr>
          <w:rStyle w:val="StyleUnderline"/>
        </w:rPr>
        <w:t>The discussion on plausible causes of war is incomplete without</w:t>
      </w:r>
      <w:r w:rsidRPr="00822B39">
        <w:rPr>
          <w:sz w:val="16"/>
        </w:rPr>
        <w:t xml:space="preserve"> analysing the role of Stewart's </w:t>
      </w:r>
      <w:r w:rsidRPr="00822B39">
        <w:rPr>
          <w:rStyle w:val="StyleUnderline"/>
        </w:rPr>
        <w:t>Horizontal inequalities - 'inequalities in economic, social or political dimensions or cultural status between culturally defined groups'. If driven by political HI's, higher the socio economic inequalities, higher is the likelihood of conflict. [</w:t>
      </w:r>
      <w:bookmarkStart w:id="68" w:name="bodyftn17"/>
      <w:r w:rsidRPr="00822B39">
        <w:rPr>
          <w:rStyle w:val="StyleUnderline"/>
        </w:rPr>
        <w:fldChar w:fldCharType="begin"/>
      </w:r>
      <w:r w:rsidRPr="00822B39">
        <w:rPr>
          <w:rStyle w:val="StyleUnderline"/>
        </w:rPr>
        <w:instrText xml:space="preserve"> HYPERLINK "https://www.ukessays.com/essays/politics/does-poverty-cause-war-politics-essay.php" \l "ftn17" </w:instrText>
      </w:r>
      <w:r w:rsidRPr="00822B39">
        <w:rPr>
          <w:rStyle w:val="StyleUnderline"/>
        </w:rPr>
        <w:fldChar w:fldCharType="separate"/>
      </w:r>
      <w:r w:rsidRPr="00822B39">
        <w:rPr>
          <w:rStyle w:val="StyleUnderline"/>
        </w:rPr>
        <w:t>17</w:t>
      </w:r>
      <w:r w:rsidRPr="00822B39">
        <w:rPr>
          <w:rStyle w:val="StyleUnderline"/>
        </w:rPr>
        <w:fldChar w:fldCharType="end"/>
      </w:r>
      <w:bookmarkEnd w:id="68"/>
      <w:r w:rsidRPr="00822B39">
        <w:rPr>
          <w:rStyle w:val="StyleUnderline"/>
        </w:rPr>
        <w:t>] HIs give rise to grievances, which may cause violent disturbances. The longevity of these grievances can lead to wars-Yorkshire in Britain, various cities in the US displayed this trend. So did India</w:t>
      </w:r>
      <w:r w:rsidRPr="00822B39">
        <w:rPr>
          <w:sz w:val="16"/>
        </w:rPr>
        <w:t xml:space="preserve">. India's war against the colonization rule of the East India Company was finally won over after 200 years. </w:t>
      </w:r>
      <w:r w:rsidRPr="00822B39">
        <w:rPr>
          <w:rStyle w:val="StyleUnderline"/>
        </w:rPr>
        <w:t>Civil wars are severe manifestations, such as the Biafra and Eritrean attempts to fight for independence. Burundi and Rwanda massacres, terrorism in its local and international form- 9/11 attacks are examples of economic and cultural horizontal inequalities between the US and the world's Muslim population. [</w:t>
      </w:r>
      <w:bookmarkStart w:id="69" w:name="bodyftn18"/>
      <w:r w:rsidRPr="00822B39">
        <w:rPr>
          <w:rStyle w:val="StyleUnderline"/>
        </w:rPr>
        <w:fldChar w:fldCharType="begin"/>
      </w:r>
      <w:r w:rsidRPr="00822B39">
        <w:rPr>
          <w:rStyle w:val="StyleUnderline"/>
        </w:rPr>
        <w:instrText xml:space="preserve"> HYPERLINK "https://www.ukessays.com/essays/politics/does-poverty-cause-war-politics-essay.php" \l "ftn18" </w:instrText>
      </w:r>
      <w:r w:rsidRPr="00822B39">
        <w:rPr>
          <w:rStyle w:val="StyleUnderline"/>
        </w:rPr>
        <w:fldChar w:fldCharType="separate"/>
      </w:r>
      <w:r w:rsidRPr="00822B39">
        <w:rPr>
          <w:rStyle w:val="StyleUnderline"/>
        </w:rPr>
        <w:t>18</w:t>
      </w:r>
      <w:r w:rsidRPr="00822B39">
        <w:rPr>
          <w:rStyle w:val="StyleUnderline"/>
        </w:rPr>
        <w:fldChar w:fldCharType="end"/>
      </w:r>
      <w:bookmarkEnd w:id="69"/>
      <w:r w:rsidRPr="00822B39">
        <w:rPr>
          <w:rStyle w:val="StyleUnderline"/>
        </w:rPr>
        <w:t>] In Sierra Leone,</w:t>
      </w:r>
      <w:r w:rsidRPr="00822B39">
        <w:rPr>
          <w:sz w:val="16"/>
        </w:rPr>
        <w:t xml:space="preserve"> unemployment and inability of the youth to access education acted as Horizontal Inequality and regionally </w:t>
      </w:r>
      <w:r w:rsidRPr="00822B39">
        <w:rPr>
          <w:rStyle w:val="StyleUnderline"/>
        </w:rPr>
        <w:t>and</w:t>
      </w:r>
      <w:r w:rsidRPr="00822B39">
        <w:rPr>
          <w:sz w:val="16"/>
        </w:rPr>
        <w:t xml:space="preserve"> ethnically defined identity, poverty and insecurity, </w:t>
      </w:r>
      <w:r w:rsidRPr="00822B39">
        <w:rPr>
          <w:rStyle w:val="StyleUnderline"/>
        </w:rPr>
        <w:t>in the Democratic Republic of Congo</w:t>
      </w:r>
      <w:r w:rsidRPr="00822B39">
        <w:rPr>
          <w:sz w:val="16"/>
        </w:rPr>
        <w:t>. [</w:t>
      </w:r>
      <w:bookmarkStart w:id="70" w:name="bodyftn19"/>
      <w:r w:rsidRPr="00822B39">
        <w:rPr>
          <w:sz w:val="16"/>
        </w:rPr>
        <w:fldChar w:fldCharType="begin"/>
      </w:r>
      <w:r w:rsidRPr="00822B39">
        <w:rPr>
          <w:sz w:val="16"/>
        </w:rPr>
        <w:instrText xml:space="preserve"> HYPERLINK "https://www.ukessays.com/essays/politics/does-poverty-cause-war-politics-essay.php" \l "ftn19" </w:instrText>
      </w:r>
      <w:r w:rsidRPr="00822B39">
        <w:rPr>
          <w:sz w:val="16"/>
        </w:rPr>
        <w:fldChar w:fldCharType="separate"/>
      </w:r>
      <w:r w:rsidRPr="00822B39">
        <w:rPr>
          <w:rStyle w:val="Hyperlink"/>
          <w:sz w:val="16"/>
        </w:rPr>
        <w:t>19</w:t>
      </w:r>
      <w:r w:rsidRPr="00822B39">
        <w:rPr>
          <w:sz w:val="16"/>
        </w:rPr>
        <w:fldChar w:fldCharType="end"/>
      </w:r>
      <w:bookmarkEnd w:id="70"/>
      <w:r w:rsidRPr="00822B39">
        <w:rPr>
          <w:sz w:val="16"/>
        </w:rPr>
        <w:t xml:space="preserve">] Horizontal </w:t>
      </w:r>
      <w:r w:rsidRPr="00822B39">
        <w:rPr>
          <w:rStyle w:val="StyleUnderline"/>
        </w:rPr>
        <w:t>inequalities</w:t>
      </w:r>
      <w:r w:rsidRPr="00822B39">
        <w:rPr>
          <w:sz w:val="16"/>
        </w:rPr>
        <w:t xml:space="preserve"> between ethnic groups and states can </w:t>
      </w:r>
      <w:r w:rsidRPr="00822B39">
        <w:rPr>
          <w:rStyle w:val="StyleUnderline"/>
        </w:rPr>
        <w:t>promote ethno-nationalist conflict. Tests with new data on wealth and ethnic groups' boundaries and political access show- the rich and poor groups with respect to the national average are conflict participants</w:t>
      </w:r>
      <w:r w:rsidRPr="00822B39">
        <w:rPr>
          <w:sz w:val="16"/>
        </w:rPr>
        <w:t>. [</w:t>
      </w:r>
      <w:bookmarkStart w:id="71" w:name="bodyftn20"/>
      <w:r w:rsidRPr="00822B39">
        <w:rPr>
          <w:sz w:val="16"/>
        </w:rPr>
        <w:fldChar w:fldCharType="begin"/>
      </w:r>
      <w:r w:rsidRPr="00822B39">
        <w:rPr>
          <w:sz w:val="16"/>
        </w:rPr>
        <w:instrText xml:space="preserve"> HYPERLINK "https://www.ukessays.com/essays/politics/does-poverty-cause-war-politics-essay.php" \l "ftn20" </w:instrText>
      </w:r>
      <w:r w:rsidRPr="00822B39">
        <w:rPr>
          <w:sz w:val="16"/>
        </w:rPr>
        <w:fldChar w:fldCharType="separate"/>
      </w:r>
      <w:r w:rsidRPr="00822B39">
        <w:rPr>
          <w:rStyle w:val="Hyperlink"/>
          <w:sz w:val="16"/>
        </w:rPr>
        <w:t>20</w:t>
      </w:r>
      <w:r w:rsidRPr="00822B39">
        <w:rPr>
          <w:sz w:val="16"/>
        </w:rPr>
        <w:fldChar w:fldCharType="end"/>
      </w:r>
      <w:bookmarkEnd w:id="71"/>
      <w:r w:rsidRPr="00822B39">
        <w:rPr>
          <w:sz w:val="16"/>
        </w:rPr>
        <w:t xml:space="preserve">] Exclusion from citizenship is a form of HI and a considerable cause of inequalities as it can decline people's right to work, join a union or receive government assistance. </w:t>
      </w:r>
      <w:r w:rsidRPr="00822B39">
        <w:rPr>
          <w:rStyle w:val="StyleUnderline"/>
        </w:rPr>
        <w:t>For example, in Nigeria</w:t>
      </w:r>
      <w:r w:rsidRPr="00822B39">
        <w:rPr>
          <w:sz w:val="16"/>
        </w:rPr>
        <w:t>, the settler distinction has been the source of many local level conflicts. [</w:t>
      </w:r>
      <w:bookmarkStart w:id="72" w:name="bodyftn21"/>
      <w:r w:rsidRPr="00822B39">
        <w:rPr>
          <w:sz w:val="16"/>
        </w:rPr>
        <w:fldChar w:fldCharType="begin"/>
      </w:r>
      <w:r w:rsidRPr="00822B39">
        <w:rPr>
          <w:sz w:val="16"/>
        </w:rPr>
        <w:instrText xml:space="preserve"> HYPERLINK "https://www.ukessays.com/essays/politics/does-poverty-cause-war-politics-essay.php" \l "ftn21" </w:instrText>
      </w:r>
      <w:r w:rsidRPr="00822B39">
        <w:rPr>
          <w:sz w:val="16"/>
        </w:rPr>
        <w:fldChar w:fldCharType="separate"/>
      </w:r>
      <w:r w:rsidRPr="00822B39">
        <w:rPr>
          <w:rStyle w:val="Hyperlink"/>
          <w:sz w:val="16"/>
        </w:rPr>
        <w:t>21</w:t>
      </w:r>
      <w:r w:rsidRPr="00822B39">
        <w:rPr>
          <w:sz w:val="16"/>
        </w:rPr>
        <w:fldChar w:fldCharType="end"/>
      </w:r>
      <w:bookmarkEnd w:id="72"/>
      <w:r w:rsidRPr="00822B39">
        <w:rPr>
          <w:sz w:val="16"/>
        </w:rPr>
        <w:t xml:space="preserve">] Factors like </w:t>
      </w:r>
      <w:r w:rsidRPr="00822B39">
        <w:rPr>
          <w:rStyle w:val="StyleUnderline"/>
        </w:rPr>
        <w:t>poor governance, historical developments and International linkages contribute to poverty and inequalities, which lead to grievances, which may lead to war:</w:t>
      </w:r>
      <w:r w:rsidRPr="00822B39">
        <w:rPr>
          <w:sz w:val="16"/>
        </w:rPr>
        <w:t xml:space="preserve"> UN Secretary-General, Kofi Annan, in a speech given in October 1999 co relates grievances due to horizontal inequalities and poverty, to violence- `A recent study has shown that one highly explosive structural factor is "horizontal inequality'' which rises when power and resources are unequally distributed between groups that are also differentiated by race, religion, or languageâ€¦Grievances by groups with uneven access to power can provide a triggerâ€¦., The fact that political violence occurs more frequently in poor countries has more to do with failures of governanceâ€¦.' [</w:t>
      </w:r>
      <w:bookmarkStart w:id="73" w:name="bodyftn22"/>
      <w:r w:rsidRPr="00822B39">
        <w:rPr>
          <w:sz w:val="16"/>
        </w:rPr>
        <w:fldChar w:fldCharType="begin"/>
      </w:r>
      <w:r w:rsidRPr="00822B39">
        <w:rPr>
          <w:sz w:val="16"/>
        </w:rPr>
        <w:instrText xml:space="preserve"> HYPERLINK "https://www.ukessays.com/essays/politics/does-poverty-cause-war-politics-essay.php" \l "ftn22" </w:instrText>
      </w:r>
      <w:r w:rsidRPr="00822B39">
        <w:rPr>
          <w:sz w:val="16"/>
        </w:rPr>
        <w:fldChar w:fldCharType="separate"/>
      </w:r>
      <w:r w:rsidRPr="00822B39">
        <w:rPr>
          <w:rStyle w:val="Hyperlink"/>
          <w:sz w:val="16"/>
        </w:rPr>
        <w:t>22</w:t>
      </w:r>
      <w:r w:rsidRPr="00822B39">
        <w:rPr>
          <w:sz w:val="16"/>
        </w:rPr>
        <w:fldChar w:fldCharType="end"/>
      </w:r>
      <w:bookmarkEnd w:id="73"/>
      <w:r w:rsidRPr="00822B39">
        <w:rPr>
          <w:sz w:val="16"/>
        </w:rPr>
        <w:t xml:space="preserve">] </w:t>
      </w:r>
      <w:r w:rsidRPr="00822B39">
        <w:rPr>
          <w:rStyle w:val="StyleUnderline"/>
        </w:rPr>
        <w:t xml:space="preserve">Inadequate State policy and institutional capacity lead to poverty which gradually becomes a grievance. Bad Governance and poverty are closely linked. </w:t>
      </w:r>
      <w:r w:rsidRPr="00822B39">
        <w:rPr>
          <w:sz w:val="16"/>
        </w:rPr>
        <w:t>[</w:t>
      </w:r>
      <w:bookmarkStart w:id="74" w:name="bodyftn23"/>
      <w:r w:rsidRPr="00822B39">
        <w:rPr>
          <w:sz w:val="16"/>
        </w:rPr>
        <w:fldChar w:fldCharType="begin"/>
      </w:r>
      <w:r w:rsidRPr="00822B39">
        <w:rPr>
          <w:sz w:val="16"/>
        </w:rPr>
        <w:instrText xml:space="preserve"> HYPERLINK "https://www.ukessays.com/essays/politics/does-poverty-cause-war-politics-essay.php" \l "ftn23" </w:instrText>
      </w:r>
      <w:r w:rsidRPr="00822B39">
        <w:rPr>
          <w:sz w:val="16"/>
        </w:rPr>
        <w:fldChar w:fldCharType="separate"/>
      </w:r>
      <w:r w:rsidRPr="00822B39">
        <w:rPr>
          <w:rStyle w:val="Hyperlink"/>
          <w:sz w:val="16"/>
        </w:rPr>
        <w:t>23</w:t>
      </w:r>
      <w:r w:rsidRPr="00822B39">
        <w:rPr>
          <w:sz w:val="16"/>
        </w:rPr>
        <w:fldChar w:fldCharType="end"/>
      </w:r>
      <w:bookmarkEnd w:id="74"/>
      <w:r w:rsidRPr="00822B39">
        <w:rPr>
          <w:sz w:val="16"/>
        </w:rPr>
        <w:t>] Underdeveloped states raise revenue through resources or foreign aid and lack incentives for public goods. Political factors like predatory rule, authoritarianism and state decay along with economic variables can also cause conflict. Also, specific groups may enjoy a state bias while others are alienated. The Tamil population in Sri Lanka, for instance, suffered from land colonization and education policies leaving them feeling alienated. [</w:t>
      </w:r>
      <w:bookmarkStart w:id="75" w:name="bodyftn24"/>
      <w:r w:rsidRPr="00822B39">
        <w:rPr>
          <w:sz w:val="16"/>
        </w:rPr>
        <w:fldChar w:fldCharType="begin"/>
      </w:r>
      <w:r w:rsidRPr="00822B39">
        <w:rPr>
          <w:sz w:val="16"/>
        </w:rPr>
        <w:instrText xml:space="preserve"> HYPERLINK "https://www.ukessays.com/essays/politics/does-poverty-cause-war-politics-essay.php" \l "ftn24" </w:instrText>
      </w:r>
      <w:r w:rsidRPr="00822B39">
        <w:rPr>
          <w:sz w:val="16"/>
        </w:rPr>
        <w:fldChar w:fldCharType="separate"/>
      </w:r>
      <w:r w:rsidRPr="00822B39">
        <w:rPr>
          <w:rStyle w:val="Hyperlink"/>
          <w:sz w:val="16"/>
        </w:rPr>
        <w:t>24</w:t>
      </w:r>
      <w:r w:rsidRPr="00822B39">
        <w:rPr>
          <w:sz w:val="16"/>
        </w:rPr>
        <w:fldChar w:fldCharType="end"/>
      </w:r>
      <w:bookmarkEnd w:id="75"/>
      <w:r w:rsidRPr="00822B39">
        <w:rPr>
          <w:sz w:val="16"/>
        </w:rPr>
        <w:t>] International linkages also play their part in civil wars. `Bad governance (political underdevelopment) is made, not born and ''we'' (in the North) play a part in creating and maintaining it.' [</w:t>
      </w:r>
      <w:bookmarkStart w:id="76" w:name="bodyftn25"/>
      <w:r w:rsidRPr="00822B39">
        <w:rPr>
          <w:sz w:val="16"/>
        </w:rPr>
        <w:fldChar w:fldCharType="begin"/>
      </w:r>
      <w:r w:rsidRPr="00822B39">
        <w:rPr>
          <w:sz w:val="16"/>
        </w:rPr>
        <w:instrText xml:space="preserve"> HYPERLINK "https://www.ukessays.com/essays/politics/does-poverty-cause-war-politics-essay.php" \l "ftn25" </w:instrText>
      </w:r>
      <w:r w:rsidRPr="00822B39">
        <w:rPr>
          <w:sz w:val="16"/>
        </w:rPr>
        <w:fldChar w:fldCharType="separate"/>
      </w:r>
      <w:r w:rsidRPr="00822B39">
        <w:rPr>
          <w:rStyle w:val="Hyperlink"/>
          <w:sz w:val="16"/>
        </w:rPr>
        <w:t>25</w:t>
      </w:r>
      <w:r w:rsidRPr="00822B39">
        <w:rPr>
          <w:sz w:val="16"/>
        </w:rPr>
        <w:fldChar w:fldCharType="end"/>
      </w:r>
      <w:bookmarkEnd w:id="76"/>
      <w:r w:rsidRPr="00822B39">
        <w:rPr>
          <w:sz w:val="16"/>
        </w:rPr>
        <w:t xml:space="preserve">] Structural adjustment and trade deregulation stemming from international policies cause exclusion and grievance. </w:t>
      </w:r>
      <w:r w:rsidRPr="00822B39">
        <w:rPr>
          <w:rStyle w:val="StyleUnderline"/>
        </w:rPr>
        <w:t>For instance</w:t>
      </w:r>
      <w:r w:rsidRPr="00822B39">
        <w:rPr>
          <w:sz w:val="16"/>
        </w:rPr>
        <w:t xml:space="preserve">, liberalization </w:t>
      </w:r>
      <w:r w:rsidRPr="00822B39">
        <w:rPr>
          <w:rStyle w:val="StyleUnderline"/>
        </w:rPr>
        <w:t>in Sri Lanka</w:t>
      </w:r>
      <w:r w:rsidRPr="00822B39">
        <w:rPr>
          <w:sz w:val="16"/>
        </w:rPr>
        <w:t xml:space="preserve"> devastated peasant farming </w:t>
      </w:r>
      <w:r w:rsidRPr="00822B39">
        <w:rPr>
          <w:rStyle w:val="StyleUnderline"/>
        </w:rPr>
        <w:t>and</w:t>
      </w:r>
      <w:r w:rsidRPr="00822B39">
        <w:rPr>
          <w:sz w:val="16"/>
        </w:rPr>
        <w:t xml:space="preserve"> horticulture </w:t>
      </w:r>
      <w:r w:rsidRPr="00822B39">
        <w:rPr>
          <w:rStyle w:val="StyleUnderline"/>
        </w:rPr>
        <w:t>in the Tamil North East</w:t>
      </w:r>
      <w:r w:rsidRPr="00822B39">
        <w:rPr>
          <w:sz w:val="16"/>
        </w:rPr>
        <w:t>. [</w:t>
      </w:r>
      <w:bookmarkStart w:id="77" w:name="bodyftn26"/>
      <w:r w:rsidRPr="00822B39">
        <w:rPr>
          <w:sz w:val="16"/>
        </w:rPr>
        <w:fldChar w:fldCharType="begin"/>
      </w:r>
      <w:r w:rsidRPr="00822B39">
        <w:rPr>
          <w:sz w:val="16"/>
        </w:rPr>
        <w:instrText xml:space="preserve"> HYPERLINK "https://www.ukessays.com/essays/politics/does-poverty-cause-war-politics-essay.php" \l "ftn26" </w:instrText>
      </w:r>
      <w:r w:rsidRPr="00822B39">
        <w:rPr>
          <w:sz w:val="16"/>
        </w:rPr>
        <w:fldChar w:fldCharType="separate"/>
      </w:r>
      <w:r w:rsidRPr="00822B39">
        <w:rPr>
          <w:rStyle w:val="Hyperlink"/>
          <w:sz w:val="16"/>
        </w:rPr>
        <w:t>26</w:t>
      </w:r>
      <w:r w:rsidRPr="00822B39">
        <w:rPr>
          <w:sz w:val="16"/>
        </w:rPr>
        <w:fldChar w:fldCharType="end"/>
      </w:r>
      <w:bookmarkEnd w:id="77"/>
      <w:r w:rsidRPr="00822B39">
        <w:rPr>
          <w:sz w:val="16"/>
        </w:rPr>
        <w:t>] 'Poor societies are at risk of falling into no-exit cycles of conflict in which ineffective governance, societal warfare, humanitarian crises, and the lack of development perpetually chase one another'. [</w:t>
      </w:r>
      <w:bookmarkStart w:id="78" w:name="bodyftn27"/>
      <w:r w:rsidRPr="00822B39">
        <w:rPr>
          <w:sz w:val="16"/>
        </w:rPr>
        <w:fldChar w:fldCharType="begin"/>
      </w:r>
      <w:r w:rsidRPr="00822B39">
        <w:rPr>
          <w:sz w:val="16"/>
        </w:rPr>
        <w:instrText xml:space="preserve"> HYPERLINK "https://www.ukessays.com/essays/politics/does-poverty-cause-war-politics-essay.php" \l "ftn27" </w:instrText>
      </w:r>
      <w:r w:rsidRPr="00822B39">
        <w:rPr>
          <w:sz w:val="16"/>
        </w:rPr>
        <w:fldChar w:fldCharType="separate"/>
      </w:r>
      <w:r w:rsidRPr="00822B39">
        <w:rPr>
          <w:rStyle w:val="Hyperlink"/>
          <w:sz w:val="16"/>
        </w:rPr>
        <w:t>27</w:t>
      </w:r>
      <w:r w:rsidRPr="00822B39">
        <w:rPr>
          <w:sz w:val="16"/>
        </w:rPr>
        <w:fldChar w:fldCharType="end"/>
      </w:r>
      <w:bookmarkEnd w:id="78"/>
      <w:r w:rsidRPr="00822B39">
        <w:rPr>
          <w:sz w:val="16"/>
        </w:rPr>
        <w:t xml:space="preserve">] The dynamics of historical developments cannot be ignored in causing grievances. </w:t>
      </w:r>
      <w:r w:rsidRPr="00822B39">
        <w:rPr>
          <w:rStyle w:val="StyleUnderline"/>
        </w:rPr>
        <w:t>Many of today's conflicts date back to the</w:t>
      </w:r>
      <w:r w:rsidRPr="00822B39">
        <w:rPr>
          <w:sz w:val="16"/>
        </w:rPr>
        <w:t xml:space="preserve"> colonial era and </w:t>
      </w:r>
      <w:r w:rsidRPr="00822B39">
        <w:rPr>
          <w:rStyle w:val="StyleUnderline"/>
        </w:rPr>
        <w:t>marginalisation of poor. For instance, Rwanda</w:t>
      </w:r>
      <w:r w:rsidRPr="00822B39">
        <w:rPr>
          <w:sz w:val="16"/>
        </w:rPr>
        <w:t xml:space="preserve"> crisis is an outcome of failed development policies of past decades. [</w:t>
      </w:r>
      <w:bookmarkStart w:id="79" w:name="bodyftn28"/>
      <w:r w:rsidRPr="00822B39">
        <w:rPr>
          <w:sz w:val="16"/>
        </w:rPr>
        <w:fldChar w:fldCharType="begin"/>
      </w:r>
      <w:r w:rsidRPr="00822B39">
        <w:rPr>
          <w:sz w:val="16"/>
        </w:rPr>
        <w:instrText xml:space="preserve"> HYPERLINK "https://www.ukessays.com/essays/politics/does-poverty-cause-war-politics-essay.php" \l "ftn28" </w:instrText>
      </w:r>
      <w:r w:rsidRPr="00822B39">
        <w:rPr>
          <w:sz w:val="16"/>
        </w:rPr>
        <w:fldChar w:fldCharType="separate"/>
      </w:r>
      <w:r w:rsidRPr="00822B39">
        <w:rPr>
          <w:rStyle w:val="Hyperlink"/>
          <w:sz w:val="16"/>
        </w:rPr>
        <w:t>28</w:t>
      </w:r>
      <w:r w:rsidRPr="00822B39">
        <w:rPr>
          <w:sz w:val="16"/>
        </w:rPr>
        <w:fldChar w:fldCharType="end"/>
      </w:r>
      <w:bookmarkEnd w:id="79"/>
      <w:r w:rsidRPr="00822B39">
        <w:rPr>
          <w:sz w:val="16"/>
        </w:rPr>
        <w:t xml:space="preserve">] Poverty, starvation and inequity of the Irish famines affected Anglo-Irish relations. The ill-treatment, drawing, redrawing of borders of the Middle East by the West during colonial times did not spark a rebellion in the 19th century but gradually developed an animosity between the two factions. </w:t>
      </w:r>
      <w:r w:rsidRPr="00822B39">
        <w:rPr>
          <w:rStyle w:val="StyleUnderline"/>
        </w:rPr>
        <w:t>When a long term grievance interacts with economic and political agendas, it can lead to war</w:t>
      </w:r>
      <w:r w:rsidRPr="00822B39">
        <w:rPr>
          <w:sz w:val="16"/>
        </w:rPr>
        <w:t>. [</w:t>
      </w:r>
      <w:bookmarkStart w:id="80" w:name="bodyftn29"/>
      <w:r w:rsidRPr="00822B39">
        <w:rPr>
          <w:sz w:val="16"/>
        </w:rPr>
        <w:fldChar w:fldCharType="begin"/>
      </w:r>
      <w:r w:rsidRPr="00822B39">
        <w:rPr>
          <w:sz w:val="16"/>
        </w:rPr>
        <w:instrText xml:space="preserve"> HYPERLINK "https://www.ukessays.com/essays/politics/does-poverty-cause-war-politics-essay.php" \l "ftn29" </w:instrText>
      </w:r>
      <w:r w:rsidRPr="00822B39">
        <w:rPr>
          <w:sz w:val="16"/>
        </w:rPr>
        <w:fldChar w:fldCharType="separate"/>
      </w:r>
      <w:r w:rsidRPr="00822B39">
        <w:rPr>
          <w:rStyle w:val="Hyperlink"/>
          <w:sz w:val="16"/>
        </w:rPr>
        <w:t>29</w:t>
      </w:r>
      <w:r w:rsidRPr="00822B39">
        <w:rPr>
          <w:sz w:val="16"/>
        </w:rPr>
        <w:fldChar w:fldCharType="end"/>
      </w:r>
      <w:bookmarkEnd w:id="80"/>
      <w:r w:rsidRPr="00822B39">
        <w:rPr>
          <w:sz w:val="16"/>
        </w:rPr>
        <w:t xml:space="preserve">] </w:t>
      </w:r>
    </w:p>
    <w:p w:rsidR="00831743" w:rsidRDefault="00831743" w:rsidP="00E65063"/>
    <w:p w:rsidR="00125A1B" w:rsidRPr="00F933AF" w:rsidRDefault="00125A1B" w:rsidP="00125A1B">
      <w:pPr>
        <w:pStyle w:val="Heading3"/>
        <w:rPr>
          <w:rFonts w:cs="Calibri"/>
        </w:rPr>
      </w:pPr>
      <w:r w:rsidRPr="00F933AF">
        <w:rPr>
          <w:rFonts w:cs="Calibri"/>
        </w:rPr>
        <w:t>AT: Public Charge Good</w:t>
      </w:r>
    </w:p>
    <w:p w:rsidR="00125A1B" w:rsidRPr="00F933AF" w:rsidRDefault="00125A1B" w:rsidP="00125A1B">
      <w:pPr>
        <w:pStyle w:val="Heading4"/>
        <w:rPr>
          <w:rFonts w:cs="Calibri"/>
        </w:rPr>
      </w:pPr>
      <w:r w:rsidRPr="00F933AF">
        <w:rPr>
          <w:rFonts w:cs="Calibri"/>
        </w:rPr>
        <w:t>Public charge exclusion fails to ensure only the best immigrants come- main cause for denial of immigrant healthcare and basic liberties</w:t>
      </w:r>
    </w:p>
    <w:p w:rsidR="00125A1B" w:rsidRPr="00F933AF" w:rsidRDefault="00125A1B" w:rsidP="00125A1B">
      <w:pPr>
        <w:rPr>
          <w:rFonts w:cs="Calibri"/>
        </w:rPr>
      </w:pPr>
      <w:r w:rsidRPr="00F933AF">
        <w:rPr>
          <w:rStyle w:val="Style13ptBold"/>
          <w:rFonts w:cs="Calibri"/>
        </w:rPr>
        <w:t>Lister 10</w:t>
      </w:r>
      <w:r w:rsidRPr="00F933AF">
        <w:rPr>
          <w:rFonts w:cs="Calibri"/>
        </w:rPr>
        <w:t xml:space="preserve"> (MATTHEW LISTER, PhD in philosophy from the University of Pennsylvania, law degree from the University of Pennsylvania, professor of business and law at Deakin University, November 2010, “IMMIGRATION, ASSOCIATION, AND THE FAMILY”, Law and Philosophy, Vol. 29, No. 6, Springer, JSTOR)/CWB</w:t>
      </w:r>
    </w:p>
    <w:p w:rsidR="00125A1B" w:rsidRPr="00F933AF" w:rsidRDefault="00125A1B" w:rsidP="00125A1B">
      <w:pPr>
        <w:rPr>
          <w:rStyle w:val="Emphasis"/>
          <w:rFonts w:cs="Calibri"/>
        </w:rPr>
      </w:pPr>
      <w:r w:rsidRPr="00F933AF">
        <w:rPr>
          <w:rFonts w:cs="Calibri"/>
          <w:sz w:val="16"/>
        </w:rPr>
        <w:t xml:space="preserve">Additionally, </w:t>
      </w:r>
      <w:r w:rsidRPr="00F933AF">
        <w:rPr>
          <w:rStyle w:val="StyleUnderline"/>
          <w:rFonts w:cs="Calibri"/>
        </w:rPr>
        <w:t>other factors, not directly related to the rights of association held by society as an association, but rather relating to the need to maintain reciprocity within the state among members, will further place limits on family-based immigration</w:t>
      </w:r>
      <w:r w:rsidRPr="00F933AF">
        <w:rPr>
          <w:rFonts w:cs="Calibri"/>
          <w:sz w:val="16"/>
        </w:rPr>
        <w:t xml:space="preserve">. In what follows I will first look at how the </w:t>
      </w:r>
      <w:r w:rsidRPr="00F933AF">
        <w:rPr>
          <w:rStyle w:val="StyleUnderline"/>
          <w:rFonts w:cs="Calibri"/>
        </w:rPr>
        <w:t xml:space="preserve">need to maintain reciprocity within the state may place some limits on family-based immigration rights. </w:t>
      </w:r>
      <w:r w:rsidRPr="00F933AF">
        <w:rPr>
          <w:rFonts w:cs="Calibri"/>
          <w:sz w:val="16"/>
        </w:rPr>
        <w:t xml:space="preserve">Secondly, I will attempt to establish how broad the right to family-based immigration ought to be. </w:t>
      </w:r>
      <w:r w:rsidRPr="00F933AF">
        <w:rPr>
          <w:rStyle w:val="StyleUnderline"/>
          <w:rFonts w:cs="Calibri"/>
        </w:rPr>
        <w:t>If, as argued by Rawls and others, reciprocity among citizens is a condition on (domestic) justice, then maintaining reciprocity may be reasonable grounds for limiting immigration. That is, if allowing in immigrants would be expected to make those in the country worse off than they would be without allowing in the immigrants (after relevant considerations of global justice are accounted for - here I again assume some form of modest cosmopolitanism), then this might be grounds for a state to limit immigration. This would be the case if immigrants were expected to use more resources than they produced, for example</w:t>
      </w:r>
      <w:r w:rsidRPr="00F933AF">
        <w:rPr>
          <w:rStyle w:val="Emphasis"/>
          <w:rFonts w:cs="Calibri"/>
        </w:rPr>
        <w:t>. Rules to prevent such cases are wide-spread in western countries, all of which exclude would-be immigrants who are likely to become public charges</w:t>
      </w:r>
      <w:r w:rsidRPr="00F933AF">
        <w:rPr>
          <w:rStyle w:val="StyleUnderline"/>
          <w:rFonts w:cs="Calibri"/>
        </w:rPr>
        <w:t xml:space="preserve">.64 Such rules are, I shall, for now, assume, largely acceptable, especially when placed within the context of the duty of assistance towards burdened societies and duty to provide protection for refugees.65 </w:t>
      </w:r>
      <w:r w:rsidRPr="00F933AF">
        <w:rPr>
          <w:rFonts w:cs="Calibri"/>
          <w:sz w:val="16"/>
        </w:rPr>
        <w:t xml:space="preserve">The question that remains is how this requirement for reciprocity affects family-based immigration. The U.S. addresses this issue by requiring that a citizen (or permanent resident) who wishes to bring in family members must be able to support his or her family at 125% of the poverty level for a family of the given size.66 This may be done via evidence of employment, proof of assets, or, if the person seeking to bring in her family does not meet this level on her own, by means of a third-party guarantor. Furthermore, </w:t>
      </w:r>
      <w:r w:rsidRPr="00F933AF">
        <w:rPr>
          <w:rStyle w:val="Emphasis"/>
          <w:rFonts w:cs="Calibri"/>
        </w:rPr>
        <w:t>the petitioner must promise to maintain this level of support for the would-be immigrant for at least five years</w:t>
      </w:r>
      <w:r w:rsidRPr="00F933AF">
        <w:rPr>
          <w:rStyle w:val="StyleUnderline"/>
          <w:rFonts w:cs="Calibri"/>
        </w:rPr>
        <w:t xml:space="preserve">.67 </w:t>
      </w:r>
      <w:proofErr w:type="gramStart"/>
      <w:r w:rsidRPr="00F933AF">
        <w:rPr>
          <w:rStyle w:val="StyleUnderline"/>
          <w:rFonts w:cs="Calibri"/>
        </w:rPr>
        <w:t>This</w:t>
      </w:r>
      <w:proofErr w:type="gramEnd"/>
      <w:r w:rsidRPr="00F933AF">
        <w:rPr>
          <w:rStyle w:val="StyleUnderline"/>
          <w:rFonts w:cs="Calibri"/>
        </w:rPr>
        <w:t xml:space="preserve"> rule has two practical effects. First, if a citizen is unable to meet this requirement she cannot successfully petition to bring in her foreign-born non-citizen family members.68 Secondly, once the foreign family members are in the US, this rule makes it difficult for the foreign-born family member to qualify for means-tested government assistance, since the assets of the sponsor are deemed to be available to the immigrant.69</w:t>
      </w:r>
      <w:r w:rsidRPr="00F933AF">
        <w:rPr>
          <w:rFonts w:cs="Calibri"/>
          <w:sz w:val="16"/>
        </w:rPr>
        <w:t xml:space="preserve"> When </w:t>
      </w:r>
      <w:r w:rsidRPr="00F933AF">
        <w:rPr>
          <w:rStyle w:val="Emphasis"/>
          <w:rFonts w:cs="Calibri"/>
        </w:rPr>
        <w:t>joined with restrictions on access to public benefits to new immigrants</w:t>
      </w:r>
      <w:r w:rsidRPr="00F933AF">
        <w:rPr>
          <w:rFonts w:cs="Calibri"/>
          <w:sz w:val="16"/>
        </w:rPr>
        <w:t xml:space="preserve"> (when these are needed to ensure reciprocity - this need not always be the case) such measures can help ensure that allowing family-based immigration does not violate reciprocity among citizens. </w:t>
      </w:r>
      <w:r w:rsidRPr="00F933AF">
        <w:rPr>
          <w:rStyle w:val="Emphasis"/>
          <w:rFonts w:cs="Calibri"/>
        </w:rPr>
        <w:t>Measures such as these cannot, of course, ensure that family-based immigration will bring the largest possible benefit to the receiving country that any immigration policy could. This will most likely not be the case</w:t>
      </w:r>
      <w:r w:rsidRPr="00F933AF">
        <w:rPr>
          <w:rFonts w:cs="Calibri"/>
          <w:sz w:val="16"/>
        </w:rPr>
        <w:t xml:space="preserve">. But, to demand that would be to ask too much. While certain measures may be taken to ensure that no citizens are used as a mere means to the support of another's choices, </w:t>
      </w:r>
      <w:r w:rsidRPr="00F933AF">
        <w:rPr>
          <w:rStyle w:val="Emphasis"/>
          <w:rFonts w:cs="Calibri"/>
        </w:rPr>
        <w:t>there is no duty of justice to promote the highest amount of aggregate welfare when this would interfere with the basic liberties.</w:t>
      </w:r>
    </w:p>
    <w:p w:rsidR="00125A1B" w:rsidRPr="00F933AF" w:rsidRDefault="00125A1B" w:rsidP="00125A1B">
      <w:pPr>
        <w:rPr>
          <w:rFonts w:cs="Calibri"/>
        </w:rPr>
      </w:pPr>
    </w:p>
    <w:p w:rsidR="00FD2128" w:rsidRDefault="00FD2128" w:rsidP="00FD2128">
      <w:pPr>
        <w:pStyle w:val="Heading3"/>
        <w:rPr>
          <w:rFonts w:cs="Calibri"/>
        </w:rPr>
      </w:pPr>
      <w:r>
        <w:rPr>
          <w:rFonts w:cs="Calibri"/>
        </w:rPr>
        <w:t>AT: Trump Rule Won’t Pass</w:t>
      </w:r>
    </w:p>
    <w:p w:rsidR="001931F4" w:rsidRPr="00F933AF" w:rsidRDefault="001931F4" w:rsidP="001931F4">
      <w:pPr>
        <w:pStyle w:val="Heading4"/>
        <w:rPr>
          <w:rFonts w:cs="Calibri"/>
        </w:rPr>
      </w:pPr>
      <w:r w:rsidRPr="00F933AF">
        <w:rPr>
          <w:rFonts w:cs="Calibri"/>
        </w:rPr>
        <w:t>Even if it wasn’t enforced before Trump, public charge language commits to the abled, white norm- new rule coming now</w:t>
      </w:r>
    </w:p>
    <w:p w:rsidR="001931F4" w:rsidRPr="00F933AF" w:rsidRDefault="001931F4" w:rsidP="001931F4">
      <w:pPr>
        <w:rPr>
          <w:rFonts w:cs="Calibri"/>
        </w:rPr>
      </w:pPr>
      <w:r w:rsidRPr="00F933AF">
        <w:rPr>
          <w:rStyle w:val="Style13ptBold"/>
          <w:rFonts w:cs="Calibri"/>
        </w:rPr>
        <w:t>Perez and Dunkelberg 6/1</w:t>
      </w:r>
      <w:r w:rsidRPr="00F933AF">
        <w:rPr>
          <w:rFonts w:cs="Calibri"/>
        </w:rPr>
        <w:t xml:space="preserve"> (Katherine Perez, Ph.D. in Disability Studies at the University of Illinois at Chicago, law degree from UCLA, co-founder of the National Coalition for Latinxs with Disabilities, awarded the University Centers for Excellence in Developmental Disabilities Diversity (UCEDD) Fellowship, the American Association of People with Disabilities Paul G. Hearne Leadership Award, member of the California Bar, former Congressional Hispanic Caucus Institute Fellow, Anne Dunkelberg, Associate Director for the Center for Public Policy Priorities, founding member of the Texas Children’s Health Coverage Coalition, 6/1/18, “Immigration and Disability: The "Public Charge" Rule”, http://www.latinxdisabilitycoalition.com/immigration-and-disability.html)/CWB</w:t>
      </w:r>
    </w:p>
    <w:p w:rsidR="001931F4" w:rsidRPr="00F933AF" w:rsidRDefault="001931F4" w:rsidP="001931F4">
      <w:pPr>
        <w:rPr>
          <w:rFonts w:cs="Calibri"/>
          <w:sz w:val="16"/>
        </w:rPr>
      </w:pPr>
      <w:r w:rsidRPr="00F933AF">
        <w:rPr>
          <w:rStyle w:val="StyleUnderline"/>
          <w:rFonts w:cs="Calibri"/>
        </w:rPr>
        <w:t>Disability has been used as a justification to exclude historically in U.S. immigration policy. The 1882 Act to Regulate Immigration prohibited any “lunatic, idiot, or any person unable to take care of himself or herself without becoming a public charge.” In 1907, immigration law denied entry to the “mental or physically defective…” and to anyone with “any mental abnormality whatever…” and provided power to inspectors who could justify the exclusion of “defective races.”</w:t>
      </w:r>
      <w:r w:rsidRPr="00F933AF">
        <w:rPr>
          <w:rFonts w:cs="Calibri"/>
          <w:sz w:val="16"/>
        </w:rPr>
        <w:t xml:space="preserve"> (Baynton, 2005). </w:t>
      </w:r>
      <w:r w:rsidRPr="00F933AF">
        <w:rPr>
          <w:rStyle w:val="StyleUnderline"/>
          <w:rFonts w:cs="Calibri"/>
        </w:rPr>
        <w:t>This exclusion at the border was part of the national project of eugenics, an effort to create a “superior national race”</w:t>
      </w:r>
      <w:r w:rsidRPr="00F933AF">
        <w:rPr>
          <w:rFonts w:cs="Calibri"/>
          <w:sz w:val="16"/>
        </w:rPr>
        <w:t xml:space="preserve">. (Hirschmann &amp; Linker, 2015). </w:t>
      </w:r>
      <w:r w:rsidRPr="00F933AF">
        <w:rPr>
          <w:rStyle w:val="Emphasis"/>
          <w:rFonts w:cs="Calibri"/>
        </w:rPr>
        <w:t>Immigration law today explicitly maintains the “public charge” language. Though in practice it has not been strictly enforced, it has demonstrated the latent commitment in the U.S. to a historical and cultural value of an abled, white norm</w:t>
      </w:r>
      <w:r w:rsidRPr="00F933AF">
        <w:rPr>
          <w:rStyle w:val="StyleUnderline"/>
          <w:rFonts w:cs="Calibri"/>
        </w:rPr>
        <w:t>. Under Section 212(a</w:t>
      </w:r>
      <w:proofErr w:type="gramStart"/>
      <w:r w:rsidRPr="00F933AF">
        <w:rPr>
          <w:rStyle w:val="StyleUnderline"/>
          <w:rFonts w:cs="Calibri"/>
        </w:rPr>
        <w:t>)(</w:t>
      </w:r>
      <w:proofErr w:type="gramEnd"/>
      <w:r w:rsidRPr="00F933AF">
        <w:rPr>
          <w:rStyle w:val="StyleUnderline"/>
          <w:rFonts w:cs="Calibri"/>
        </w:rPr>
        <w:t>4) of the Immigration and Nationality Act (INA), an individual seeking admission to the United States or seeking to adjust status to that of an individual lawfully admitted for permanent residence (green card) is inadmissible if the individual, "at the time of application for admission or adjustment of status, is likely at any time to become a public charge."</w:t>
      </w:r>
      <w:r w:rsidRPr="00F933AF">
        <w:rPr>
          <w:rFonts w:cs="Calibri"/>
          <w:sz w:val="16"/>
        </w:rPr>
        <w:t xml:space="preserve"> (“Public Charge” Department of Homeland Security). </w:t>
      </w:r>
      <w:r w:rsidRPr="00F933AF">
        <w:rPr>
          <w:rStyle w:val="StyleUnderline"/>
          <w:rFonts w:cs="Calibri"/>
        </w:rPr>
        <w:t>The law also explicitly prohibits individuals with “physical and mental disorders” who have “harmful behaviors”</w:t>
      </w:r>
      <w:r w:rsidRPr="00F933AF">
        <w:rPr>
          <w:rFonts w:cs="Calibri"/>
          <w:sz w:val="16"/>
        </w:rPr>
        <w:t xml:space="preserve"> that pose a threat to oneself or others. (Immigration and Nationality Act 8 U.S.C. 1182 § 212(a</w:t>
      </w:r>
      <w:proofErr w:type="gramStart"/>
      <w:r w:rsidRPr="00F933AF">
        <w:rPr>
          <w:rFonts w:cs="Calibri"/>
          <w:sz w:val="16"/>
        </w:rPr>
        <w:t>)(</w:t>
      </w:r>
      <w:proofErr w:type="gramEnd"/>
      <w:r w:rsidRPr="00F933AF">
        <w:rPr>
          <w:rFonts w:cs="Calibri"/>
          <w:sz w:val="16"/>
        </w:rPr>
        <w:t xml:space="preserve">2)(A)(iii).) </w:t>
      </w:r>
      <w:r w:rsidRPr="00F933AF">
        <w:rPr>
          <w:rStyle w:val="StyleUnderline"/>
          <w:rFonts w:cs="Calibri"/>
        </w:rPr>
        <w:t xml:space="preserve">It was leaked early this year that new </w:t>
      </w:r>
      <w:r w:rsidRPr="00F933AF">
        <w:rPr>
          <w:rStyle w:val="Emphasis"/>
          <w:rFonts w:cs="Calibri"/>
        </w:rPr>
        <w:t>DHS rules will be enacted (after public comment) that will penalize documented immigrants (immigrants applying for citizenship or adjustment of status) who use non-cash benefit social welfare programs (i.e. Medicaid, SNAP) by making them a priority for deportation</w:t>
      </w:r>
      <w:r w:rsidRPr="00F933AF">
        <w:rPr>
          <w:rStyle w:val="StyleUnderline"/>
          <w:rFonts w:cs="Calibri"/>
        </w:rPr>
        <w:t>.</w:t>
      </w:r>
      <w:r w:rsidRPr="00F933AF">
        <w:rPr>
          <w:rFonts w:cs="Calibri"/>
          <w:sz w:val="16"/>
        </w:rPr>
        <w:t xml:space="preserve"> (Department of Homeland Security, 8 CFR Parts 103, 212, 213, 214, [237], and 248 [CIS No. 2499-10; DHS Docket No. USCIS-2010-0012]). Immigrants with disabilities’ and their families' lives are at stake. Panelists will explain "public charge" and address the advocacy efforts that are being put into place (namely a concerted effort to flood DHS with comments on the proposed rule in order to slow or shut the process down). </w:t>
      </w:r>
    </w:p>
    <w:p w:rsidR="001931F4" w:rsidRPr="001931F4" w:rsidRDefault="001931F4" w:rsidP="001931F4"/>
    <w:p w:rsidR="00DF1FAC" w:rsidRPr="00020FC7" w:rsidRDefault="00DF1FAC" w:rsidP="00DF1FAC">
      <w:pPr>
        <w:pStyle w:val="Heading4"/>
      </w:pPr>
      <w:r w:rsidRPr="00020FC7">
        <w:t>Trump’s rule will be published for notice-and-comment within a month</w:t>
      </w:r>
    </w:p>
    <w:p w:rsidR="00DF1FAC" w:rsidRPr="00020FC7" w:rsidRDefault="00DF1FAC" w:rsidP="00DF1FAC">
      <w:r w:rsidRPr="00020FC7">
        <w:rPr>
          <w:rStyle w:val="Style13ptBold"/>
        </w:rPr>
        <w:t>Hesson, 18</w:t>
      </w:r>
      <w:proofErr w:type="gramStart"/>
      <w:r w:rsidRPr="00020FC7">
        <w:rPr>
          <w:rStyle w:val="Style13ptBold"/>
        </w:rPr>
        <w:t xml:space="preserve">,  </w:t>
      </w:r>
      <w:r w:rsidRPr="00020FC7">
        <w:t>(</w:t>
      </w:r>
      <w:proofErr w:type="gramEnd"/>
      <w:r w:rsidRPr="00020FC7">
        <w:t>Ted Hesson, ‘Educator spring’ spawns candidate wave, 7-5-2018, POLITICO, https://www.politico.com/newsletters/morning-shift/2018/07/05/educator-spring-spawns-candidate-wave-271358)</w:t>
      </w:r>
      <w:r>
        <w:t>//AO</w:t>
      </w:r>
    </w:p>
    <w:p w:rsidR="00DF1FAC" w:rsidRPr="00020FC7" w:rsidRDefault="00DF1FAC" w:rsidP="00DF1FAC">
      <w:pPr>
        <w:rPr>
          <w:sz w:val="16"/>
        </w:rPr>
      </w:pPr>
      <w:r w:rsidRPr="00020FC7">
        <w:rPr>
          <w:sz w:val="16"/>
        </w:rPr>
        <w:t xml:space="preserve">Public charge rule: </w:t>
      </w:r>
      <w:r w:rsidRPr="00020FC7">
        <w:rPr>
          <w:u w:val="single"/>
        </w:rPr>
        <w:t>The Trump administration’s so-called “public charge” proposed rule is expected to be published this month, according to the spring regulatory agenda.</w:t>
      </w:r>
      <w:r w:rsidRPr="00020FC7">
        <w:rPr>
          <w:sz w:val="16"/>
        </w:rPr>
        <w:t xml:space="preserve"> The rule would make it easier to deny green card applications filed by immigrants who avail themselves of welfare or public benefits, according to draft copies obtained by the Washington Post and Reuters. Advocates for low-income families oppose the regulation, but it could find backers among immigration hawks and welfare opponents.</w:t>
      </w:r>
    </w:p>
    <w:p w:rsidR="00DF1FAC" w:rsidRPr="00020FC7" w:rsidRDefault="00DF1FAC" w:rsidP="00DF1FAC">
      <w:pPr>
        <w:rPr>
          <w:sz w:val="16"/>
        </w:rPr>
      </w:pPr>
    </w:p>
    <w:p w:rsidR="00DF1FAC" w:rsidRPr="00020FC7" w:rsidRDefault="00DF1FAC" w:rsidP="00DF1FAC">
      <w:pPr>
        <w:pStyle w:val="Heading4"/>
      </w:pPr>
      <w:r w:rsidRPr="00020FC7">
        <w:t>That’ll finish in 30 days</w:t>
      </w:r>
    </w:p>
    <w:p w:rsidR="00DF1FAC" w:rsidRPr="00020FC7" w:rsidRDefault="00DF1FAC" w:rsidP="00DF1FAC">
      <w:r w:rsidRPr="00020FC7">
        <w:rPr>
          <w:rStyle w:val="Style13ptBold"/>
        </w:rPr>
        <w:t>Us Legal, Inc. No Date</w:t>
      </w:r>
      <w:proofErr w:type="gramStart"/>
      <w:r w:rsidRPr="00020FC7">
        <w:t>,  (</w:t>
      </w:r>
      <w:proofErr w:type="gramEnd"/>
      <w:r w:rsidRPr="00020FC7">
        <w:t>Us Legal, Inc., Length of Comment Period – Administrative Laws, No Publication, https://administrativelaw.uslegal.com/administrative-agency-rulemaking/length-of-comment-period/)</w:t>
      </w:r>
      <w:r>
        <w:t>//AO</w:t>
      </w:r>
    </w:p>
    <w:p w:rsidR="00DF1FAC" w:rsidRPr="00020FC7" w:rsidRDefault="00DF1FAC" w:rsidP="00DF1FAC">
      <w:pPr>
        <w:rPr>
          <w:u w:val="single"/>
        </w:rPr>
      </w:pPr>
      <w:r w:rsidRPr="00020FC7">
        <w:rPr>
          <w:sz w:val="16"/>
        </w:rPr>
        <w:t xml:space="preserve">According to Federal Administrative Procedure Act, an agency can state in the notice that the comments must be received by a specified date. Some cutoff margin is required to receive comments. An abbreviated comment period, such as ten days, can be deemed as proper if necessitated by deadlines for agency action. </w:t>
      </w:r>
      <w:r w:rsidRPr="00020FC7">
        <w:rPr>
          <w:u w:val="single"/>
        </w:rPr>
        <w:t>An agency can compensate for an abbreviated comment period by stating that comments received after the effective date of the rule will be considered later</w:t>
      </w:r>
      <w:r w:rsidRPr="00020FC7">
        <w:rPr>
          <w:sz w:val="16"/>
        </w:rPr>
        <w:t>. An agency can re-promulgate the rule after those comments are received. Parties can challenge an agency rule even if they fail to do so during the notice and comment period.[ii] In Fund for Animals v. Frizzell, 402 F. Supp. 35 (D.D.C. 1975), the court observed that the abbreviated comment procedures do not contravene the public participation provisions of the Administrative Procedure Act. The Administrative Procedure Act generally obliges an agency to publish for comment the technical studies and data on which it relies. However, to avoid perpetual cycles of new notice and comment periods, a final rule does not require an additional round of notice and comment even if the final rule relies on data submitted during the comment period</w:t>
      </w:r>
      <w:proofErr w:type="gramStart"/>
      <w:r w:rsidRPr="00020FC7">
        <w:rPr>
          <w:sz w:val="16"/>
        </w:rPr>
        <w:t>.[</w:t>
      </w:r>
      <w:proofErr w:type="gramEnd"/>
      <w:r w:rsidRPr="00020FC7">
        <w:rPr>
          <w:sz w:val="16"/>
        </w:rPr>
        <w:t xml:space="preserve">iii] </w:t>
      </w:r>
      <w:r w:rsidRPr="00020FC7">
        <w:rPr>
          <w:u w:val="single"/>
        </w:rPr>
        <w:t>Although the Administrative Procedures Act does not establish a minimum time period for third parties to submit comments, it was observed in Fleming Cos. v. USDA, 322 F. Supp. 2d 744 (E.D. Tex. 2004), that a thirty day notice and comment period is sufficient.</w:t>
      </w:r>
    </w:p>
    <w:p w:rsidR="00FD2128" w:rsidRPr="00F933AF" w:rsidRDefault="00FD2128" w:rsidP="00FD2128">
      <w:pPr>
        <w:rPr>
          <w:rStyle w:val="StyleUnderline"/>
          <w:rFonts w:cs="Calibri"/>
        </w:rPr>
      </w:pPr>
    </w:p>
    <w:p w:rsidR="00FD2128" w:rsidRPr="00F933AF" w:rsidRDefault="00FD2128" w:rsidP="00FD2128">
      <w:pPr>
        <w:pStyle w:val="Heading4"/>
        <w:rPr>
          <w:rStyle w:val="StyleUnderline"/>
          <w:rFonts w:cs="Calibri"/>
          <w:sz w:val="26"/>
          <w:u w:val="none"/>
        </w:rPr>
      </w:pPr>
      <w:r w:rsidRPr="00F933AF">
        <w:rPr>
          <w:rStyle w:val="StyleUnderline"/>
          <w:rFonts w:cs="Calibri"/>
          <w:sz w:val="26"/>
          <w:u w:val="none"/>
        </w:rPr>
        <w:t>Yes passage – Trump explicitly wants it</w:t>
      </w:r>
    </w:p>
    <w:p w:rsidR="00FD2128" w:rsidRPr="00F933AF" w:rsidRDefault="00FD2128" w:rsidP="00FD2128">
      <w:pPr>
        <w:spacing w:after="0"/>
        <w:rPr>
          <w:rFonts w:cs="Calibri"/>
        </w:rPr>
      </w:pPr>
      <w:r w:rsidRPr="00F933AF">
        <w:rPr>
          <w:rStyle w:val="Style13ptBold"/>
          <w:rFonts w:cs="Calibri"/>
        </w:rPr>
        <w:t>Boyer 6-21</w:t>
      </w:r>
      <w:r w:rsidRPr="00F933AF">
        <w:rPr>
          <w:rFonts w:cs="Calibri"/>
        </w:rPr>
        <w:t xml:space="preserve"> (Dave, White House correspondent for The Washington Times. Washington Times, 6-21-2018. “Trump proposes new immigration rules”) NREM/Lil’ GBN</w:t>
      </w:r>
    </w:p>
    <w:p w:rsidR="00FD2128" w:rsidRPr="00F933AF" w:rsidRDefault="00FD2128" w:rsidP="00FD2128">
      <w:pPr>
        <w:spacing w:after="0"/>
        <w:rPr>
          <w:rFonts w:cs="Calibri"/>
        </w:rPr>
      </w:pPr>
      <w:r w:rsidRPr="00F933AF">
        <w:rPr>
          <w:rFonts w:cs="Calibri"/>
        </w:rPr>
        <w:t>https://www.washingtontimes.com/news/2017/jun/21/donald-trump-proposes-new-immigration-rules/</w:t>
      </w:r>
    </w:p>
    <w:p w:rsidR="00FD2128" w:rsidRPr="00F933AF" w:rsidRDefault="00FD2128" w:rsidP="00FD2128">
      <w:pPr>
        <w:spacing w:after="0"/>
        <w:rPr>
          <w:rStyle w:val="StyleUnderline"/>
          <w:rFonts w:cs="Calibri"/>
        </w:rPr>
      </w:pPr>
      <w:r w:rsidRPr="00F933AF">
        <w:rPr>
          <w:rStyle w:val="StyleUnderline"/>
          <w:rFonts w:cs="Calibri"/>
        </w:rPr>
        <w:t>At a</w:t>
      </w:r>
      <w:r w:rsidRPr="00F933AF">
        <w:rPr>
          <w:rFonts w:cs="Calibri"/>
          <w:sz w:val="16"/>
        </w:rPr>
        <w:t xml:space="preserve"> raucous </w:t>
      </w:r>
      <w:r w:rsidRPr="00F933AF">
        <w:rPr>
          <w:rStyle w:val="StyleUnderline"/>
          <w:rFonts w:cs="Calibri"/>
        </w:rPr>
        <w:t>campaign rally</w:t>
      </w:r>
      <w:r w:rsidRPr="00F933AF">
        <w:rPr>
          <w:rFonts w:cs="Calibri"/>
          <w:sz w:val="16"/>
        </w:rPr>
        <w:t xml:space="preserve"> Wednesday night in Iowa, President </w:t>
      </w:r>
      <w:r w:rsidRPr="00F933AF">
        <w:rPr>
          <w:rStyle w:val="StyleUnderline"/>
          <w:rFonts w:cs="Calibri"/>
        </w:rPr>
        <w:t>Trump proposed new immigration rules that would bar newcomers</w:t>
      </w:r>
      <w:r w:rsidRPr="00F933AF">
        <w:rPr>
          <w:rFonts w:cs="Calibri"/>
          <w:sz w:val="16"/>
        </w:rPr>
        <w:t xml:space="preserve"> to the U.S. </w:t>
      </w:r>
      <w:r w:rsidRPr="00F933AF">
        <w:rPr>
          <w:rStyle w:val="Emphasis"/>
          <w:rFonts w:cs="Calibri"/>
        </w:rPr>
        <w:t>from receiving welfare benefits</w:t>
      </w:r>
      <w:r w:rsidRPr="00F933AF">
        <w:rPr>
          <w:rFonts w:cs="Calibri"/>
          <w:sz w:val="16"/>
        </w:rPr>
        <w:t xml:space="preserve"> for five years. At an event in Cedar Rapids that was partly a victory celebration of Republican wins in several special House elections, Mr. </w:t>
      </w:r>
      <w:r w:rsidRPr="00F933AF">
        <w:rPr>
          <w:rStyle w:val="StyleUnderline"/>
          <w:rFonts w:cs="Calibri"/>
        </w:rPr>
        <w:t>Trump</w:t>
      </w:r>
      <w:r w:rsidRPr="00F933AF">
        <w:rPr>
          <w:rFonts w:cs="Calibri"/>
          <w:sz w:val="16"/>
        </w:rPr>
        <w:t xml:space="preserve"> got the crowd on its feet with tough talk on immigration, </w:t>
      </w:r>
      <w:r w:rsidRPr="00F933AF">
        <w:rPr>
          <w:rStyle w:val="StyleUnderline"/>
          <w:rFonts w:cs="Calibri"/>
        </w:rPr>
        <w:t>saying</w:t>
      </w:r>
      <w:r w:rsidRPr="00F933AF">
        <w:rPr>
          <w:rFonts w:cs="Calibri"/>
          <w:sz w:val="16"/>
        </w:rPr>
        <w:t xml:space="preserve"> other </w:t>
      </w:r>
      <w:r w:rsidRPr="00F933AF">
        <w:rPr>
          <w:rStyle w:val="StyleUnderline"/>
          <w:rFonts w:cs="Calibri"/>
        </w:rPr>
        <w:t>countries don’t treat the U.S. fairly</w:t>
      </w:r>
      <w:r w:rsidRPr="00F933AF">
        <w:rPr>
          <w:rFonts w:cs="Calibri"/>
          <w:sz w:val="16"/>
        </w:rPr>
        <w:t xml:space="preserve"> on cross-border issues. </w:t>
      </w:r>
      <w:r w:rsidRPr="00F933AF">
        <w:rPr>
          <w:rStyle w:val="StyleUnderline"/>
          <w:rFonts w:cs="Calibri"/>
        </w:rPr>
        <w:t xml:space="preserve">“I believe the time has come for new immigration rules which say that those seeking admission into our country must be able to support themselves financially and should not use welfare for a period of at least five years,” </w:t>
      </w:r>
      <w:r w:rsidRPr="00F933AF">
        <w:rPr>
          <w:rFonts w:cs="Calibri"/>
          <w:sz w:val="16"/>
        </w:rPr>
        <w:t>Mr. Trump said to cheers and applause. “</w:t>
      </w:r>
      <w:r w:rsidRPr="00F933AF">
        <w:rPr>
          <w:rStyle w:val="Emphasis"/>
          <w:rFonts w:cs="Calibri"/>
        </w:rPr>
        <w:t>We’ll be putting in legislation to that effect very shortly</w:t>
      </w:r>
      <w:r w:rsidRPr="00F933AF">
        <w:rPr>
          <w:rFonts w:cs="Calibri"/>
          <w:sz w:val="16"/>
        </w:rPr>
        <w:t xml:space="preserve">,” he said. Both of those </w:t>
      </w:r>
      <w:r w:rsidRPr="00F933AF">
        <w:rPr>
          <w:rStyle w:val="StyleUnderline"/>
          <w:rFonts w:cs="Calibri"/>
        </w:rPr>
        <w:t>plans</w:t>
      </w:r>
      <w:r w:rsidRPr="00F933AF">
        <w:rPr>
          <w:rFonts w:cs="Calibri"/>
          <w:sz w:val="16"/>
        </w:rPr>
        <w:t xml:space="preserve"> Mr. Trump talked about </w:t>
      </w:r>
      <w:r w:rsidRPr="00F933AF">
        <w:rPr>
          <w:rStyle w:val="StyleUnderline"/>
          <w:rFonts w:cs="Calibri"/>
        </w:rPr>
        <w:t>are</w:t>
      </w:r>
      <w:r w:rsidRPr="00F933AF">
        <w:rPr>
          <w:rFonts w:cs="Calibri"/>
          <w:sz w:val="16"/>
        </w:rPr>
        <w:t xml:space="preserve"> already </w:t>
      </w:r>
      <w:r w:rsidRPr="00F933AF">
        <w:rPr>
          <w:rStyle w:val="StyleUnderline"/>
          <w:rFonts w:cs="Calibri"/>
        </w:rPr>
        <w:t>enshrined</w:t>
      </w:r>
      <w:r w:rsidRPr="00F933AF">
        <w:rPr>
          <w:rFonts w:cs="Calibri"/>
          <w:sz w:val="16"/>
        </w:rPr>
        <w:t xml:space="preserve"> to some extent </w:t>
      </w:r>
      <w:r w:rsidRPr="00F933AF">
        <w:rPr>
          <w:rStyle w:val="StyleUnderline"/>
          <w:rFonts w:cs="Calibri"/>
        </w:rPr>
        <w:t>in current</w:t>
      </w:r>
      <w:r w:rsidRPr="00F933AF">
        <w:rPr>
          <w:rFonts w:cs="Calibri"/>
          <w:sz w:val="16"/>
        </w:rPr>
        <w:t xml:space="preserve"> law. The 1996 welfare reform law approved by a Republican Congress and signed into law by President Clinton included a five-year bar on immigrants accessing most welfare programs. And </w:t>
      </w:r>
      <w:r w:rsidRPr="00F933AF">
        <w:rPr>
          <w:rStyle w:val="StyleUnderline"/>
          <w:rFonts w:cs="Calibri"/>
        </w:rPr>
        <w:t xml:space="preserve">a prohibition on immigrants becoming public charges has been law for more than a century. But experts say enforcement of both provisions — and particularly the public charge requirement — has been lacking. </w:t>
      </w:r>
    </w:p>
    <w:p w:rsidR="00FD2128" w:rsidRPr="00F933AF" w:rsidRDefault="00FD2128" w:rsidP="00FD2128">
      <w:pPr>
        <w:rPr>
          <w:rFonts w:cs="Calibri"/>
          <w:sz w:val="16"/>
        </w:rPr>
      </w:pPr>
    </w:p>
    <w:p w:rsidR="00FD2128" w:rsidRPr="00F933AF" w:rsidRDefault="00FD2128" w:rsidP="00FD2128">
      <w:pPr>
        <w:pStyle w:val="Heading4"/>
        <w:rPr>
          <w:rFonts w:cs="Calibri"/>
        </w:rPr>
      </w:pPr>
      <w:r w:rsidRPr="00F933AF">
        <w:rPr>
          <w:rFonts w:cs="Calibri"/>
        </w:rPr>
        <w:t>Trump doesn’t need congress and empirically has passed anti-immigrant policies</w:t>
      </w:r>
    </w:p>
    <w:p w:rsidR="00FD2128" w:rsidRPr="00F933AF" w:rsidRDefault="00FD2128" w:rsidP="00FD2128">
      <w:pPr>
        <w:spacing w:after="0"/>
        <w:rPr>
          <w:rFonts w:cs="Calibri"/>
        </w:rPr>
      </w:pPr>
      <w:r w:rsidRPr="00F933AF">
        <w:rPr>
          <w:rStyle w:val="Style13ptBold"/>
          <w:rFonts w:cs="Calibri"/>
        </w:rPr>
        <w:t>Ewing 6-28</w:t>
      </w:r>
      <w:r w:rsidRPr="00F933AF">
        <w:rPr>
          <w:rFonts w:cs="Calibri"/>
        </w:rPr>
        <w:t xml:space="preserve"> (Walter, Ph.D., is an Editor and Writer at the American Immigration Council. American Immigration Council, 6-28-2018, “Re-Definition of ‘Public Charge’ Could Drastically Slash Family Immigration”) NREM/Lil’ GBN</w:t>
      </w:r>
    </w:p>
    <w:p w:rsidR="00FD2128" w:rsidRPr="00F933AF" w:rsidRDefault="00FD2128" w:rsidP="00FD2128">
      <w:pPr>
        <w:spacing w:after="0"/>
        <w:rPr>
          <w:rFonts w:cs="Calibri"/>
        </w:rPr>
      </w:pPr>
      <w:r w:rsidRPr="00F933AF">
        <w:rPr>
          <w:rFonts w:cs="Calibri"/>
        </w:rPr>
        <w:t>http://immigrationimpact.com/2018/06/28/public-charge-slash-family-immigration/</w:t>
      </w:r>
    </w:p>
    <w:p w:rsidR="00FD2128" w:rsidRPr="00F933AF" w:rsidRDefault="00FD2128" w:rsidP="00FD2128">
      <w:pPr>
        <w:rPr>
          <w:rStyle w:val="StyleUnderline"/>
          <w:rFonts w:cs="Calibri"/>
        </w:rPr>
      </w:pPr>
      <w:r w:rsidRPr="00F933AF">
        <w:rPr>
          <w:rFonts w:cs="Calibri"/>
          <w:sz w:val="16"/>
        </w:rPr>
        <w:t xml:space="preserve">The </w:t>
      </w:r>
      <w:r w:rsidRPr="00F933AF">
        <w:rPr>
          <w:rStyle w:val="StyleUnderline"/>
          <w:rFonts w:cs="Calibri"/>
        </w:rPr>
        <w:t>Trump</w:t>
      </w:r>
      <w:r w:rsidRPr="00F933AF">
        <w:rPr>
          <w:rFonts w:cs="Calibri"/>
          <w:sz w:val="16"/>
        </w:rPr>
        <w:t xml:space="preserve"> administration is quietly </w:t>
      </w:r>
      <w:r w:rsidRPr="00F933AF">
        <w:rPr>
          <w:rStyle w:val="StyleUnderline"/>
          <w:rFonts w:cs="Calibri"/>
        </w:rPr>
        <w:t xml:space="preserve">attempting to revamp the U.S. immigration system by </w:t>
      </w:r>
      <w:r w:rsidRPr="00F933AF">
        <w:rPr>
          <w:rStyle w:val="Emphasis"/>
          <w:rFonts w:cs="Calibri"/>
        </w:rPr>
        <w:t>circumventing Congress</w:t>
      </w:r>
      <w:r w:rsidRPr="00F933AF">
        <w:rPr>
          <w:rStyle w:val="StyleUnderline"/>
          <w:rFonts w:cs="Calibri"/>
        </w:rPr>
        <w:t xml:space="preserve"> and changing</w:t>
      </w:r>
      <w:r w:rsidRPr="00F933AF">
        <w:rPr>
          <w:rFonts w:cs="Calibri"/>
          <w:sz w:val="16"/>
        </w:rPr>
        <w:t xml:space="preserve"> the nation’s </w:t>
      </w:r>
      <w:r w:rsidRPr="00F933AF">
        <w:rPr>
          <w:rStyle w:val="StyleUnderline"/>
          <w:rFonts w:cs="Calibri"/>
        </w:rPr>
        <w:t>immigration policies through new federal regulations.</w:t>
      </w:r>
      <w:r w:rsidRPr="00F933AF">
        <w:rPr>
          <w:rFonts w:cs="Calibri"/>
          <w:sz w:val="16"/>
        </w:rPr>
        <w:t xml:space="preserve"> The </w:t>
      </w:r>
      <w:r w:rsidRPr="00F933AF">
        <w:rPr>
          <w:rStyle w:val="StyleUnderline"/>
          <w:rFonts w:cs="Calibri"/>
        </w:rPr>
        <w:t xml:space="preserve">administration has always favored a significant reduction in legal immigration and has </w:t>
      </w:r>
      <w:r w:rsidRPr="00F933AF">
        <w:rPr>
          <w:rStyle w:val="Emphasis"/>
          <w:rFonts w:cs="Calibri"/>
        </w:rPr>
        <w:t>pursued that goal through</w:t>
      </w:r>
      <w:r w:rsidRPr="00F933AF">
        <w:rPr>
          <w:rStyle w:val="StyleUnderline"/>
          <w:rFonts w:cs="Calibri"/>
        </w:rPr>
        <w:t xml:space="preserve"> multiple avenues: </w:t>
      </w:r>
      <w:r w:rsidRPr="00F933AF">
        <w:rPr>
          <w:rStyle w:val="Emphasis"/>
          <w:rFonts w:cs="Calibri"/>
        </w:rPr>
        <w:t>admitting fewer refugees, cutting Temporary Protected Status</w:t>
      </w:r>
      <w:r w:rsidRPr="00F933AF">
        <w:rPr>
          <w:rStyle w:val="StyleUnderline"/>
          <w:rFonts w:cs="Calibri"/>
        </w:rPr>
        <w:t xml:space="preserve"> for several countries, and asking Congress to reduce the number of available family visas</w:t>
      </w:r>
      <w:r w:rsidRPr="00F933AF">
        <w:rPr>
          <w:rFonts w:cs="Calibri"/>
          <w:sz w:val="16"/>
        </w:rPr>
        <w:t xml:space="preserve">. In August 2017, the administration supported the RAISE Act—which sought, among other goals, to drastically cut family immigration and eliminate the Diversity Visa. Now, </w:t>
      </w:r>
      <w:r w:rsidRPr="00F933AF">
        <w:rPr>
          <w:rStyle w:val="StyleUnderline"/>
          <w:rFonts w:cs="Calibri"/>
        </w:rPr>
        <w:t>the administration could significantly restrict family-based admissions by adding to the circumstances under which a non-U.S. citizen is deemed a “public charge”—meaning someone who depends on government means-tested benefits or is likely to depend upon these benefits in the future. Being a public charge is grounds for inadmissibility into the country, and—depending on how far the administration wants to take this—might even become grounds for deportation as well.</w:t>
      </w:r>
    </w:p>
    <w:p w:rsidR="00FD2128" w:rsidRPr="00F933AF" w:rsidRDefault="00FD2128" w:rsidP="00FD2128">
      <w:pPr>
        <w:spacing w:after="0"/>
        <w:rPr>
          <w:rFonts w:cs="Calibri"/>
          <w:sz w:val="10"/>
        </w:rPr>
      </w:pPr>
    </w:p>
    <w:p w:rsidR="00FD2128" w:rsidRDefault="00FD2128" w:rsidP="00FD2128"/>
    <w:p w:rsidR="00183BF2" w:rsidRPr="00F933AF" w:rsidRDefault="00183BF2" w:rsidP="00183BF2">
      <w:pPr>
        <w:pStyle w:val="Heading3"/>
        <w:rPr>
          <w:rFonts w:cs="Calibri"/>
        </w:rPr>
      </w:pPr>
      <w:r w:rsidRPr="00F933AF">
        <w:rPr>
          <w:rFonts w:cs="Calibri"/>
        </w:rPr>
        <w:t>AT: Rulemaking</w:t>
      </w:r>
    </w:p>
    <w:p w:rsidR="00183BF2" w:rsidRPr="00F933AF" w:rsidRDefault="00183BF2" w:rsidP="00183BF2">
      <w:pPr>
        <w:pStyle w:val="Heading4"/>
        <w:rPr>
          <w:rFonts w:cs="Calibri"/>
        </w:rPr>
      </w:pPr>
      <w:r w:rsidRPr="00F933AF">
        <w:rPr>
          <w:rFonts w:cs="Calibri"/>
        </w:rPr>
        <w:t>Rulemaking insufficient</w:t>
      </w:r>
    </w:p>
    <w:p w:rsidR="00183BF2" w:rsidRPr="00F933AF" w:rsidRDefault="00183BF2" w:rsidP="00183BF2">
      <w:pPr>
        <w:spacing w:after="0"/>
        <w:rPr>
          <w:rFonts w:cs="Calibri"/>
        </w:rPr>
      </w:pPr>
      <w:r w:rsidRPr="00F933AF">
        <w:rPr>
          <w:rStyle w:val="Style13ptBold"/>
          <w:rFonts w:cs="Calibri"/>
        </w:rPr>
        <w:t>Fix and Capps 17</w:t>
      </w:r>
      <w:r w:rsidRPr="00F933AF">
        <w:rPr>
          <w:rFonts w:cs="Calibri"/>
        </w:rPr>
        <w:t xml:space="preserve"> (Michael and Randy, reporters for Migration Policy Institute. Migration Policy Institute, February 2017. “Leaked Draft of Possible Trump Executive Order on Public Benefits Would Spell Chilling Effects for Legal Immigrants”) NREM/Lil’ GBN</w:t>
      </w:r>
    </w:p>
    <w:p w:rsidR="00183BF2" w:rsidRPr="00F933AF" w:rsidRDefault="00183BF2" w:rsidP="00183BF2">
      <w:pPr>
        <w:spacing w:after="0"/>
        <w:rPr>
          <w:rFonts w:cs="Calibri"/>
        </w:rPr>
      </w:pPr>
      <w:r w:rsidRPr="00F933AF">
        <w:rPr>
          <w:rFonts w:cs="Calibri"/>
        </w:rPr>
        <w:t>https://www.migrationpolicy.org/news/leaked-draft-possible-trump-executive-order-public-benefits-would-spell-chilling-effects-legal</w:t>
      </w:r>
    </w:p>
    <w:p w:rsidR="00183BF2" w:rsidRPr="00F933AF" w:rsidRDefault="00183BF2" w:rsidP="00183BF2">
      <w:pPr>
        <w:spacing w:after="0"/>
        <w:rPr>
          <w:rStyle w:val="StyleUnderline"/>
          <w:rFonts w:cs="Calibri"/>
        </w:rPr>
      </w:pPr>
      <w:r w:rsidRPr="00F933AF">
        <w:rPr>
          <w:rStyle w:val="StyleUnderline"/>
          <w:rFonts w:cs="Calibri"/>
        </w:rPr>
        <w:t>Redefining “public charge” and “means-tested public benefits” to span a much wider variety of federal programs.</w:t>
      </w:r>
      <w:r w:rsidRPr="00F933AF">
        <w:rPr>
          <w:rFonts w:cs="Calibri"/>
          <w:sz w:val="16"/>
        </w:rPr>
        <w:t xml:space="preserve"> The draft order refers to all “public benefits for which eligibility or amount is determined in any way on the basis of income, resources or financial aid.” </w:t>
      </w:r>
      <w:r w:rsidRPr="00F933AF">
        <w:rPr>
          <w:rStyle w:val="Emphasis"/>
          <w:rFonts w:cs="Calibri"/>
        </w:rPr>
        <w:t>Though rulemaking might narrow its scope</w:t>
      </w:r>
      <w:r w:rsidRPr="00F933AF">
        <w:rPr>
          <w:rFonts w:cs="Calibri"/>
          <w:sz w:val="16"/>
        </w:rPr>
        <w:t xml:space="preserve">, </w:t>
      </w:r>
      <w:r w:rsidRPr="00F933AF">
        <w:rPr>
          <w:rStyle w:val="StyleUnderline"/>
          <w:rFonts w:cs="Calibri"/>
        </w:rPr>
        <w:t xml:space="preserve">this definition could include a wide variety of federal programs such as school lunches, college financial aid, home heating assistance, and public health services that are not included in the </w:t>
      </w:r>
      <w:r w:rsidRPr="00F933AF">
        <w:rPr>
          <w:rStyle w:val="Emphasis"/>
          <w:rFonts w:cs="Calibri"/>
        </w:rPr>
        <w:t>welfare law’s means-tested definition.</w:t>
      </w:r>
    </w:p>
    <w:p w:rsidR="00183BF2" w:rsidRPr="00F933AF" w:rsidRDefault="00183BF2" w:rsidP="00183BF2">
      <w:pPr>
        <w:spacing w:after="0"/>
        <w:rPr>
          <w:rFonts w:cs="Calibri"/>
          <w:sz w:val="10"/>
        </w:rPr>
      </w:pPr>
    </w:p>
    <w:p w:rsidR="00183BF2" w:rsidRPr="00F933AF" w:rsidRDefault="00183BF2" w:rsidP="00183BF2">
      <w:pPr>
        <w:spacing w:after="0"/>
        <w:rPr>
          <w:rStyle w:val="StyleUnderline"/>
          <w:rFonts w:cs="Calibri"/>
        </w:rPr>
      </w:pPr>
    </w:p>
    <w:p w:rsidR="00183BF2" w:rsidRPr="00F933AF" w:rsidRDefault="00183BF2" w:rsidP="00183BF2">
      <w:pPr>
        <w:rPr>
          <w:rFonts w:cs="Calibri"/>
        </w:rPr>
      </w:pPr>
    </w:p>
    <w:p w:rsidR="00183BF2" w:rsidRPr="00F933AF" w:rsidRDefault="00183BF2" w:rsidP="00183BF2">
      <w:pPr>
        <w:rPr>
          <w:rFonts w:cs="Calibri"/>
        </w:rPr>
      </w:pPr>
    </w:p>
    <w:p w:rsidR="00183BF2" w:rsidRPr="00F933AF" w:rsidRDefault="00183BF2" w:rsidP="00EE31FC">
      <w:pPr>
        <w:pStyle w:val="Heading3"/>
        <w:rPr>
          <w:rFonts w:cs="Calibri"/>
        </w:rPr>
      </w:pPr>
      <w:r w:rsidRPr="00F933AF">
        <w:rPr>
          <w:rFonts w:cs="Calibri"/>
        </w:rPr>
        <w:t xml:space="preserve">AT: Case </w:t>
      </w:r>
      <w:proofErr w:type="gramStart"/>
      <w:r w:rsidRPr="00F933AF">
        <w:rPr>
          <w:rFonts w:cs="Calibri"/>
        </w:rPr>
        <w:t>By</w:t>
      </w:r>
      <w:proofErr w:type="gramEnd"/>
      <w:r w:rsidRPr="00F933AF">
        <w:rPr>
          <w:rFonts w:cs="Calibri"/>
        </w:rPr>
        <w:t xml:space="preserve"> Case</w:t>
      </w:r>
    </w:p>
    <w:p w:rsidR="00183BF2" w:rsidRPr="00F933AF" w:rsidRDefault="00183BF2" w:rsidP="00183BF2">
      <w:pPr>
        <w:pStyle w:val="Heading4"/>
        <w:rPr>
          <w:rFonts w:cs="Calibri"/>
        </w:rPr>
      </w:pPr>
      <w:r w:rsidRPr="00F933AF">
        <w:rPr>
          <w:rFonts w:cs="Calibri"/>
        </w:rPr>
        <w:t>Public charge grounds give inspectors discretion to exclude immigrants</w:t>
      </w:r>
    </w:p>
    <w:p w:rsidR="00183BF2" w:rsidRPr="00F933AF" w:rsidRDefault="00183BF2" w:rsidP="00183BF2">
      <w:pPr>
        <w:rPr>
          <w:rFonts w:cs="Calibri"/>
        </w:rPr>
      </w:pPr>
      <w:r w:rsidRPr="00F933AF">
        <w:rPr>
          <w:rStyle w:val="Style13ptBold"/>
          <w:rFonts w:cs="Calibri"/>
        </w:rPr>
        <w:t>Hirota 17</w:t>
      </w:r>
      <w:r w:rsidRPr="00F933AF">
        <w:rPr>
          <w:rFonts w:cs="Calibri"/>
        </w:rPr>
        <w:t xml:space="preserve"> (Hidetaka Hirota, June 2017, “Exclusion on the Ground: Racism, Official Discretion, and the Quotidian Enforcement of General Immigration Law in the Pacific Northwest Borderland”, American Quarterly, Volume 69, Number 2, Johns Hopkins University Press, Project Muse)/CWB</w:t>
      </w:r>
    </w:p>
    <w:p w:rsidR="00183BF2" w:rsidRPr="00F933AF" w:rsidRDefault="00183BF2" w:rsidP="00183BF2">
      <w:pPr>
        <w:rPr>
          <w:rFonts w:cs="Calibri"/>
          <w:sz w:val="16"/>
        </w:rPr>
      </w:pPr>
      <w:r w:rsidRPr="00F933AF">
        <w:rPr>
          <w:rStyle w:val="StyleUnderline"/>
          <w:rFonts w:cs="Calibri"/>
        </w:rPr>
        <w:t>Inspectors’ discretion affect</w:t>
      </w:r>
      <w:r w:rsidRPr="00F933AF">
        <w:rPr>
          <w:rFonts w:cs="Calibri"/>
          <w:sz w:val="16"/>
        </w:rPr>
        <w:t xml:space="preserve">ed </w:t>
      </w:r>
      <w:r w:rsidRPr="00F933AF">
        <w:rPr>
          <w:rStyle w:val="StyleUnderline"/>
          <w:rFonts w:cs="Calibri"/>
        </w:rPr>
        <w:t>immigration control more directly</w:t>
      </w:r>
      <w:r w:rsidRPr="00F933AF">
        <w:rPr>
          <w:rFonts w:cs="Calibri"/>
          <w:sz w:val="16"/>
        </w:rPr>
        <w:t xml:space="preserve"> during the examination of arriving newcomers. The Immigration Act of 1893 provided that unless immigrants appeared to the officer “clearly and beyond doubt entitled to admission” during the preliminary examination on arrival, they would be detained for additional interrogation by a Board of Special Inquiry, which consisted of four inspectors. The immigrants in question were not allowed to land without a favorable decision made by at least three members of the board.26 </w:t>
      </w:r>
      <w:proofErr w:type="gramStart"/>
      <w:r w:rsidRPr="00F933AF">
        <w:rPr>
          <w:rFonts w:cs="Calibri"/>
          <w:sz w:val="16"/>
        </w:rPr>
        <w:t>The</w:t>
      </w:r>
      <w:proofErr w:type="gramEnd"/>
      <w:r w:rsidRPr="00F933AF">
        <w:rPr>
          <w:rFonts w:cs="Calibri"/>
          <w:sz w:val="16"/>
        </w:rPr>
        <w:t xml:space="preserve"> interview by the board often set an </w:t>
      </w:r>
      <w:r w:rsidRPr="00F933AF">
        <w:rPr>
          <w:rStyle w:val="StyleUnderline"/>
          <w:rFonts w:cs="Calibri"/>
        </w:rPr>
        <w:t>inescapable trap against foreigners deemed undesirable by the officials</w:t>
      </w:r>
      <w:r w:rsidRPr="00F933AF">
        <w:rPr>
          <w:rFonts w:cs="Calibri"/>
          <w:sz w:val="16"/>
        </w:rPr>
        <w:t xml:space="preserve">, such as Japanese and Mexican laborers. </w:t>
      </w:r>
      <w:r w:rsidRPr="00F933AF">
        <w:rPr>
          <w:rStyle w:val="StyleUnderline"/>
          <w:rFonts w:cs="Calibri"/>
        </w:rPr>
        <w:t>Under</w:t>
      </w:r>
      <w:r w:rsidRPr="00F933AF">
        <w:rPr>
          <w:rFonts w:cs="Calibri"/>
          <w:sz w:val="16"/>
        </w:rPr>
        <w:t xml:space="preserve"> the Treasury Department’s 1893 </w:t>
      </w:r>
      <w:r w:rsidRPr="00F933AF">
        <w:rPr>
          <w:rStyle w:val="StyleUnderline"/>
          <w:rFonts w:cs="Calibri"/>
        </w:rPr>
        <w:t>guidelines for immigration regulation, in order to avoid</w:t>
      </w:r>
      <w:r w:rsidRPr="00F933AF">
        <w:rPr>
          <w:rFonts w:cs="Calibri"/>
          <w:sz w:val="16"/>
        </w:rPr>
        <w:t xml:space="preserve"> exclusion as paupers or </w:t>
      </w:r>
      <w:r w:rsidRPr="00F933AF">
        <w:rPr>
          <w:rStyle w:val="StyleUnderline"/>
          <w:rFonts w:cs="Calibri"/>
        </w:rPr>
        <w:t>people likely to become public charges</w:t>
      </w:r>
      <w:r w:rsidRPr="00F933AF">
        <w:rPr>
          <w:rFonts w:cs="Calibri"/>
          <w:sz w:val="16"/>
        </w:rPr>
        <w:t xml:space="preserve">, immigrants had to show thirty dollars in cash and prove their financial self-sufficiency in the United States. At the same time, however, immigrants who had already secured employment prior to departure would be denied landing for violating the contract labor law.27 While the combination of the </w:t>
      </w:r>
      <w:r w:rsidRPr="00F933AF">
        <w:rPr>
          <w:rStyle w:val="StyleUnderline"/>
          <w:rFonts w:cs="Calibri"/>
        </w:rPr>
        <w:t>public charge</w:t>
      </w:r>
      <w:r w:rsidRPr="00F933AF">
        <w:rPr>
          <w:rFonts w:cs="Calibri"/>
          <w:sz w:val="16"/>
        </w:rPr>
        <w:t xml:space="preserve"> and contract labor clauses </w:t>
      </w:r>
      <w:r w:rsidRPr="00F933AF">
        <w:rPr>
          <w:rStyle w:val="StyleUnderline"/>
          <w:rFonts w:cs="Calibri"/>
        </w:rPr>
        <w:t>generally allow</w:t>
      </w:r>
      <w:r w:rsidRPr="00F933AF">
        <w:rPr>
          <w:rFonts w:cs="Calibri"/>
          <w:sz w:val="16"/>
        </w:rPr>
        <w:t xml:space="preserve">ed </w:t>
      </w:r>
      <w:r w:rsidRPr="00F933AF">
        <w:rPr>
          <w:rStyle w:val="StyleUnderline"/>
          <w:rFonts w:cs="Calibri"/>
        </w:rPr>
        <w:t>American officers to find flexible ways to prevent the landing of undesirable foreigners,</w:t>
      </w:r>
      <w:r w:rsidRPr="00F933AF">
        <w:rPr>
          <w:rFonts w:cs="Calibri"/>
          <w:sz w:val="16"/>
        </w:rPr>
        <w:t xml:space="preserve"> the Board of Special Inquiry in the Puget Sound district also exercised discretion in a different way. In a five-hour examination session in late May 1900, the board interviewed seventy-one Japanese passengers who arrived in Tacoma from Yokohama on the Glenogle, deciding to send back fifty of them. One of these passengers, twenty-four-year-old E. Ogawa, possessed thirty dollars in cash. Nevertheless, from the information provided by a Japanese missionary acting as an interpreter and a board member, the board established the fact that “no more Japanese were needed on the railroads” at that time and that there were hundreds of unemployed Japanese in Seattle and Tacoma. In light of this situation, the board </w:t>
      </w:r>
      <w:r w:rsidRPr="00F933AF">
        <w:rPr>
          <w:rStyle w:val="StyleUnderline"/>
          <w:rFonts w:cs="Calibri"/>
        </w:rPr>
        <w:t xml:space="preserve">decided to exclude </w:t>
      </w:r>
      <w:r w:rsidRPr="00F933AF">
        <w:rPr>
          <w:rFonts w:cs="Calibri"/>
          <w:sz w:val="16"/>
        </w:rPr>
        <w:t xml:space="preserve">Ogawa </w:t>
      </w:r>
      <w:r w:rsidRPr="00F933AF">
        <w:rPr>
          <w:rStyle w:val="StyleUnderline"/>
          <w:rFonts w:cs="Calibri"/>
        </w:rPr>
        <w:t>as a person likely to become a public charge</w:t>
      </w:r>
      <w:r w:rsidRPr="00F933AF">
        <w:rPr>
          <w:rFonts w:cs="Calibri"/>
          <w:sz w:val="16"/>
        </w:rPr>
        <w:t xml:space="preserve">. Likewise, G. Tsuchiya, a laborer bound for San Francisco, carried with him thirty dollars and demonstrated no sign of a labor contract, but the board refused to land him because of his likelihood of becoming a public charge, based on the anticipation that “the great portion of his thirty dollars will be necessary to carry him to San Francisco.”28 During Board of Special Inquiry sessions, which were not open to the public, officials could rely on informal evidence such as unfounded hearsay and subjective presumptions of the immigrant’s financial circumstances to determine the person as excludable. Puget Sound </w:t>
      </w:r>
      <w:r w:rsidRPr="00F933AF">
        <w:rPr>
          <w:rStyle w:val="StyleUnderline"/>
          <w:rFonts w:cs="Calibri"/>
        </w:rPr>
        <w:t>officials interpreted the situation of</w:t>
      </w:r>
      <w:r w:rsidRPr="00F933AF">
        <w:rPr>
          <w:rFonts w:cs="Calibri"/>
          <w:sz w:val="16"/>
        </w:rPr>
        <w:t xml:space="preserve"> Japanese </w:t>
      </w:r>
      <w:r w:rsidRPr="00F933AF">
        <w:rPr>
          <w:rStyle w:val="StyleUnderline"/>
          <w:rFonts w:cs="Calibri"/>
        </w:rPr>
        <w:t>passengers who could otherwise pass the inspection in manipulative ways to apply the public charge clause to them</w:t>
      </w:r>
      <w:r w:rsidRPr="00F933AF">
        <w:rPr>
          <w:rFonts w:cs="Calibri"/>
          <w:sz w:val="16"/>
        </w:rPr>
        <w:t xml:space="preserve">. To exclude all suspicious Japanese with minimum procedures, one inspector even suggested to the collector of customs that their simple reluctance to answer questions during the interview should be </w:t>
      </w:r>
      <w:r w:rsidRPr="00F933AF">
        <w:rPr>
          <w:rStyle w:val="StyleUnderline"/>
          <w:rFonts w:cs="Calibri"/>
        </w:rPr>
        <w:t>taken as “prima facie cause for rejection</w:t>
      </w:r>
      <w:r w:rsidRPr="00F933AF">
        <w:rPr>
          <w:rFonts w:cs="Calibri"/>
          <w:sz w:val="16"/>
        </w:rPr>
        <w:t>.”29</w:t>
      </w:r>
    </w:p>
    <w:p w:rsidR="00183BF2" w:rsidRPr="00F933AF" w:rsidRDefault="00183BF2" w:rsidP="00183BF2">
      <w:pPr>
        <w:rPr>
          <w:rFonts w:cs="Calibri"/>
        </w:rPr>
      </w:pPr>
    </w:p>
    <w:p w:rsidR="00125A1B" w:rsidRPr="00125A1B" w:rsidRDefault="00125A1B" w:rsidP="00125A1B"/>
    <w:p w:rsidR="00AA40A1" w:rsidRPr="00F6498F" w:rsidRDefault="00125A1B" w:rsidP="00495F48">
      <w:pPr>
        <w:pStyle w:val="Heading1"/>
      </w:pPr>
      <w:r>
        <w:t xml:space="preserve">Adv – Ableism </w:t>
      </w:r>
    </w:p>
    <w:p w:rsidR="00DE4FE5" w:rsidRPr="00DE4FE5" w:rsidRDefault="00495F48" w:rsidP="00495F48">
      <w:pPr>
        <w:pStyle w:val="Heading2"/>
      </w:pPr>
      <w:r>
        <w:t>Top Level</w:t>
      </w:r>
    </w:p>
    <w:p w:rsidR="004675AB" w:rsidRPr="00F933AF" w:rsidRDefault="004675AB" w:rsidP="004675AB">
      <w:pPr>
        <w:pStyle w:val="Heading4"/>
        <w:rPr>
          <w:rFonts w:cs="Calibri"/>
        </w:rPr>
      </w:pPr>
      <w:r w:rsidRPr="00F933AF">
        <w:rPr>
          <w:rFonts w:cs="Calibri"/>
        </w:rPr>
        <w:t>The “likely to become a public charge” clause is a form of poverty-based immigration control that works to exclude those deemed unproductive to the state</w:t>
      </w:r>
    </w:p>
    <w:p w:rsidR="004675AB" w:rsidRPr="00F933AF" w:rsidRDefault="004675AB" w:rsidP="004675AB">
      <w:pPr>
        <w:rPr>
          <w:rFonts w:cs="Calibri"/>
        </w:rPr>
      </w:pPr>
      <w:r w:rsidRPr="00F933AF">
        <w:rPr>
          <w:rFonts w:cs="Calibri"/>
          <w:b/>
        </w:rPr>
        <w:t xml:space="preserve">Green 17 </w:t>
      </w:r>
      <w:r w:rsidRPr="00F933AF">
        <w:rPr>
          <w:rFonts w:cs="Calibri"/>
          <w:sz w:val="18"/>
          <w:szCs w:val="18"/>
        </w:rPr>
        <w:t xml:space="preserve">(Emma Green, </w:t>
      </w:r>
      <w:proofErr w:type="gramStart"/>
      <w:r w:rsidRPr="00F933AF">
        <w:rPr>
          <w:rFonts w:cs="Calibri"/>
          <w:sz w:val="18"/>
          <w:szCs w:val="18"/>
        </w:rPr>
        <w:t>The</w:t>
      </w:r>
      <w:proofErr w:type="gramEnd"/>
      <w:r w:rsidRPr="00F933AF">
        <w:rPr>
          <w:rFonts w:cs="Calibri"/>
          <w:sz w:val="18"/>
          <w:szCs w:val="18"/>
        </w:rPr>
        <w:t xml:space="preserve"> Atlantic, 2/2/17, “First, They Excluded the Irish,” https://www.theatlantic.com/politics/archive/2017/02/trump-poor-immigrants-public-charge/515397/)jy</w:t>
      </w:r>
    </w:p>
    <w:p w:rsidR="004675AB" w:rsidRPr="003F0AB2" w:rsidRDefault="004675AB" w:rsidP="004675AB">
      <w:pPr>
        <w:rPr>
          <w:rFonts w:cs="Calibri"/>
          <w:u w:val="single"/>
        </w:rPr>
      </w:pPr>
      <w:r w:rsidRPr="00F933AF">
        <w:rPr>
          <w:rFonts w:cs="Calibri"/>
          <w:sz w:val="12"/>
        </w:rPr>
        <w:t xml:space="preserve">Emma Green: What’s the historical connection between poverty and immigration restrictions in the United States? Hidetaka Hirota: </w:t>
      </w:r>
      <w:r w:rsidRPr="00F933AF">
        <w:rPr>
          <w:rFonts w:cs="Calibri"/>
          <w:u w:val="single"/>
        </w:rPr>
        <w:t>Immigration restriction in the United States was rooted in poverty</w:t>
      </w:r>
      <w:r w:rsidRPr="00F933AF">
        <w:rPr>
          <w:rFonts w:cs="Calibri"/>
          <w:sz w:val="12"/>
        </w:rPr>
        <w:t xml:space="preserve">. The </w:t>
      </w:r>
      <w:r w:rsidRPr="00F933AF">
        <w:rPr>
          <w:rFonts w:cs="Calibri"/>
          <w:u w:val="single"/>
        </w:rPr>
        <w:t xml:space="preserve">British colonists introduced a law which regulated the movement of the poor, including the expulsion of poor people from their territory. That model developed into </w:t>
      </w:r>
      <w:hyperlink r:id="rId168" w:history="1">
        <w:r w:rsidRPr="00F933AF">
          <w:rPr>
            <w:rStyle w:val="Hyperlink"/>
            <w:rFonts w:cs="Calibri"/>
            <w:u w:val="single"/>
          </w:rPr>
          <w:t>passenger laws</w:t>
        </w:r>
      </w:hyperlink>
      <w:r w:rsidRPr="00F933AF">
        <w:rPr>
          <w:rFonts w:cs="Calibri"/>
          <w:u w:val="single"/>
        </w:rPr>
        <w:t xml:space="preserve"> for prohibiting the landing of poor people.</w:t>
      </w:r>
      <w:r w:rsidRPr="00F933AF">
        <w:rPr>
          <w:rFonts w:cs="Calibri"/>
          <w:sz w:val="12"/>
        </w:rPr>
        <w:t xml:space="preserve"> The critical turning point came in the 1840s and ’50s, when a large number of impoverished Irish immigrants arrived in the United States. New York and Massachusetts were two major receiving states. They responded by enhancing and strengthening their laws to more effectively restrict the immigration of poor Irish people. This really laid a framework for immigration control in the United States. In the 1870s, when the U.S. Supreme Court </w:t>
      </w:r>
      <w:hyperlink r:id="rId169" w:history="1">
        <w:r w:rsidRPr="00F933AF">
          <w:rPr>
            <w:rStyle w:val="Hyperlink"/>
            <w:rFonts w:cs="Calibri"/>
            <w:sz w:val="12"/>
          </w:rPr>
          <w:t>declared</w:t>
        </w:r>
      </w:hyperlink>
      <w:r w:rsidRPr="00F933AF">
        <w:rPr>
          <w:rFonts w:cs="Calibri"/>
          <w:sz w:val="12"/>
        </w:rPr>
        <w:t xml:space="preserve"> some of the state passenger laws unconstitutional, these two states started a campaign to transform their state laws into federal laws. The result was America’s first national immigration laws. Green: How do you tease apart Americans’ economic reasons for wanting to keep immigrants out versus cultural or religious prejudice? Hirota: </w:t>
      </w:r>
      <w:r w:rsidRPr="00F933AF">
        <w:rPr>
          <w:rFonts w:cs="Calibri"/>
          <w:u w:val="single"/>
        </w:rPr>
        <w:t>These laws</w:t>
      </w:r>
      <w:r w:rsidRPr="00F933AF">
        <w:rPr>
          <w:rFonts w:cs="Calibri"/>
          <w:sz w:val="12"/>
        </w:rPr>
        <w:t xml:space="preserve"> were </w:t>
      </w:r>
      <w:r w:rsidRPr="00F933AF">
        <w:rPr>
          <w:rFonts w:cs="Calibri"/>
          <w:u w:val="single"/>
        </w:rPr>
        <w:t>targeted</w:t>
      </w:r>
      <w:r w:rsidRPr="00F933AF">
        <w:rPr>
          <w:rFonts w:cs="Calibri"/>
          <w:sz w:val="12"/>
        </w:rPr>
        <w:t xml:space="preserve"> against </w:t>
      </w:r>
      <w:r w:rsidRPr="00F933AF">
        <w:rPr>
          <w:rFonts w:cs="Calibri"/>
          <w:u w:val="single"/>
        </w:rPr>
        <w:t>poor immigrants</w:t>
      </w:r>
      <w:r w:rsidRPr="00F933AF">
        <w:rPr>
          <w:rFonts w:cs="Calibri"/>
          <w:sz w:val="12"/>
        </w:rPr>
        <w:t xml:space="preserve">, rather than against all Irish immigrants. </w:t>
      </w:r>
      <w:r w:rsidRPr="00F933AF">
        <w:rPr>
          <w:rFonts w:cs="Calibri"/>
          <w:u w:val="single"/>
        </w:rPr>
        <w:t>In that sense, the poverty of immigrants was at the core of state-level immigration policy</w:t>
      </w:r>
      <w:r w:rsidRPr="00F933AF">
        <w:rPr>
          <w:rFonts w:cs="Calibri"/>
          <w:sz w:val="12"/>
        </w:rPr>
        <w:t>. But at the same time, such policy would not have developed if there was no strong cultural and religious prejudice, especially against Irish Catholics. Ethnic prejudice really facilitated the formation of state policies that targeted the destitute. Green: What was the distinction in early American immigration laws between those who were poor and those who had skills or were wealthy? Hirota</w:t>
      </w:r>
      <w:r w:rsidRPr="00F933AF">
        <w:rPr>
          <w:rFonts w:cs="Calibri"/>
          <w:u w:val="single"/>
        </w:rPr>
        <w:t>: If you had skills or resources, there was no obstacle for landing. But if you were poor and didn’t have financial resources, you wouldn’t be allowed to enter the United States unless the shipmaster paid a bond to the government—money that could be spent if people became paupers and required public assistance</w:t>
      </w:r>
      <w:r w:rsidRPr="00F933AF">
        <w:rPr>
          <w:rFonts w:cs="Calibri"/>
          <w:sz w:val="12"/>
        </w:rPr>
        <w:t xml:space="preserve">. According to The Washington Post, </w:t>
      </w:r>
      <w:r w:rsidRPr="00F933AF">
        <w:rPr>
          <w:rFonts w:cs="Calibri"/>
          <w:u w:val="single"/>
        </w:rPr>
        <w:t xml:space="preserve">the Trump administration will seek to deny any alien who is </w:t>
      </w:r>
      <w:hyperlink r:id="rId170" w:history="1">
        <w:r w:rsidRPr="00F933AF">
          <w:rPr>
            <w:rStyle w:val="Hyperlink"/>
            <w:rFonts w:cs="Calibri"/>
            <w:u w:val="single"/>
          </w:rPr>
          <w:t>“likely to become a public charge.”</w:t>
        </w:r>
      </w:hyperlink>
      <w:r w:rsidRPr="00F933AF">
        <w:rPr>
          <w:rFonts w:cs="Calibri"/>
          <w:sz w:val="12"/>
        </w:rPr>
        <w:t xml:space="preserve"> This clause has a notorious history, precisely because of the vagueness and subjective nature of the adjective “</w:t>
      </w:r>
      <w:r w:rsidRPr="00F933AF">
        <w:rPr>
          <w:rFonts w:cs="Calibri"/>
          <w:u w:val="single"/>
        </w:rPr>
        <w:t xml:space="preserve">likely.” </w:t>
      </w:r>
      <w:r w:rsidRPr="00F933AF">
        <w:rPr>
          <w:rFonts w:cs="Calibri"/>
          <w:sz w:val="12"/>
        </w:rPr>
        <w:t xml:space="preserve">The term </w:t>
      </w:r>
      <w:r w:rsidRPr="00F933AF">
        <w:rPr>
          <w:rFonts w:cs="Calibri"/>
          <w:u w:val="single"/>
        </w:rPr>
        <w:t>comes from state-level passenger laws.</w:t>
      </w:r>
      <w:r w:rsidRPr="00F933AF">
        <w:rPr>
          <w:rFonts w:cs="Calibri"/>
          <w:sz w:val="12"/>
        </w:rPr>
        <w:t xml:space="preserve"> Massachusetts used the term in the 18th century, and New York did, too. The tricky thing about this clause is </w:t>
      </w:r>
      <w:r w:rsidRPr="00F933AF">
        <w:rPr>
          <w:rFonts w:cs="Calibri"/>
          <w:u w:val="single"/>
        </w:rPr>
        <w:t>that officers could reject immigrants even if they were not actually paupers—officers could interpret the adjective “likely” in any way they liked. The clause was a convenient tool to inject religious, ethnic, and racial prejudice into technically neutral immigration law</w:t>
      </w:r>
      <w:r w:rsidRPr="00F933AF">
        <w:rPr>
          <w:rFonts w:cs="Calibri"/>
          <w:sz w:val="12"/>
        </w:rPr>
        <w:t xml:space="preserve">. Green: One thing that’s been clear in the last week or so, since President Trump released his first executive order on immigration and refugees, is that low-level bureaucrats and officers </w:t>
      </w:r>
      <w:hyperlink r:id="rId171" w:history="1">
        <w:r w:rsidRPr="00F933AF">
          <w:rPr>
            <w:rStyle w:val="Hyperlink"/>
            <w:rFonts w:cs="Calibri"/>
            <w:sz w:val="12"/>
          </w:rPr>
          <w:t>have a lot of power</w:t>
        </w:r>
      </w:hyperlink>
      <w:r w:rsidRPr="00F933AF">
        <w:rPr>
          <w:rFonts w:cs="Calibri"/>
          <w:sz w:val="12"/>
        </w:rPr>
        <w:t xml:space="preserve"> to interpret and enforce the law as they like. What power have those kinds of people had historically in shaping American immigration? Hirota: </w:t>
      </w:r>
      <w:r w:rsidRPr="00F933AF">
        <w:rPr>
          <w:rFonts w:cs="Calibri"/>
          <w:u w:val="single"/>
        </w:rPr>
        <w:t>From the moment of the introduction of the clause, it was abused by officers who already had personal prejudices against particular immigrants</w:t>
      </w:r>
      <w:r w:rsidRPr="00F933AF">
        <w:rPr>
          <w:rFonts w:cs="Calibri"/>
          <w:sz w:val="12"/>
        </w:rPr>
        <w:t xml:space="preserve">. In the mid-19th century, the target was the Irish. </w:t>
      </w:r>
      <w:r w:rsidRPr="00F933AF">
        <w:rPr>
          <w:rFonts w:cs="Calibri"/>
          <w:u w:val="single"/>
        </w:rPr>
        <w:t>Even if an immigrant had a sufficient amount of money at the time of arrival, immigration officers excluded some people on the ground that there was no demand for their employment. So officers regarded them as “likely to become a public charge</w:t>
      </w:r>
      <w:r w:rsidRPr="00F933AF">
        <w:rPr>
          <w:rFonts w:cs="Calibri"/>
          <w:sz w:val="12"/>
        </w:rPr>
        <w:t xml:space="preserve">.” One immigration scholar in the early 20th century noted that </w:t>
      </w:r>
      <w:r w:rsidRPr="00F933AF">
        <w:rPr>
          <w:rFonts w:cs="Calibri"/>
          <w:u w:val="single"/>
        </w:rPr>
        <w:t>this clause was used as the “miscellaneous” reason to exclude immigrants when officials didn’t like them but couldn’t find appropriate grounds for their rejection. The vagueness of “likely” gave flexible ground for exclusion, to the extent that anyone could be denied landing</w:t>
      </w:r>
      <w:r w:rsidRPr="00F933AF">
        <w:rPr>
          <w:rFonts w:cs="Calibri"/>
          <w:sz w:val="12"/>
        </w:rPr>
        <w:t xml:space="preserve">. Green: It seems like a large portion of the people who have made arduous journeys over sea and land to come to the United States were doing so in hopes of finding a better economic life. Was there ever a time when immigrants were not largely poor? Hirota: The vast majority of immigrants were poor, that’s for sure. The distinction nativists and immigration officers hoped to make was whether an immigrant could work or not. As long as a person appeared to be employable, that’s fine. But </w:t>
      </w:r>
      <w:r w:rsidRPr="00F933AF">
        <w:rPr>
          <w:rFonts w:cs="Calibri"/>
          <w:u w:val="single"/>
        </w:rPr>
        <w:t>the criteria for self-sufficiency remained vague so that officers could determine certain groups of immigrants as non-self-sufficient</w:t>
      </w:r>
      <w:r w:rsidRPr="00F933AF">
        <w:rPr>
          <w:rFonts w:cs="Calibri"/>
          <w:sz w:val="12"/>
        </w:rPr>
        <w:t xml:space="preserve">. Even though many of the immigrants were poor, some were more likely to be labeled as paupers than others. </w:t>
      </w:r>
      <w:r w:rsidRPr="00F933AF">
        <w:rPr>
          <w:rFonts w:cs="Calibri"/>
          <w:u w:val="single"/>
        </w:rPr>
        <w:t>Law enforcement was never equal. It was always shaped by the enforcing officers’ personal prejudices and racism</w:t>
      </w:r>
      <w:r w:rsidRPr="00F933AF">
        <w:rPr>
          <w:rFonts w:cs="Calibri"/>
          <w:sz w:val="12"/>
        </w:rPr>
        <w:t xml:space="preserve">. Green: How does this compare to immigration policy today? What’s similar and different? Hirota: I see more parallels than differences, honestly. </w:t>
      </w:r>
      <w:r w:rsidRPr="00F933AF">
        <w:rPr>
          <w:rFonts w:cs="Calibri"/>
          <w:u w:val="single"/>
        </w:rPr>
        <w:t>Trump’s potential executive order is targeted against immigrants who will allegedly consume public taxpayer funds.</w:t>
      </w:r>
      <w:r w:rsidRPr="00F933AF">
        <w:rPr>
          <w:rFonts w:cs="Calibri"/>
          <w:sz w:val="12"/>
        </w:rPr>
        <w:t xml:space="preserve"> In the 19th century, anti-Irish nativists called immigrants “leeches” on American taxpayers, saying they should be deported back to Ireland as soon as possible. </w:t>
      </w:r>
      <w:r w:rsidRPr="00F933AF">
        <w:rPr>
          <w:rFonts w:cs="Calibri"/>
          <w:u w:val="single"/>
        </w:rPr>
        <w:t>The people “threatening” the United States have changed</w:t>
      </w:r>
      <w:r w:rsidRPr="00F933AF">
        <w:rPr>
          <w:rFonts w:cs="Calibri"/>
          <w:sz w:val="12"/>
        </w:rPr>
        <w:t xml:space="preserve">. Earlier, it was the Irish, and then later, it was the Chinese and Asians. Now it’s Muslims and undocumented immigrants from Latin America. </w:t>
      </w:r>
      <w:r w:rsidRPr="00F933AF">
        <w:rPr>
          <w:rFonts w:cs="Calibri"/>
          <w:u w:val="single"/>
        </w:rPr>
        <w:t>But</w:t>
      </w:r>
      <w:r w:rsidRPr="00F933AF">
        <w:rPr>
          <w:rFonts w:cs="Calibri"/>
          <w:sz w:val="12"/>
        </w:rPr>
        <w:t xml:space="preserve"> I think </w:t>
      </w:r>
      <w:r w:rsidRPr="00F933AF">
        <w:rPr>
          <w:rFonts w:cs="Calibri"/>
          <w:u w:val="single"/>
        </w:rPr>
        <w:t xml:space="preserve">the fundamental language—such as “national security” and “national peace”—remain the same. Immigration control is always justified as a matter of the community’s right to protect its citizens from external threats. This language has remained the same from the 19th century to today. </w:t>
      </w:r>
      <w:r w:rsidRPr="00F933AF">
        <w:rPr>
          <w:rFonts w:cs="Calibri"/>
          <w:sz w:val="12"/>
        </w:rPr>
        <w:t xml:space="preserve">Green: People sometimes portray the U.S. as a land that welcomes strangers and immigrants with open arms, pointing to Emma Lazarus and the Statue of Liberty as evidence. Those who protested against Trump’s execute order at airports this past weekend certainly relied on that narrative. But that’s a fiction, right? The United States has always had strong policies of exclusion accompanying its welcoming spirit. Hirota: The United States has been a nation of immigrants and a major receptor of those seeking freedom—no doubt. It is a U.S. tradition to accept people who need to come to this country. But at the same time, </w:t>
      </w:r>
      <w:r w:rsidRPr="00F933AF">
        <w:rPr>
          <w:rFonts w:cs="Calibri"/>
          <w:u w:val="single"/>
        </w:rPr>
        <w:t>the unfortunate historical fact is that nativism has been integral to the American experience</w:t>
      </w:r>
      <w:r w:rsidRPr="00F933AF">
        <w:rPr>
          <w:rFonts w:cs="Calibri"/>
          <w:sz w:val="12"/>
        </w:rPr>
        <w:t xml:space="preserve">. We want to be welcoming. But the fact is that some </w:t>
      </w:r>
      <w:r w:rsidRPr="00F933AF">
        <w:rPr>
          <w:rFonts w:cs="Calibri"/>
          <w:u w:val="single"/>
        </w:rPr>
        <w:t>forms of restriction have always existed in the U.S</w:t>
      </w:r>
      <w:r w:rsidRPr="00F933AF">
        <w:rPr>
          <w:rFonts w:cs="Calibri"/>
          <w:sz w:val="12"/>
        </w:rPr>
        <w:t xml:space="preserve">. Green: What’s the long-term legacy of America’s immigration restrictions? Hirota: One of the most important long-term legacies is what immigration scholars call the </w:t>
      </w:r>
      <w:hyperlink r:id="rId172" w:history="1">
        <w:r w:rsidRPr="00F933AF">
          <w:rPr>
            <w:rStyle w:val="Hyperlink"/>
            <w:rFonts w:cs="Calibri"/>
            <w:sz w:val="12"/>
          </w:rPr>
          <w:t>plenary-power doctrine</w:t>
        </w:r>
      </w:hyperlink>
      <w:r w:rsidRPr="00F933AF">
        <w:rPr>
          <w:rFonts w:cs="Calibri"/>
          <w:sz w:val="12"/>
        </w:rPr>
        <w:t xml:space="preserve">. It’s basically a doctrine that assumes that congressional immigration policy is beyond judicial review for constitutionality. Within that framework, immigration officers could do anything with undesirable foreigners or aliens. The doctrine is now weaker than it was, but still, it’s at play in immigration policy. </w:t>
      </w:r>
      <w:r w:rsidRPr="00F933AF">
        <w:rPr>
          <w:rFonts w:cs="Calibri"/>
          <w:u w:val="single"/>
        </w:rPr>
        <w:t>Law enforcers have massive power over the fate of newcomers. And the roots of that doctrine and a harsh mental attitude toward immigrants really came from the state-level treatment of destitute Irish immigrants. The “likely to become a public charge” clause—poverty-based immigration control—can be really dangerous, precisely because it seems racially and ethnically neutral. Historically, the clause allowed racial and religious bigotry to flourish by giving too much power to law enforcers.</w:t>
      </w:r>
    </w:p>
    <w:p w:rsidR="004675AB" w:rsidRDefault="004675AB" w:rsidP="004675AB"/>
    <w:p w:rsidR="00AA40A1" w:rsidRPr="00F933AF" w:rsidRDefault="00AA40A1" w:rsidP="00AA40A1">
      <w:pPr>
        <w:pStyle w:val="Heading4"/>
        <w:rPr>
          <w:rFonts w:cs="Calibri"/>
        </w:rPr>
      </w:pPr>
      <w:r w:rsidRPr="00F933AF">
        <w:rPr>
          <w:rFonts w:cs="Calibri"/>
        </w:rPr>
        <w:t>The public charge standard is rooted in racism and ableism inherent in the evaluation of an immigrant’s “dependency”</w:t>
      </w:r>
    </w:p>
    <w:p w:rsidR="00AA40A1" w:rsidRPr="00F933AF" w:rsidRDefault="00AA40A1" w:rsidP="00AA40A1">
      <w:pPr>
        <w:rPr>
          <w:rFonts w:cs="Calibri"/>
        </w:rPr>
      </w:pPr>
      <w:r w:rsidRPr="00F933AF">
        <w:rPr>
          <w:rStyle w:val="Style13ptBold"/>
          <w:rFonts w:cs="Calibri"/>
        </w:rPr>
        <w:t xml:space="preserve">Galusca 9 </w:t>
      </w:r>
      <w:r w:rsidRPr="00F933AF">
        <w:rPr>
          <w:rFonts w:cs="Calibri"/>
        </w:rPr>
        <w:t>(Roxana Galusca of University of Michigan, Michigan U-M with expertise in Cultural Anthropology, Performing Arts, Visual Arts, “From Fictive Ability to National Identity: Disability, Medical Inspection, and Public Health Regulations on Ellis Island,” Cultural Critique, Spring 2009, Pages 137-163)//SLiang</w:t>
      </w:r>
    </w:p>
    <w:p w:rsidR="00AA40A1" w:rsidRPr="00F933AF" w:rsidRDefault="00AA40A1" w:rsidP="00AA40A1">
      <w:pPr>
        <w:rPr>
          <w:rFonts w:cs="Calibri"/>
        </w:rPr>
      </w:pPr>
      <w:r w:rsidRPr="00F933AF">
        <w:rPr>
          <w:rFonts w:cs="Calibri"/>
        </w:rPr>
        <w:t xml:space="preserve">Goddard’s successful attempt to collapse race and “cognitive impairment” was not without precedent. However, the results of his studies reinforced both the inspectors’ and the public’s attitudes toward certain ethnicities. </w:t>
      </w:r>
      <w:r w:rsidRPr="00F933AF">
        <w:rPr>
          <w:rFonts w:cs="Calibri"/>
          <w:u w:val="single"/>
        </w:rPr>
        <w:t>“Feeblemindedness” became the favorite label on Ellis Island, and its direct corollary, according to inspectors’ judgments, was an immigrant’s liability to become a public charge. Like the label of dependency, feeblemindedness was the easiest “impairment” to be pinned to an immigrant’s identity, especially when racial considerations came into play. Under the threat of racist stereotypes, immigrants had to be alert and control any bout of happiness, fatigue, or sadness that could lead to their being labeled “mental instable” or “feebleminded</w:t>
      </w:r>
      <w:r w:rsidRPr="00F933AF">
        <w:rPr>
          <w:rFonts w:cs="Calibri"/>
        </w:rPr>
        <w:t>.” Sometimes, in spite of their efforts to avoid suspicions, they would fall victim to their own racial identities. At a time when racial taxonomies formed an integral part of the scientific truth, the inspectors were well educated about each racial group’s peculiarities</w:t>
      </w:r>
      <w:r w:rsidRPr="00F933AF">
        <w:rPr>
          <w:rStyle w:val="Emphasis"/>
          <w:rFonts w:cs="Calibri"/>
        </w:rPr>
        <w:t>. Consequently, their final evaluation of an immigrant’s condition took into account any deviation from the inherent characteristics associated with a given race</w:t>
      </w:r>
      <w:r w:rsidRPr="00F933AF">
        <w:rPr>
          <w:rFonts w:cs="Calibri"/>
          <w:u w:val="single"/>
        </w:rPr>
        <w:t>. As a doctor on the island explained, “</w:t>
      </w:r>
      <w:proofErr w:type="gramStart"/>
      <w:r w:rsidRPr="00F933AF">
        <w:rPr>
          <w:rFonts w:cs="Calibri"/>
          <w:u w:val="single"/>
        </w:rPr>
        <w:t>if</w:t>
      </w:r>
      <w:proofErr w:type="gramEnd"/>
      <w:r w:rsidRPr="00F933AF">
        <w:rPr>
          <w:rFonts w:cs="Calibri"/>
          <w:u w:val="single"/>
        </w:rPr>
        <w:t xml:space="preserve"> an Englishman reacts to questions in the manner of an Irishman, his lack of mental balance could be suspected. . . . If an Italian responded to questions as the Russian Finn responds, the former would in all probability be suffering with a depressive psychosis”</w:t>
      </w:r>
      <w:r w:rsidRPr="00F933AF">
        <w:rPr>
          <w:rFonts w:cs="Calibri"/>
        </w:rPr>
        <w:t xml:space="preserve"> (Shapiro, 138). Under the rubric of “mental illness,” categories of race and disease grew blurry, leading to further classifications and hierarchical systems. Goddard’s Ellis Island study sustained a racial-ableist hierarchy, according to which feeblemindedness ranked highest among Russian immigrants (87 percent), seconded by Jews (over 83 percent), and closely followed by Hungarians and Italians (Smith, 119). </w:t>
      </w:r>
      <w:r w:rsidRPr="00F933AF">
        <w:rPr>
          <w:rFonts w:cs="Calibri"/>
          <w:u w:val="single"/>
        </w:rPr>
        <w:t xml:space="preserve">As cognitive impairments and mental illnesses became the main preoccupations of the inspectors, especially because of Goddard’s studies, more nuanced diagnosis supplemented the physicians’ charts. The immigrant’s terror of being found “diseased” or “impaired” conjoined with the inspectors’ urgency to trace cognitive and physical impairments in their most extreme details. </w:t>
      </w:r>
      <w:r w:rsidRPr="00F933AF">
        <w:rPr>
          <w:rStyle w:val="Emphasis"/>
          <w:rFonts w:cs="Calibri"/>
        </w:rPr>
        <w:t>The interaction between the immigrant and the medical inspector reconfigured citizenship as ability and translated loyalty to the nation as ablebodiedness.</w:t>
      </w:r>
      <w:r w:rsidRPr="00F933AF">
        <w:rPr>
          <w:rFonts w:cs="Calibri"/>
          <w:u w:val="single"/>
        </w:rPr>
        <w:t xml:space="preserve"> To belong to the American nation-state, the incomer had first of all to prove physical and cognitive ability, a tiresome task given the racial and gender stereotypes that framed medical inspections.</w:t>
      </w:r>
      <w:r w:rsidRPr="00F933AF">
        <w:rPr>
          <w:rFonts w:cs="Calibri"/>
        </w:rPr>
        <w:t xml:space="preserve"> The medical treatises and studies, both originating in and supporting the ableist practices on Ellis Island, worked to re-imagine the healthy and unitary space of the nation-state through what Aimee Carrillo Rowe calls the process of negation. According to Carrillo Rowe, space becomes meaningful only when represented as demarcated and limited by boundaries. The legitimacy of a state, then, is created by the negation of everything that falls outside its borders. The border becomes “a highly contested site wherein the contradictory needs of the capital-driven U.S. nationstate clash: the need for cheap labor clashes with its fear of the racialized, classed, non-citizen subjects” (119). The bordered space of the nation-state empowers some and disempowers others, so that “only some people can walk some of the time” (119). </w:t>
      </w:r>
      <w:r w:rsidRPr="00F933AF">
        <w:rPr>
          <w:rFonts w:cs="Calibri"/>
          <w:u w:val="single"/>
        </w:rPr>
        <w:t>An intersectional analysis at the confluence of immigration and disability studies unmasks the nation-state’s dependency on a coherent narrative of fictive ability</w:t>
      </w:r>
      <w:r w:rsidRPr="00F933AF">
        <w:rPr>
          <w:rFonts w:cs="Calibri"/>
        </w:rPr>
        <w:t xml:space="preserve">. Throughout U.S. history, immigration debates have run parallel with public health warnings of contagions, germs, and disabilities. Through studies and research, public health institutions have frequently inculcated into the public imaginary the distinction between the diseased/illegal other and the population within borders, whose legitimacy and ability are given by those very boundaries. </w:t>
      </w:r>
      <w:r w:rsidRPr="00F933AF">
        <w:rPr>
          <w:rFonts w:cs="Calibri"/>
          <w:u w:val="single"/>
        </w:rPr>
        <w:t xml:space="preserve">The ableist immigration bills that signed Ellis Island into existence were a symptom of the national need for borders and authorized spaces. Such immigration policies transformed the immigrants into negated identities and bound the immigrant’s body to the marginalized space of the island. </w:t>
      </w:r>
      <w:r w:rsidRPr="00F933AF">
        <w:rPr>
          <w:rStyle w:val="Emphasis"/>
          <w:rFonts w:cs="Calibri"/>
        </w:rPr>
        <w:t>The pathologized immigrant identity arose as a destabilizing force that upset the homogeneous national identity and played havoc with national values of normativity and ablebodiedness</w:t>
      </w:r>
      <w:r w:rsidRPr="00F933AF">
        <w:rPr>
          <w:rFonts w:cs="Calibri"/>
          <w:u w:val="single"/>
        </w:rPr>
        <w:t>.</w:t>
      </w:r>
      <w:r w:rsidRPr="00F933AF">
        <w:rPr>
          <w:rFonts w:cs="Calibri"/>
        </w:rPr>
        <w:t xml:space="preserve"> At the same time, the diseased other emerged as an excessive and paradoxical abnormality that affirmed the nation-state in its negation of everything that the national body appeared to be. In this sense, the Ellis Island individual, by falling outside the bordered space, became the site of conflicts and crises, negating and affirming at the same time the nation-state. This process of denial left the excluded individual a mere prop in the national narrative of ablebodiedness and racial purity.</w:t>
      </w:r>
    </w:p>
    <w:p w:rsidR="003B3CFE" w:rsidRPr="00F933AF" w:rsidRDefault="003B3CFE" w:rsidP="003B3CFE">
      <w:pPr>
        <w:pStyle w:val="Heading4"/>
        <w:rPr>
          <w:rFonts w:cs="Calibri"/>
        </w:rPr>
      </w:pPr>
      <w:r w:rsidRPr="00F933AF">
        <w:rPr>
          <w:rFonts w:cs="Calibri"/>
        </w:rPr>
        <w:t>That standard of “fictive ability” reinforces ableism and the otherization of the immigrant</w:t>
      </w:r>
    </w:p>
    <w:p w:rsidR="003B3CFE" w:rsidRPr="00F933AF" w:rsidRDefault="003B3CFE" w:rsidP="003B3CFE">
      <w:pPr>
        <w:rPr>
          <w:rFonts w:cs="Calibri"/>
        </w:rPr>
      </w:pPr>
      <w:r w:rsidRPr="00F933AF">
        <w:rPr>
          <w:rStyle w:val="Style13ptBold"/>
          <w:rFonts w:cs="Calibri"/>
        </w:rPr>
        <w:t xml:space="preserve">Galusca 9 </w:t>
      </w:r>
      <w:r w:rsidRPr="00F933AF">
        <w:rPr>
          <w:rFonts w:cs="Calibri"/>
        </w:rPr>
        <w:t>(Roxana Galusca of University of Michigan, Michigan U-M with expertise in Cultural Anthropology, Performing Arts, Visual Arts, “From Fictive Ability to National Identity: Disability, Medical Inspection, and Public Health Regulations on Ellis Island,” Cultural Critique, Spring 2009, Pages 137-163)//SLiang</w:t>
      </w:r>
    </w:p>
    <w:p w:rsidR="003B3CFE" w:rsidRPr="00F933AF" w:rsidRDefault="003B3CFE" w:rsidP="003B3CFE">
      <w:pPr>
        <w:rPr>
          <w:rFonts w:cs="Calibri"/>
          <w:u w:val="single"/>
        </w:rPr>
      </w:pPr>
      <w:r w:rsidRPr="00F933AF">
        <w:rPr>
          <w:rFonts w:cs="Calibri"/>
          <w:u w:val="single"/>
        </w:rPr>
        <w:t xml:space="preserve">Under the continuous gaze of the inspectors and the public, the immigrant was interpreted as l’homme extraordinaire, the freak body, defined and constructed in contrast with l’homme moyen, the decent and physically “normal” individual </w:t>
      </w:r>
      <w:r w:rsidRPr="00F933AF">
        <w:rPr>
          <w:rFonts w:cs="Calibri"/>
        </w:rPr>
        <w:t xml:space="preserve">(Garland-Thomson, Extraordinary Bodies, 63–66). According to Garland-Thomson, </w:t>
      </w:r>
      <w:r w:rsidRPr="00F933AF">
        <w:rPr>
          <w:rFonts w:cs="Calibri"/>
          <w:u w:val="single"/>
        </w:rPr>
        <w:t>“the meanings attributed to extraordinary bodies reside not in inherent physical flaws, but in social relationships in which one group is legitimated by possessing valued physical characteristics and maintains its ascendancy and its self-identity by systematically imposing the role of cultural or corporeal inferiority on others” (7).</w:t>
      </w:r>
      <w:r w:rsidRPr="00F933AF">
        <w:rPr>
          <w:rFonts w:cs="Calibri"/>
        </w:rPr>
        <w:t xml:space="preserve"> Constructed as different because of their foreignness and supposed disease and defined in relation to the American tourists at ease on the site, the immigrants stood for “the extraordinary,” to be displayed and stared at. As Ellis Island inspector Philip Cowen commented, Ellis Island became a circus and a zoo, where visitors came “to see the animals” (Pegler-Gordon, 193</w:t>
      </w:r>
      <w:r w:rsidRPr="00F933AF">
        <w:rPr>
          <w:rFonts w:cs="Calibri"/>
          <w:u w:val="single"/>
        </w:rPr>
        <w:t>). The immigrant was “formed by differentiation,” pitted against the decent and healthy American visitor, in a process of counteridentification by which visitors defined themselves as ablebodied</w:t>
      </w:r>
      <w:r w:rsidRPr="00F933AF">
        <w:rPr>
          <w:rFonts w:cs="Calibri"/>
        </w:rPr>
        <w:t xml:space="preserve">. Concurrently, this type of live tourism offered the government the opportunity to deliver publicly the message of a nation threatened by outsiders and to advertise its representatives as national saviors. The wretched masses of immigrants, tired and dirty, created an image that encouraged anti-immigration attitudes. They were certainly a stark contrast to the well-dressed and purportedly educated bourgeoisie strolling on the island. Ellis Island, as a diseased site, represented both fear and attraction for tourists. The sight of the expelled immigrants alleviated citizens’ anxiety about “strangeness” and underpinned an appropriate discourse on national values of ability and racial purity in the face of invaders from the other side of the globe. The amateurish gaze of the visitor supplemented that of the physicians, and both collaborated to support a system of classifications based on normativity. Thus, national narratives of ability took shape both through touristic gazes of counteridentification and through the inspectors’ redundant transcription of ideal citizenship against the alien others. In this way, fictive ability was staged publicly as the prerogative of a few white, ablebodied, male, and heterosexual citizens. </w:t>
      </w:r>
      <w:r w:rsidRPr="00F933AF">
        <w:rPr>
          <w:rStyle w:val="Emphasis"/>
          <w:rFonts w:cs="Calibri"/>
        </w:rPr>
        <w:t>As the first and largest immigration station in the United States, Ellis Island translated ideals of nation and citizenship into a medical discourse based on fictive ability</w:t>
      </w:r>
      <w:r w:rsidRPr="00F933AF">
        <w:rPr>
          <w:rFonts w:cs="Calibri"/>
          <w:u w:val="single"/>
        </w:rPr>
        <w:t>.</w:t>
      </w:r>
      <w:r w:rsidRPr="00F933AF">
        <w:rPr>
          <w:rFonts w:cs="Calibri"/>
        </w:rPr>
        <w:t xml:space="preserve"> The medical inspections on the island represented not only a prerequisite for citizenship but also a prerequisite for redefining the nation in objective scientific terms. Medical science served to blur the demarcations between human difference and pathology, leading to a rendition of foreignness as always already contagious</w:t>
      </w:r>
      <w:r w:rsidRPr="00F933AF">
        <w:rPr>
          <w:rFonts w:cs="Calibri"/>
          <w:u w:val="single"/>
        </w:rPr>
        <w:t>. Fictive ability, then, functioned as the imaginary standard against which immigrants were judged and which informed national attitudes toward race, gender, and class. Moreover, ability and health were made to appear as inherited traits to be defended at any cost, betraying the fantasy that an ideal state always attracts and produces healthy citizens—citizens who maintain in turn the moral, physical, and intellectual vigor of their home nation</w:t>
      </w:r>
      <w:r w:rsidRPr="00F933AF">
        <w:rPr>
          <w:rFonts w:cs="Calibri"/>
        </w:rPr>
        <w:t xml:space="preserve">. Thus, the United States emerged as a privileged space, scientifically designed to protect the chosen few from the crowds of diseased incomers amassing at its borders. The nation-state has always been haunted by the specter of its others. At first glance, it may seem that merely acknowledging those marginal to the state will suffice to offer a potent critique of its construction. A critical account of nationality, however, must rely on a vision of many others, both those within and without, and approach otherness on the model of intersectional theory, situating disability studies among theories of race, gender, and class. </w:t>
      </w:r>
      <w:r w:rsidRPr="00F933AF">
        <w:rPr>
          <w:rFonts w:cs="Calibri"/>
          <w:u w:val="single"/>
        </w:rPr>
        <w:t>Only an intersectional approach that makes visible the central role of disability in national narratives will shed light upon the ubiquity of ability and its medical enforcement in the makeup of the nation-state. When interrogated at multiple intersections with disability, the nation-state shows itself for what it truly is—an ideology that depends for its cohesiveness on other no less significant ideologies.</w:t>
      </w:r>
    </w:p>
    <w:p w:rsidR="00AA40A1" w:rsidRPr="00F933AF" w:rsidRDefault="00AA40A1" w:rsidP="00AA40A1">
      <w:pPr>
        <w:rPr>
          <w:rFonts w:cs="Calibri"/>
        </w:rPr>
      </w:pPr>
    </w:p>
    <w:p w:rsidR="00AA40A1" w:rsidRPr="00F933AF" w:rsidRDefault="00AA40A1" w:rsidP="00AA40A1">
      <w:pPr>
        <w:pStyle w:val="Heading4"/>
        <w:rPr>
          <w:rFonts w:cs="Calibri"/>
        </w:rPr>
      </w:pPr>
      <w:r w:rsidRPr="00F933AF">
        <w:rPr>
          <w:rFonts w:cs="Calibri"/>
        </w:rPr>
        <w:t>Ableism is ingrained in public charge law</w:t>
      </w:r>
    </w:p>
    <w:p w:rsidR="00AA40A1" w:rsidRPr="00F933AF" w:rsidRDefault="00AA40A1" w:rsidP="00AA40A1">
      <w:pPr>
        <w:rPr>
          <w:rFonts w:cs="Calibri"/>
        </w:rPr>
      </w:pPr>
      <w:r w:rsidRPr="00F933AF">
        <w:rPr>
          <w:rStyle w:val="Style13ptBold"/>
          <w:rFonts w:cs="Calibri"/>
        </w:rPr>
        <w:t>Fernando and Rinaldi 17</w:t>
      </w:r>
      <w:r w:rsidRPr="00F933AF">
        <w:rPr>
          <w:rFonts w:cs="Calibri"/>
        </w:rPr>
        <w:t xml:space="preserve"> (Shanti Fernando, professor of undergraduate political science at the University of Ontario Institute of Technology, PhD degree in Political Science from Queen's University, former professor at York University, Mount Allison University, Jen Rinaldi, professor of social sciences and humanities at the University of Ontario Institute of Technology, researcher for the Women’s College Hospital, PhD in philosophy, 2017, “Seeking Equity: Disrupting a History of Exclusionary Immigration Frameworks”, Canadian Ethnic Studies, Volume 49, Number 3, Project Muse)/CWB</w:t>
      </w:r>
    </w:p>
    <w:p w:rsidR="00AA40A1" w:rsidRPr="00F933AF" w:rsidRDefault="00AA40A1" w:rsidP="00AA40A1">
      <w:pPr>
        <w:rPr>
          <w:rStyle w:val="StyleUnderline"/>
          <w:rFonts w:cs="Calibri"/>
        </w:rPr>
      </w:pPr>
      <w:r w:rsidRPr="00F933AF">
        <w:rPr>
          <w:rStyle w:val="StyleUnderline"/>
          <w:rFonts w:cs="Calibri"/>
        </w:rPr>
        <w:t>This ableism was formalized when prohibited classes were introduced into immigration law</w:t>
      </w:r>
      <w:r w:rsidRPr="00F933AF">
        <w:rPr>
          <w:rFonts w:cs="Calibri"/>
          <w:sz w:val="16"/>
        </w:rPr>
        <w:t xml:space="preserve"> at the beginning of the 20th century. In 1902, legislation was amended in An Act to Amend the Immigration Act to prohibit the entry of immigrants “suffering from any loathsome, dangerous, or infectious disease or malady”. When debating the amendment in the House of Commons, Minister of the Interior Mr. Frank Oliver held that “the first consideration—in immigration standards—should be the intellectual as well as the physical quality of those immigrants” (House of Commons Debates 1902, 3740). In the 1906 iteration of the statute, under sections 26-28, </w:t>
      </w:r>
      <w:r w:rsidRPr="00F933AF">
        <w:rPr>
          <w:rStyle w:val="StyleUnderline"/>
          <w:rFonts w:cs="Calibri"/>
        </w:rPr>
        <w:t>the following persons constituted classes prohibited from entering</w:t>
      </w:r>
      <w:r w:rsidRPr="00F933AF">
        <w:rPr>
          <w:rFonts w:cs="Calibri"/>
          <w:sz w:val="16"/>
        </w:rPr>
        <w:t xml:space="preserve"> Canada: </w:t>
      </w:r>
      <w:r w:rsidRPr="00F933AF">
        <w:rPr>
          <w:rStyle w:val="StyleUnderline"/>
          <w:rFonts w:cs="Calibri"/>
        </w:rPr>
        <w:t>physically and mentally disabled persons, or anyone “who is feeble-minded, an idiot, or an epileptic, or who is insane, or has had an attack of insanity within five years; [who is] deaf, or dumb, blind or infirm;” persons with diseases, “loathsome…contagious or infectious and which may become dangerous to the public health or widely disseminated;” and impoverished persons, or anyone “who is a pauper, or destitute, a professional beggar, or vagrant, or who is likely to become a public charge…or has become a charge upon the public funds.”</w:t>
      </w:r>
      <w:r w:rsidRPr="00F933AF">
        <w:rPr>
          <w:rFonts w:cs="Calibri"/>
          <w:sz w:val="16"/>
        </w:rPr>
        <w:t xml:space="preserve"> An exception that was originally made under section 26, for disabled persons who were admissible as long as they had families willing and able to provide permanent support, was left out of the 1910 amendments for cases of mental defect. As a state responsibility (rather than Medical Superintendents’), government officials were granted discretionary powers to determine in/admissibility under sections 21-23 of the 1906 Immigration Act. Judith Mosoff (1999) observes that through this long restrictionist era, “from 1906 to 1976, labels of diagnoses were absolutely determinative of admissibility” (151) regardless of family support or capability to contribute to the Canadian economy or live independently. </w:t>
      </w:r>
      <w:r w:rsidRPr="00F933AF">
        <w:rPr>
          <w:rStyle w:val="StyleUnderline"/>
          <w:rFonts w:cs="Calibri"/>
        </w:rPr>
        <w:t>A CRT analysis show both the social and political construction of those with diagnoses or with limited funds as undesirable, and the convergence of economic interests that justified excluding undesirable immigrants. The calculus of these interests showed that even some of those who were not going to be economically undesirable immigrants were still labelled as undesirable as their disability rendered them so.</w:t>
      </w:r>
    </w:p>
    <w:p w:rsidR="00675770" w:rsidRPr="00F6498F" w:rsidRDefault="00675770" w:rsidP="00675770">
      <w:pPr>
        <w:pStyle w:val="Heading4"/>
        <w:rPr>
          <w:rStyle w:val="Style13ptBold"/>
          <w:rFonts w:cs="Calibri"/>
          <w:b/>
        </w:rPr>
      </w:pPr>
      <w:r w:rsidRPr="00F6498F">
        <w:rPr>
          <w:rStyle w:val="Style13ptBold"/>
          <w:rFonts w:cs="Calibri"/>
          <w:b/>
        </w:rPr>
        <w:t>Public charge determination is ableist, determining admission off capital production</w:t>
      </w:r>
    </w:p>
    <w:p w:rsidR="00675770" w:rsidRPr="00F933AF" w:rsidRDefault="00675770" w:rsidP="00675770">
      <w:pPr>
        <w:rPr>
          <w:rFonts w:cs="Calibri"/>
        </w:rPr>
      </w:pPr>
      <w:r w:rsidRPr="00F933AF">
        <w:rPr>
          <w:rStyle w:val="Style13ptBold"/>
          <w:rFonts w:cs="Calibri"/>
        </w:rPr>
        <w:t>Flores 13</w:t>
      </w:r>
      <w:r w:rsidRPr="00F933AF">
        <w:rPr>
          <w:rFonts w:cs="Calibri"/>
        </w:rPr>
        <w:t xml:space="preserve"> (Verónica Bayetti Flores, Assistant Director of the Civil Liberties and Public Policy program at Hampshire College, 4/18/13, “T</w:t>
      </w:r>
      <w:hyperlink r:id="rId173" w:history="1">
        <w:r w:rsidRPr="00F933AF">
          <w:rPr>
            <w:rStyle w:val="Hyperlink"/>
            <w:rFonts w:cs="Calibri"/>
          </w:rPr>
          <w:t>HE DRAFT IMMIGRATION REFORM BILL IS A MIXED BAG FOR WOMEN AND LGBTQ FOLKS</w:t>
        </w:r>
      </w:hyperlink>
      <w:r w:rsidRPr="00F933AF">
        <w:rPr>
          <w:rFonts w:cs="Calibri"/>
        </w:rPr>
        <w:t>”, http://feministing.com/2013/04/18/the-draft-immigration-reform-bill-is-a-mixed-bag-for-women-and-lgbtq-folks/)/CWB</w:t>
      </w:r>
    </w:p>
    <w:p w:rsidR="00675770" w:rsidRPr="00F933AF" w:rsidRDefault="00675770" w:rsidP="00675770">
      <w:pPr>
        <w:rPr>
          <w:rStyle w:val="StyleUnderline"/>
          <w:rFonts w:cs="Calibri"/>
        </w:rPr>
      </w:pPr>
      <w:r w:rsidRPr="00F933AF">
        <w:rPr>
          <w:rStyle w:val="StyleUnderline"/>
          <w:rFonts w:cs="Calibri"/>
        </w:rPr>
        <w:t>During the long path</w:t>
      </w:r>
      <w:r w:rsidRPr="00F933AF">
        <w:rPr>
          <w:rFonts w:cs="Calibri"/>
          <w:sz w:val="16"/>
        </w:rPr>
        <w:t xml:space="preserve"> from RPI status </w:t>
      </w:r>
      <w:r w:rsidRPr="00F933AF">
        <w:rPr>
          <w:rStyle w:val="StyleUnderline"/>
          <w:rFonts w:cs="Calibri"/>
        </w:rPr>
        <w:t>to citizenship, low-income immigrants aren’t eligible for public assistance, like Medicaid or food stamps. And it’s not yet completely clear</w:t>
      </w:r>
      <w:r w:rsidRPr="00F933AF">
        <w:rPr>
          <w:rFonts w:cs="Calibri"/>
          <w:sz w:val="16"/>
        </w:rPr>
        <w:t xml:space="preserve"> whether folks with RPI status will benefit from the provisions of the ACA, </w:t>
      </w:r>
      <w:hyperlink r:id="rId174" w:tgtFrame="_blank" w:history="1">
        <w:r w:rsidRPr="00F933AF">
          <w:rPr>
            <w:rStyle w:val="Hyperlink"/>
            <w:rFonts w:cs="Calibri"/>
            <w:sz w:val="16"/>
          </w:rPr>
          <w:t>though it’s not looking good</w:t>
        </w:r>
      </w:hyperlink>
      <w:r w:rsidRPr="00F933AF">
        <w:rPr>
          <w:rFonts w:cs="Calibri"/>
          <w:sz w:val="16"/>
        </w:rPr>
        <w:t>. </w:t>
      </w:r>
      <w:r w:rsidRPr="00F933AF">
        <w:rPr>
          <w:rStyle w:val="StyleUnderline"/>
          <w:rFonts w:cs="Calibri"/>
        </w:rPr>
        <w:t>In very real terms, this may mean 15 years of almost complete lack of access to basic health care – pap smears, birth control, hormones, basic physicals.</w:t>
      </w:r>
      <w:r w:rsidRPr="00F933AF">
        <w:rPr>
          <w:rFonts w:cs="Calibri"/>
          <w:sz w:val="16"/>
        </w:rPr>
        <w:t xml:space="preserve"> What’s more, the RPI </w:t>
      </w:r>
      <w:r w:rsidRPr="00F933AF">
        <w:rPr>
          <w:rStyle w:val="StyleUnderline"/>
          <w:rFonts w:cs="Calibri"/>
        </w:rPr>
        <w:t>status must be renewed</w:t>
      </w:r>
      <w:r w:rsidRPr="00F933AF">
        <w:rPr>
          <w:rFonts w:cs="Calibri"/>
          <w:sz w:val="16"/>
        </w:rPr>
        <w:t xml:space="preserve"> after 6 years, </w:t>
      </w:r>
      <w:r w:rsidRPr="00F933AF">
        <w:rPr>
          <w:rStyle w:val="StyleUnderline"/>
          <w:rFonts w:cs="Calibri"/>
        </w:rPr>
        <w:t>at which time people will have to go through what’s called a public charge determination – i.e. they will try to determine if the person renewing is likely to become a “public charge” or a drain on society. Getting older? Developed a chronic illness? You may be out of luck! Because in this ableist society, we only deem people worthy in terms of how much capital they are able to produce.</w:t>
      </w:r>
    </w:p>
    <w:p w:rsidR="00AA40A1" w:rsidRPr="00F933AF" w:rsidRDefault="00AA40A1" w:rsidP="00AA40A1">
      <w:pPr>
        <w:rPr>
          <w:rFonts w:cs="Calibri"/>
        </w:rPr>
      </w:pPr>
    </w:p>
    <w:p w:rsidR="00AA40A1" w:rsidRPr="00F933AF" w:rsidRDefault="00AA40A1" w:rsidP="00AA40A1">
      <w:pPr>
        <w:pStyle w:val="Heading4"/>
        <w:rPr>
          <w:rFonts w:cs="Calibri"/>
        </w:rPr>
      </w:pPr>
      <w:r w:rsidRPr="00F933AF">
        <w:rPr>
          <w:rFonts w:cs="Calibri"/>
        </w:rPr>
        <w:t>The origins of public charge are rooted in eugenics and ableism that perpetuate the medical model and damn people of disabilities to a status undeserving of rights accessed by abled-bodies</w:t>
      </w:r>
    </w:p>
    <w:p w:rsidR="00AA40A1" w:rsidRPr="00F933AF" w:rsidRDefault="00AA40A1" w:rsidP="00AA40A1">
      <w:pPr>
        <w:rPr>
          <w:rFonts w:cs="Calibri"/>
        </w:rPr>
      </w:pPr>
      <w:r w:rsidRPr="00F933AF">
        <w:rPr>
          <w:rFonts w:cs="Calibri"/>
          <w:b/>
        </w:rPr>
        <w:t xml:space="preserve">Baynton 5 </w:t>
      </w:r>
      <w:r w:rsidRPr="00F933AF">
        <w:rPr>
          <w:rFonts w:cs="Calibri"/>
          <w:sz w:val="18"/>
          <w:szCs w:val="18"/>
        </w:rPr>
        <w:t>(Douglas C. Baynton, professor of American Cultural History, History of Disability, and American Sign Language, “Defectives in the Land: Disability and American Immigration Policy, 1882-1924,” Journal of American Ethnic History, Vol. 24, No.3, pg. 32-35, 2005, jstor)jy</w:t>
      </w:r>
    </w:p>
    <w:p w:rsidR="00AA40A1" w:rsidRPr="00F933AF" w:rsidRDefault="00AA40A1" w:rsidP="00AA40A1">
      <w:pPr>
        <w:rPr>
          <w:rFonts w:cs="Calibri"/>
          <w:sz w:val="10"/>
        </w:rPr>
      </w:pPr>
      <w:r w:rsidRPr="00F933AF">
        <w:rPr>
          <w:rFonts w:cs="Calibri"/>
          <w:sz w:val="10"/>
        </w:rPr>
        <w:t xml:space="preserve">William Williams, the Commissioner of Immigration at Ellis Island, had built a reputation as a strict enforcer of the immigration laws, particularly those related to physical and mental defects. He urged the Secretary to dismiss Fuko's appeal, because "her child will always be physically defective, and it would be improper to admit merely because of the relatives here." The Commissioner General of the Bureau of Immigration agreed, saying that "the Bureau does not think the mere presence here of two sons affords any good ground for admitting these physically defective aliens." The Secretary, deferring as he usually did to the Commissioner of the station and the Commissioner General when they were in agre ment, dismissed the appeal. Sophie Fuko and her son were put aboard the USS Pennsylvania on December 21 and returned to an unknown fate in Hungary.1 </w:t>
      </w:r>
      <w:r w:rsidRPr="00F933AF">
        <w:rPr>
          <w:rFonts w:cs="Calibri"/>
          <w:u w:val="single"/>
        </w:rPr>
        <w:t>One of the driving forces behind early federal immigration law</w:t>
      </w:r>
      <w:r w:rsidRPr="00F933AF">
        <w:rPr>
          <w:rFonts w:cs="Calibri"/>
          <w:sz w:val="10"/>
        </w:rPr>
        <w:t xml:space="preserve">, beginning with the first major Immigration Act in 1882, </w:t>
      </w:r>
      <w:r w:rsidRPr="00F933AF">
        <w:rPr>
          <w:rFonts w:cs="Calibri"/>
          <w:u w:val="single"/>
        </w:rPr>
        <w:t>was the exclusion of people with mental and physical defects</w:t>
      </w:r>
      <w:r w:rsidRPr="00F933AF">
        <w:rPr>
          <w:rFonts w:cs="Calibri"/>
          <w:sz w:val="10"/>
        </w:rPr>
        <w:t xml:space="preserve"> (as well as those considered criminal or immoral, problems seen at the time as closely related to mental defect). Congressional legislation throughout this period repeatedly, and with ever increasing urgency, identified defective immigrants as a threat to the nation. </w:t>
      </w:r>
      <w:r w:rsidRPr="00F933AF">
        <w:rPr>
          <w:rFonts w:cs="Calibri"/>
          <w:u w:val="single"/>
        </w:rPr>
        <w:t xml:space="preserve">The desire to keep out immigrants deemed defective was not </w:t>
      </w:r>
      <w:proofErr w:type="gramStart"/>
      <w:r w:rsidRPr="00F933AF">
        <w:rPr>
          <w:rFonts w:cs="Calibri"/>
          <w:u w:val="single"/>
        </w:rPr>
        <w:t>a</w:t>
      </w:r>
      <w:proofErr w:type="gramEnd"/>
      <w:r w:rsidRPr="00F933AF">
        <w:rPr>
          <w:rFonts w:cs="Calibri"/>
          <w:u w:val="single"/>
        </w:rPr>
        <w:t xml:space="preserve"> isolated development, but rather was one aspect of a trend toward the increasing segregation of disabled people into institutions and the sterilization of the "unfit" and "degenerate" under state eugenic laws. </w:t>
      </w:r>
      <w:r w:rsidRPr="00F933AF">
        <w:rPr>
          <w:rFonts w:cs="Calibri"/>
          <w:sz w:val="10"/>
        </w:rPr>
        <w:t>While anti-immigrant sentiment in the United States has long been a significant area of scholarly research, disability has held a marginal place in that scholarship. John Higham's Strangers in the Land identified three main currents of anti-immigrant sentiment: anti-Catholicism, fear of foreign radicals, and racial nativism. Roger Daniels stated in Coming to America that "</w:t>
      </w:r>
      <w:r w:rsidRPr="00F933AF">
        <w:rPr>
          <w:rFonts w:cs="Calibri"/>
          <w:u w:val="single"/>
        </w:rPr>
        <w:t>by 1917 the immigration policy of the United States had been restricted in seven major ways</w:t>
      </w:r>
      <w:r w:rsidRPr="00F933AF">
        <w:rPr>
          <w:rFonts w:cs="Calibri"/>
          <w:sz w:val="10"/>
        </w:rPr>
        <w:t xml:space="preserve">," </w:t>
      </w:r>
      <w:r w:rsidRPr="00F933AF">
        <w:rPr>
          <w:rFonts w:cs="Calibri"/>
          <w:u w:val="single"/>
        </w:rPr>
        <w:t>with admission being denied to "Asians . . .; criminals; persons who failed to meet certain moral standards; persons with various diseases; paupers; assorted radicals; and illiterates</w:t>
      </w:r>
      <w:r w:rsidRPr="00F933AF">
        <w:rPr>
          <w:rFonts w:cs="Calibri"/>
          <w:sz w:val="10"/>
        </w:rPr>
        <w:t xml:space="preserve">." Alan Kraut's Silent Travelers and Amy Fairchild's recent book, 33 </w:t>
      </w:r>
      <w:r w:rsidRPr="00F933AF">
        <w:rPr>
          <w:rFonts w:cs="Calibri"/>
          <w:u w:val="single"/>
        </w:rPr>
        <w:t>Science</w:t>
      </w:r>
      <w:r w:rsidRPr="00F933AF">
        <w:rPr>
          <w:rFonts w:cs="Calibri"/>
          <w:sz w:val="10"/>
        </w:rPr>
        <w:t xml:space="preserve"> at the Borders, </w:t>
      </w:r>
      <w:r w:rsidRPr="00F933AF">
        <w:rPr>
          <w:rFonts w:cs="Calibri"/>
          <w:u w:val="single"/>
        </w:rPr>
        <w:t>brought a welcome focus to medical inspection, but did not examine communicable disease and disability as distinct issues, nor explore the cultural stigmatization of disability that formed the background to these laws</w:t>
      </w:r>
      <w:r w:rsidRPr="00F933AF">
        <w:rPr>
          <w:rFonts w:cs="Calibri"/>
          <w:sz w:val="10"/>
        </w:rPr>
        <w:t xml:space="preserve">.2 Sophie Fuko does not fit into any of the categories that historians of im migration policy have described as fundamental to anti-immigrant sentiment or the enactment of exclusionary immigration policies in the United States. Though she had little money at hand, she was by no definition a pauper. Neither she nor her son was a carrier of disease. The only charge against Fuko, and many other similar immigrants, was that they were defective. Countless other immigrants passed through Ellis Island with fewer financial resources, no family in the United States to turn to in case of difficulty, and certainly less poignant personal circumstances. </w:t>
      </w:r>
      <w:r w:rsidRPr="00F933AF">
        <w:rPr>
          <w:rFonts w:cs="Calibri"/>
          <w:u w:val="single"/>
        </w:rPr>
        <w:t>Disability was a crucial factor in deciding whether an immigrant would be allowed to enter the United States</w:t>
      </w:r>
      <w:r w:rsidRPr="00F933AF">
        <w:rPr>
          <w:rFonts w:cs="Calibri"/>
          <w:sz w:val="10"/>
        </w:rPr>
        <w:t xml:space="preserve">. The first major immigration law, </w:t>
      </w:r>
      <w:r w:rsidRPr="00F933AF">
        <w:rPr>
          <w:rFonts w:cs="Calibri"/>
          <w:u w:val="single"/>
        </w:rPr>
        <w:t>the Act of 1882, prohibited entry to any "lunatic, idiot, or any person unable to take care of himself or herself without becoming a public charge</w:t>
      </w:r>
      <w:r w:rsidRPr="00F933AF">
        <w:rPr>
          <w:rFonts w:cs="Calibri"/>
          <w:sz w:val="10"/>
        </w:rPr>
        <w:t xml:space="preserve">." Those placed in the categories "lunatic" or "idiot" were automatically excluded. </w:t>
      </w:r>
      <w:r w:rsidRPr="00F933AF">
        <w:rPr>
          <w:rFonts w:cs="Calibri"/>
          <w:u w:val="single"/>
        </w:rPr>
        <w:t>The "public charge" provision was intended to encompass individuals with disabilities more generally, and was left to the examining officer's discretion</w:t>
      </w:r>
      <w:r w:rsidRPr="00F933AF">
        <w:rPr>
          <w:rFonts w:cs="Calibri"/>
          <w:sz w:val="10"/>
        </w:rPr>
        <w:t xml:space="preserve">.3 </w:t>
      </w:r>
      <w:proofErr w:type="gramStart"/>
      <w:r w:rsidRPr="00F933AF">
        <w:rPr>
          <w:rFonts w:cs="Calibri"/>
          <w:u w:val="single"/>
        </w:rPr>
        <w:t>The</w:t>
      </w:r>
      <w:proofErr w:type="gramEnd"/>
      <w:r w:rsidRPr="00F933AF">
        <w:rPr>
          <w:rFonts w:cs="Calibri"/>
          <w:u w:val="single"/>
        </w:rPr>
        <w:t xml:space="preserve"> criteria for excluding disabled persons were steadily tightened as the eugenics movement and popular fears about the decline of the national stock gathered strength. The Act of 1891 replaced the phrase "unable to take care of himself or herself without becoming a public charge," with "likely to become a public charge." The 1907 law then required a medical certificate for anyone judged "mentally or physically defective, such mental or physical defect being of a nature which may affect the ability of such alien to earn a living."</w:t>
      </w:r>
      <w:r w:rsidRPr="00F933AF">
        <w:rPr>
          <w:rFonts w:cs="Calibri"/>
          <w:sz w:val="10"/>
        </w:rPr>
        <w:t xml:space="preserve"> While nondisabled immigrants continued to be admitted unless found to be "likely to become a public charge," disabled people were subject to this more rigorous standard.4 </w:t>
      </w:r>
      <w:r w:rsidRPr="00F933AF">
        <w:rPr>
          <w:rFonts w:cs="Calibri"/>
          <w:u w:val="single"/>
        </w:rPr>
        <w:t>Exclusions for mental defect were steadily expanded. In 1903 people with epilepsy were added, as well as "persons who have been insane within five years previous [or] who have had two or more attacks of in sanity at any time previously." In 1907 "imbeciles" and "feeble-minded persons" had been barred, in addition to "idiots." In 1917 the classification of "constitutional psychopathic inferiority" was added, which inspection regulations described as including "various unstable individuals on the border line between sanity and insanity, such as . . . persons with abnormal sex instincts</w:t>
      </w:r>
      <w:r w:rsidRPr="00F933AF">
        <w:rPr>
          <w:rFonts w:cs="Calibri"/>
          <w:sz w:val="10"/>
        </w:rPr>
        <w:t xml:space="preserve">." </w:t>
      </w:r>
      <w:r w:rsidRPr="00F933AF">
        <w:rPr>
          <w:rFonts w:cs="Calibri"/>
          <w:u w:val="single"/>
        </w:rPr>
        <w:t>Officials were instructed to exclude persons with "any mental abnormality</w:t>
      </w:r>
      <w:r w:rsidRPr="00F933AF">
        <w:rPr>
          <w:rFonts w:cs="Calibri"/>
          <w:sz w:val="10"/>
        </w:rPr>
        <w:t xml:space="preserve"> whatever . . . which justifies the statement that the alien is mentally defective." </w:t>
      </w:r>
      <w:r w:rsidRPr="00F933AF">
        <w:rPr>
          <w:rFonts w:cs="Calibri"/>
          <w:u w:val="single"/>
        </w:rPr>
        <w:t xml:space="preserve">This provision, </w:t>
      </w:r>
      <w:r w:rsidRPr="00F933AF">
        <w:rPr>
          <w:rFonts w:cs="Calibri"/>
          <w:sz w:val="10"/>
        </w:rPr>
        <w:t xml:space="preserve">the regulations explain, </w:t>
      </w:r>
      <w:r w:rsidRPr="00F933AF">
        <w:rPr>
          <w:rFonts w:cs="Calibri"/>
          <w:u w:val="single"/>
        </w:rPr>
        <w:t>was intended "as a means of excluding aliens of a mentally inferior type</w:t>
      </w:r>
      <w:r w:rsidRPr="00F933AF">
        <w:rPr>
          <w:rFonts w:cs="Calibri"/>
          <w:sz w:val="10"/>
        </w:rPr>
        <w:t xml:space="preserve">, not comprehended in the other provisions of the law, without being under the necessity, as formerly, of </w:t>
      </w:r>
      <w:r w:rsidRPr="00F933AF">
        <w:rPr>
          <w:rFonts w:cs="Calibri"/>
          <w:u w:val="single"/>
        </w:rPr>
        <w:t>showing that they have a defect which may affect their ability to earn a living</w:t>
      </w:r>
      <w:r w:rsidRPr="00F933AF">
        <w:rPr>
          <w:rFonts w:cs="Calibri"/>
          <w:sz w:val="10"/>
        </w:rPr>
        <w:t xml:space="preserve">."5 The rules governing exclusion for physical disabilities were equally vague and expansive. </w:t>
      </w:r>
      <w:r w:rsidRPr="00F933AF">
        <w:rPr>
          <w:rFonts w:cs="Calibri"/>
          <w:u w:val="single"/>
        </w:rPr>
        <w:t>Regulations instructed inspectors that "each individual should be seen first at rest and then in motion," in order to detect "irregularities in movement" and "abnormalities of any description." It listed defects that could be cause for exclusion, a few examples of which were arthritis, asthma, bunions, deafness, deformities, flat feet, heart disease, hernia, hysteria, poor eyesight, poor physical development, spinal curvature, vascular disease of the heart, and varicose veins</w:t>
      </w:r>
      <w:r w:rsidRPr="00F933AF">
        <w:rPr>
          <w:rFonts w:cs="Calibri"/>
          <w:sz w:val="10"/>
        </w:rPr>
        <w:t xml:space="preserve">.6 An Ellis Island medical inspector later wrote that his task was "to detect poorly built, defective or broken down human beings."7 In short, </w:t>
      </w:r>
      <w:r w:rsidRPr="00F933AF">
        <w:rPr>
          <w:rFonts w:cs="Calibri"/>
          <w:u w:val="single"/>
        </w:rPr>
        <w:t>the exclusion of disabled people was central to the laws governing immigration</w:t>
      </w:r>
      <w:r w:rsidRPr="00F933AF">
        <w:rPr>
          <w:rFonts w:cs="Calibri"/>
          <w:sz w:val="10"/>
        </w:rPr>
        <w:t xml:space="preserve">. As the Commissioner General of Immigration reported in 1907, "The exclusion from this country of the morally, mentally, and physically deficient is the principal object to be accomplished by the immigration laws."8 </w:t>
      </w:r>
      <w:r w:rsidRPr="00F933AF">
        <w:rPr>
          <w:rFonts w:cs="Calibri"/>
          <w:u w:val="single"/>
        </w:rPr>
        <w:t>These laws were usually presented as simply a matter of economics</w:t>
      </w:r>
      <w:r w:rsidRPr="00F933AF">
        <w:rPr>
          <w:rFonts w:cs="Calibri"/>
          <w:sz w:val="10"/>
        </w:rPr>
        <w:t xml:space="preserve">. The issue, however, was rarely so straightforward. Many rejected immigrants had been self-supporting in their home countries. Others received job offers while awaiting their hearing, but still were deported as likely to become public charges. </w:t>
      </w:r>
      <w:r w:rsidRPr="00F933AF">
        <w:rPr>
          <w:rFonts w:cs="Calibri"/>
          <w:b/>
          <w:u w:val="single"/>
        </w:rPr>
        <w:t>More importantly, to the extent that some people with disabilities might indeed encounter difficulties in finding employment, the public charge law also assumes that the unemployment or underemployment of disabled people is a problem centered in bodies rather than in the relationship between particular bodies and the constructed physical and social environments in which they live</w:t>
      </w:r>
      <w:r w:rsidRPr="00F933AF">
        <w:rPr>
          <w:rFonts w:cs="Calibri"/>
          <w:sz w:val="10"/>
        </w:rPr>
        <w:t>. This may have been the only practical assumption for immigration officials, but historians should put immigration restriction into context as one element in a larger system of dis crimination that made it difficult for disabled people to live and move about independently. Leaving aside, however, complex questions of what factors made (and still make) it difficult for disabled people to find work</w:t>
      </w:r>
      <w:r w:rsidRPr="00F933AF">
        <w:rPr>
          <w:rFonts w:cs="Calibri"/>
          <w:b/>
          <w:u w:val="single"/>
        </w:rPr>
        <w:t>, the economic explanation for exclusion remains an incomplete one</w:t>
      </w:r>
      <w:r w:rsidRPr="00F933AF">
        <w:rPr>
          <w:rFonts w:cs="Calibri"/>
          <w:sz w:val="10"/>
        </w:rPr>
        <w:t xml:space="preserve">. Two examples of the mixed motives and reasoning that went into </w:t>
      </w:r>
      <w:r w:rsidRPr="00F933AF">
        <w:rPr>
          <w:rFonts w:cs="Calibri"/>
          <w:u w:val="single"/>
        </w:rPr>
        <w:t>these exclusions were the diagnoses "poor physique" and "lack of sexual development</w:t>
      </w:r>
      <w:r w:rsidRPr="00F933AF">
        <w:rPr>
          <w:rFonts w:cs="Calibri"/>
          <w:sz w:val="10"/>
        </w:rPr>
        <w:t xml:space="preserve">." In his Annual Report of 1904, the </w:t>
      </w:r>
      <w:r w:rsidRPr="00F933AF">
        <w:rPr>
          <w:rFonts w:cs="Calibri"/>
          <w:u w:val="single"/>
        </w:rPr>
        <w:t>Commissioner of Ellis Island</w:t>
      </w:r>
      <w:r w:rsidRPr="00F933AF">
        <w:rPr>
          <w:rFonts w:cs="Calibri"/>
          <w:sz w:val="10"/>
        </w:rPr>
        <w:t xml:space="preserve">, William Williams, suggested that the country was "receiving too many immigrants whose physical condition is poor." The only disabled persons specifically excluded under law at that time were idiots, insane persons, and epileptics (the category of "physical and mental defects" came in 1907). As Williams explained, to exclude immigrants certified with physical impairments required finding that they were likely to become public charges, "yet it is obviously impossible to exclude on this ground all persons whose physical condition is poor." He </w:t>
      </w:r>
      <w:r w:rsidRPr="00F933AF">
        <w:rPr>
          <w:rFonts w:cs="Calibri"/>
          <w:u w:val="single"/>
        </w:rPr>
        <w:t>urged that the exclusion of immigrants certified as having "poor physique" be made mandatory in all cases</w:t>
      </w:r>
      <w:r w:rsidRPr="00F933AF">
        <w:rPr>
          <w:rFonts w:cs="Calibri"/>
          <w:sz w:val="10"/>
        </w:rPr>
        <w:t xml:space="preserve">.9 Soon thereafter, Robert DeCourcey Ward of the Immigration Restriction League wrote to the Commissioner General of Immigration, Frank Sargent, urging him to take up Williams's cause before Congress.10 The specific diagnostic category was never embodied in law, but within a year "poor physique" was being widely used as a diagnosis by immigration officials to exclude immigrants on grounds of being "likely to become a public charge." </w:t>
      </w:r>
      <w:r w:rsidRPr="00F933AF">
        <w:rPr>
          <w:rFonts w:cs="Calibri"/>
          <w:u w:val="single"/>
        </w:rPr>
        <w:t>The immigration service defined poor physique as covering individuals "who have frail frame, flat chest, and are generally deficient in muscular development," or who are "undersized--markedly of short stature--dwarf</w:t>
      </w:r>
      <w:r w:rsidRPr="00F933AF">
        <w:rPr>
          <w:rFonts w:cs="Calibri"/>
          <w:sz w:val="10"/>
        </w:rPr>
        <w:t>."11 As one medical officer explained,</w:t>
      </w:r>
      <w:r w:rsidRPr="00F933AF">
        <w:rPr>
          <w:rStyle w:val="StyleUnderline"/>
          <w:rFonts w:cs="Calibri"/>
        </w:rPr>
        <w:t xml:space="preserve"> t</w:t>
      </w:r>
      <w:r w:rsidRPr="00F933AF">
        <w:rPr>
          <w:rFonts w:cs="Calibri"/>
          <w:u w:val="single"/>
        </w:rPr>
        <w:t>he "immigrant of poor physique is not able to perform rough labor, and even if he were able, employers of labor would not hire him</w:t>
      </w:r>
      <w:r w:rsidRPr="00F933AF">
        <w:rPr>
          <w:rFonts w:cs="Calibri"/>
          <w:sz w:val="10"/>
        </w:rPr>
        <w:t xml:space="preserve">."12 That is, </w:t>
      </w:r>
      <w:r w:rsidRPr="00F933AF">
        <w:rPr>
          <w:rFonts w:cs="Calibri"/>
          <w:u w:val="single"/>
        </w:rPr>
        <w:t>the belief that an immigrant was unfit to work justified exclusion, but so did the belief that an immigrant was likely to encounter discrimination because of a disability</w:t>
      </w:r>
      <w:r w:rsidRPr="00F933AF">
        <w:rPr>
          <w:rFonts w:cs="Calibri"/>
          <w:sz w:val="10"/>
        </w:rPr>
        <w:t xml:space="preserve">. Eugenic considerations also played an important role in both the creation and the application of immigration law. In a letter to the Commissioner General, the Ellis Island Commissioner wrote that </w:t>
      </w:r>
      <w:r w:rsidRPr="00F933AF">
        <w:rPr>
          <w:rFonts w:cs="Calibri"/>
          <w:u w:val="single"/>
        </w:rPr>
        <w:t>the Bureau had "no more important work to perform than that of picking out all mentally defective immigrants, for these are not only likely to join the criminal classes and become public charges, but by leaving feebleminded descendents they start vicious strains which lead to misery and loss in future generations and influence unfavorably the character and lives of hundreds of persons</w:t>
      </w:r>
      <w:r w:rsidRPr="00F933AF">
        <w:rPr>
          <w:rFonts w:cs="Calibri"/>
          <w:sz w:val="10"/>
        </w:rPr>
        <w:t xml:space="preserve">."13 This inter-generational "contagion" of defect worried the Commissioner General about immigrants with "poor physiques." In a 1905 memorandum, he explained that "a certificate of this nature implies that the alien concerned is afflicted with a body but illy adapted ... to the work necessary to earn his bread," and further that </w:t>
      </w:r>
      <w:r w:rsidRPr="00F933AF">
        <w:rPr>
          <w:rFonts w:cs="Calibri"/>
          <w:u w:val="single"/>
        </w:rPr>
        <w:t>the immigrant is "undersized, poorly developed [and] physically degenerate, and as such, not only unlikely to become a desirable citizen, but also very likely to transmit his undesirable qualities to his offspring, should he unfortunately for the country in which he is domiciled, have any."</w:t>
      </w:r>
      <w:r w:rsidRPr="00F933AF">
        <w:rPr>
          <w:rFonts w:cs="Calibri"/>
          <w:sz w:val="10"/>
        </w:rPr>
        <w:t>14</w:t>
      </w:r>
    </w:p>
    <w:p w:rsidR="00AA40A1" w:rsidRPr="00F933AF" w:rsidRDefault="00AA40A1" w:rsidP="00AA40A1">
      <w:pPr>
        <w:pStyle w:val="Heading4"/>
        <w:rPr>
          <w:rFonts w:cs="Calibri"/>
        </w:rPr>
      </w:pPr>
      <w:r w:rsidRPr="00F933AF">
        <w:rPr>
          <w:rFonts w:cs="Calibri"/>
        </w:rPr>
        <w:t>Ableism is rooted in immigration law</w:t>
      </w:r>
    </w:p>
    <w:p w:rsidR="00AA40A1" w:rsidRPr="00F933AF" w:rsidRDefault="00AA40A1" w:rsidP="00AA40A1">
      <w:pPr>
        <w:spacing w:after="0"/>
        <w:rPr>
          <w:rFonts w:cs="Calibri"/>
        </w:rPr>
      </w:pPr>
      <w:r w:rsidRPr="00F933AF">
        <w:rPr>
          <w:rStyle w:val="Style13ptBold"/>
          <w:rFonts w:cs="Calibri"/>
        </w:rPr>
        <w:t>Schweik 11</w:t>
      </w:r>
      <w:r w:rsidRPr="00F933AF">
        <w:rPr>
          <w:rFonts w:cs="Calibri"/>
        </w:rPr>
        <w:t xml:space="preserve"> (Susan, Associate Dean of Arts and Humanities. In 2018 she was awarded the Jeanette K. Watson Distinguished Visiting Professorship at the Humanities Center, Syracuse University. A recipient of Berkeley's Chancellor's Award for Advancing Institutional Excellence and U.C.'s Presidential Chair in Undergraduate </w:t>
      </w:r>
      <w:proofErr w:type="gramStart"/>
      <w:r w:rsidRPr="00F933AF">
        <w:rPr>
          <w:rFonts w:cs="Calibri"/>
        </w:rPr>
        <w:t>Education ,</w:t>
      </w:r>
      <w:proofErr w:type="gramEnd"/>
      <w:r w:rsidRPr="00F933AF">
        <w:rPr>
          <w:rFonts w:cs="Calibri"/>
        </w:rPr>
        <w:t xml:space="preserve"> she has been involved with the development of disability studies at Berkeley for over 17 years. Social Research, Vol. 78, No. 2, The Body and the State: How the State Controls and Protects the Body, Part I (SUMMER 2011), pp. 417-442, “Disability and the Normal Body of the (Native) Citizen,” Johns Hopkins University Press. JSTOR) NREM/Lil’ GBN</w:t>
      </w:r>
    </w:p>
    <w:p w:rsidR="00AA40A1" w:rsidRPr="00F933AF" w:rsidRDefault="00AA40A1" w:rsidP="00AA40A1">
      <w:pPr>
        <w:spacing w:after="0"/>
        <w:rPr>
          <w:rFonts w:cs="Calibri"/>
        </w:rPr>
      </w:pPr>
      <w:r w:rsidRPr="00F933AF">
        <w:rPr>
          <w:rFonts w:cs="Calibri"/>
        </w:rPr>
        <w:t xml:space="preserve"> http://www.jstor.org/stable/23347184</w:t>
      </w:r>
    </w:p>
    <w:p w:rsidR="00AA40A1" w:rsidRPr="00F933AF" w:rsidRDefault="00AA40A1" w:rsidP="00AA40A1">
      <w:pPr>
        <w:spacing w:after="0"/>
        <w:rPr>
          <w:rFonts w:cs="Calibri"/>
          <w:sz w:val="16"/>
        </w:rPr>
      </w:pPr>
      <w:r w:rsidRPr="00F933AF">
        <w:rPr>
          <w:rFonts w:cs="Calibri"/>
          <w:sz w:val="16"/>
        </w:rPr>
        <w:t xml:space="preserve">As historians Douglas Baynton, Penny Richards, and Alison Carey have shown, while </w:t>
      </w:r>
      <w:r w:rsidRPr="00F933AF">
        <w:rPr>
          <w:rStyle w:val="StyleUnderline"/>
          <w:rFonts w:cs="Calibri"/>
        </w:rPr>
        <w:t>categorical racial and gender exclusion from citizen ship</w:t>
      </w:r>
      <w:r w:rsidRPr="00F933AF">
        <w:rPr>
          <w:rFonts w:cs="Calibri"/>
          <w:sz w:val="16"/>
        </w:rPr>
        <w:t xml:space="preserve"> has been thoroughly questioned and denaturalized, </w:t>
      </w:r>
      <w:r w:rsidRPr="00F933AF">
        <w:rPr>
          <w:rStyle w:val="StyleUnderline"/>
          <w:rFonts w:cs="Calibri"/>
        </w:rPr>
        <w:t xml:space="preserve">only recently have we begun to interrogate and challenge the denial of the rights of citizens </w:t>
      </w:r>
      <w:r w:rsidRPr="00F933AF">
        <w:rPr>
          <w:rStyle w:val="Emphasis"/>
          <w:rFonts w:cs="Calibri"/>
        </w:rPr>
        <w:t>to people with disabilities</w:t>
      </w:r>
      <w:r w:rsidRPr="00F933AF">
        <w:rPr>
          <w:rFonts w:cs="Calibri"/>
          <w:sz w:val="16"/>
        </w:rPr>
        <w:t xml:space="preserve"> (Baynton 2001; Richards 2004; Carey 2009: 2). "</w:t>
      </w:r>
      <w:r w:rsidRPr="00F933AF">
        <w:rPr>
          <w:rStyle w:val="StyleUnderline"/>
          <w:rFonts w:cs="Calibri"/>
        </w:rPr>
        <w:t>One of the fundamental imperatives in the initial formation of American immigration policy</w:t>
      </w:r>
      <w:r w:rsidRPr="00F933AF">
        <w:rPr>
          <w:rFonts w:cs="Calibri"/>
          <w:sz w:val="16"/>
        </w:rPr>
        <w:t>," Baynton wrote in an essay foun dational to disability studies, "</w:t>
      </w:r>
      <w:r w:rsidRPr="00F933AF">
        <w:rPr>
          <w:rStyle w:val="Emphasis"/>
          <w:rFonts w:cs="Calibri"/>
        </w:rPr>
        <w:t>was the exclusion of disabled people</w:t>
      </w:r>
      <w:r w:rsidRPr="00F933AF">
        <w:rPr>
          <w:rFonts w:cs="Calibri"/>
          <w:sz w:val="16"/>
        </w:rPr>
        <w:t xml:space="preserve">" social research Vol. 78 : No. 2 : Summer 2011 417 This content downloaded from 67.194.23.38 on Tue, 10 Jul 2018 18:40:57 UTC All use subject to http://about.jstor.org/terms (2001: 45). I saw this clearly in my research for my book on the so-called American "ugly laws," municipal </w:t>
      </w:r>
      <w:r w:rsidRPr="00F933AF">
        <w:rPr>
          <w:rStyle w:val="StyleUnderline"/>
          <w:rFonts w:cs="Calibri"/>
        </w:rPr>
        <w:t>laws common</w:t>
      </w:r>
      <w:r w:rsidRPr="00F933AF">
        <w:rPr>
          <w:rFonts w:cs="Calibri"/>
          <w:sz w:val="16"/>
        </w:rPr>
        <w:t xml:space="preserve"> in U.S. cities that </w:t>
      </w:r>
      <w:r w:rsidRPr="00F933AF">
        <w:rPr>
          <w:rStyle w:val="StyleUnderline"/>
          <w:rFonts w:cs="Calibri"/>
        </w:rPr>
        <w:t>banned</w:t>
      </w:r>
      <w:r w:rsidRPr="00F933AF">
        <w:rPr>
          <w:rFonts w:cs="Calibri"/>
          <w:sz w:val="16"/>
        </w:rPr>
        <w:t xml:space="preserve"> "</w:t>
      </w:r>
      <w:r w:rsidRPr="00F933AF">
        <w:rPr>
          <w:rStyle w:val="StyleUnderline"/>
          <w:rFonts w:cs="Calibri"/>
        </w:rPr>
        <w:t>diseased, maimed, deformed . . . unsightly and disgusting" people, particularly "unsightly beggars," from exposing themselves</w:t>
      </w:r>
      <w:r w:rsidRPr="00F933AF">
        <w:rPr>
          <w:rFonts w:cs="Calibri"/>
          <w:sz w:val="16"/>
        </w:rPr>
        <w:t xml:space="preserve"> to public view (Schweik 2009). </w:t>
      </w:r>
      <w:r w:rsidRPr="00F933AF">
        <w:rPr>
          <w:rStyle w:val="StyleUnderline"/>
          <w:rFonts w:cs="Calibri"/>
        </w:rPr>
        <w:t>U.S. immigration law</w:t>
      </w:r>
      <w:r w:rsidRPr="00F933AF">
        <w:rPr>
          <w:rFonts w:cs="Calibri"/>
          <w:sz w:val="16"/>
        </w:rPr>
        <w:t xml:space="preserve"> in the late nineteenth and early twentieth century </w:t>
      </w:r>
      <w:r w:rsidRPr="00F933AF">
        <w:rPr>
          <w:rStyle w:val="Emphasis"/>
          <w:rFonts w:cs="Calibri"/>
        </w:rPr>
        <w:t>was ugly law writ large</w:t>
      </w:r>
      <w:r w:rsidRPr="00F933AF">
        <w:rPr>
          <w:rFonts w:cs="Calibri"/>
          <w:sz w:val="16"/>
        </w:rPr>
        <w:t xml:space="preserve">, and </w:t>
      </w:r>
      <w:r w:rsidRPr="00F933AF">
        <w:rPr>
          <w:rStyle w:val="StyleUnderline"/>
          <w:rFonts w:cs="Calibri"/>
        </w:rPr>
        <w:t>unsightly begging was often labeled as a "European exposure method</w:t>
      </w:r>
      <w:r w:rsidRPr="00F933AF">
        <w:rPr>
          <w:rFonts w:cs="Calibri"/>
          <w:sz w:val="16"/>
        </w:rPr>
        <w:t>," antitheti cal to American modernity (Schweik 2009: 167). "</w:t>
      </w:r>
      <w:r w:rsidRPr="00F933AF">
        <w:rPr>
          <w:rStyle w:val="StyleUnderline"/>
          <w:rFonts w:cs="Calibri"/>
        </w:rPr>
        <w:t>One of the fundamental imperatives in the initial formation of American immigration policy</w:t>
      </w:r>
      <w:r w:rsidRPr="00F933AF">
        <w:rPr>
          <w:rFonts w:cs="Calibri"/>
          <w:sz w:val="16"/>
        </w:rPr>
        <w:t>," Baynton wrote in an essay foundational to disability studies, "</w:t>
      </w:r>
      <w:r w:rsidRPr="00F933AF">
        <w:rPr>
          <w:rStyle w:val="StyleUnderline"/>
          <w:rFonts w:cs="Calibri"/>
        </w:rPr>
        <w:t>was the exclusion of disabled people</w:t>
      </w:r>
      <w:r w:rsidRPr="00F933AF">
        <w:rPr>
          <w:rFonts w:cs="Calibri"/>
          <w:sz w:val="16"/>
        </w:rPr>
        <w:t xml:space="preserve">. </w:t>
      </w:r>
      <w:r w:rsidRPr="00F933AF">
        <w:rPr>
          <w:rStyle w:val="StyleUnderline"/>
          <w:rFonts w:cs="Calibri"/>
        </w:rPr>
        <w:t xml:space="preserve">Beyond the targeting of disabled people, the concept of disability was instrumen </w:t>
      </w:r>
      <w:proofErr w:type="gramStart"/>
      <w:r w:rsidRPr="00F933AF">
        <w:rPr>
          <w:rStyle w:val="StyleUnderline"/>
          <w:rFonts w:cs="Calibri"/>
        </w:rPr>
        <w:t>tal</w:t>
      </w:r>
      <w:proofErr w:type="gramEnd"/>
      <w:r w:rsidRPr="00F933AF">
        <w:rPr>
          <w:rStyle w:val="StyleUnderline"/>
          <w:rFonts w:cs="Calibri"/>
        </w:rPr>
        <w:t xml:space="preserve"> in crafting the image of the undesirable immigrant" per se; that is, entire groups could be excluded from citizenship on what were essen tially disability grounds, on the grounds that they were feeble-minded or weak or </w:t>
      </w:r>
      <w:r w:rsidRPr="00F933AF">
        <w:rPr>
          <w:rStyle w:val="Emphasis"/>
          <w:rFonts w:cs="Calibri"/>
        </w:rPr>
        <w:t>irrational or spreaders of disease</w:t>
      </w:r>
      <w:r w:rsidRPr="00F933AF">
        <w:rPr>
          <w:rFonts w:cs="Calibri"/>
          <w:sz w:val="16"/>
        </w:rPr>
        <w:t xml:space="preserve"> (Baynton 2001:45). Baynton shows that what Kamal Sadiq has called the "distinguishability assump tion"—the "putative wall separating citizens from immigrants"—has always been underlain, in the United States, by an ability assumption, a putative </w:t>
      </w:r>
      <w:r w:rsidRPr="00F933AF">
        <w:rPr>
          <w:rStyle w:val="StyleUnderline"/>
          <w:rFonts w:cs="Calibri"/>
        </w:rPr>
        <w:t xml:space="preserve">wall separating those likely to be a </w:t>
      </w:r>
      <w:r w:rsidRPr="00F933AF">
        <w:rPr>
          <w:rStyle w:val="Emphasis"/>
          <w:rFonts w:cs="Calibri"/>
        </w:rPr>
        <w:t>public charge</w:t>
      </w:r>
      <w:r w:rsidRPr="00F933AF">
        <w:rPr>
          <w:rFonts w:cs="Calibri"/>
          <w:sz w:val="16"/>
        </w:rPr>
        <w:t xml:space="preserve"> </w:t>
      </w:r>
      <w:r w:rsidRPr="00F933AF">
        <w:rPr>
          <w:rStyle w:val="StyleUnderline"/>
          <w:rFonts w:cs="Calibri"/>
        </w:rPr>
        <w:t>from those</w:t>
      </w:r>
      <w:r w:rsidRPr="00F933AF">
        <w:rPr>
          <w:rFonts w:cs="Calibri"/>
          <w:sz w:val="16"/>
        </w:rPr>
        <w:t xml:space="preserve"> likely </w:t>
      </w:r>
      <w:r w:rsidRPr="00F933AF">
        <w:rPr>
          <w:rStyle w:val="StyleUnderline"/>
          <w:rFonts w:cs="Calibri"/>
        </w:rPr>
        <w:t>to be in charge</w:t>
      </w:r>
      <w:r w:rsidRPr="00F933AF">
        <w:rPr>
          <w:rFonts w:cs="Calibri"/>
          <w:sz w:val="16"/>
        </w:rPr>
        <w:t xml:space="preserve"> of them. </w:t>
      </w:r>
      <w:r w:rsidRPr="00F933AF">
        <w:rPr>
          <w:rStyle w:val="StyleUnderline"/>
          <w:rFonts w:cs="Calibri"/>
        </w:rPr>
        <w:t>The "infrastructure of citizenship</w:t>
      </w:r>
      <w:r w:rsidRPr="00F933AF">
        <w:rPr>
          <w:rFonts w:cs="Calibri"/>
          <w:sz w:val="16"/>
        </w:rPr>
        <w:t xml:space="preserve">, a citizenship from above" (Sadiq 2008: 6) that </w:t>
      </w:r>
      <w:r w:rsidRPr="00F933AF">
        <w:rPr>
          <w:rStyle w:val="StyleUnderline"/>
          <w:rFonts w:cs="Calibri"/>
        </w:rPr>
        <w:t xml:space="preserve">draws the line around the community of citizens, decides who will be </w:t>
      </w:r>
      <w:r w:rsidRPr="00F933AF">
        <w:rPr>
          <w:rStyle w:val="Emphasis"/>
          <w:rFonts w:cs="Calibri"/>
        </w:rPr>
        <w:t>eligible for inclusion</w:t>
      </w:r>
      <w:r w:rsidRPr="00F933AF">
        <w:rPr>
          <w:rFonts w:cs="Calibri"/>
          <w:sz w:val="16"/>
        </w:rPr>
        <w:t xml:space="preserve"> in that community, and </w:t>
      </w:r>
      <w:r w:rsidRPr="00F933AF">
        <w:rPr>
          <w:rStyle w:val="StyleUnderline"/>
          <w:rFonts w:cs="Calibri"/>
        </w:rPr>
        <w:t>polices the boundary of the territory has depended</w:t>
      </w:r>
      <w:r w:rsidRPr="00F933AF">
        <w:rPr>
          <w:rFonts w:cs="Calibri"/>
          <w:sz w:val="16"/>
        </w:rPr>
        <w:t xml:space="preserve">, implicitly and explicitly, </w:t>
      </w:r>
      <w:r w:rsidRPr="00F933AF">
        <w:rPr>
          <w:rStyle w:val="Emphasis"/>
          <w:rFonts w:cs="Calibri"/>
        </w:rPr>
        <w:t>on disability</w:t>
      </w:r>
      <w:r w:rsidRPr="00F933AF">
        <w:rPr>
          <w:rFonts w:cs="Calibri"/>
          <w:sz w:val="16"/>
        </w:rPr>
        <w:t xml:space="preserve"> </w:t>
      </w:r>
      <w:r w:rsidRPr="00F933AF">
        <w:rPr>
          <w:rStyle w:val="StyleUnderline"/>
          <w:rFonts w:cs="Calibri"/>
        </w:rPr>
        <w:t>as a factor in exerting its normative force</w:t>
      </w:r>
      <w:r w:rsidRPr="00F933AF">
        <w:rPr>
          <w:rFonts w:cs="Calibri"/>
          <w:sz w:val="16"/>
        </w:rPr>
        <w:t xml:space="preserve">. We know what </w:t>
      </w:r>
      <w:r w:rsidRPr="00F933AF">
        <w:rPr>
          <w:rStyle w:val="Emphasis"/>
          <w:rFonts w:cs="Calibri"/>
        </w:rPr>
        <w:t>the normal body of the citizen is by knowing what it is not</w:t>
      </w:r>
      <w:r w:rsidRPr="00F933AF">
        <w:rPr>
          <w:rFonts w:cs="Calibri"/>
          <w:sz w:val="16"/>
        </w:rPr>
        <w:t xml:space="preserve">: </w:t>
      </w:r>
      <w:r w:rsidRPr="00F933AF">
        <w:rPr>
          <w:rStyle w:val="StyleUnderline"/>
          <w:rFonts w:cs="Calibri"/>
        </w:rPr>
        <w:t>not confusing or misrecognizable</w:t>
      </w:r>
      <w:r w:rsidRPr="00F933AF">
        <w:rPr>
          <w:rFonts w:cs="Calibri"/>
          <w:sz w:val="16"/>
        </w:rPr>
        <w:t xml:space="preserve"> (Campbell 2009: 11), </w:t>
      </w:r>
      <w:r w:rsidRPr="00F933AF">
        <w:rPr>
          <w:rStyle w:val="StyleUnderline"/>
          <w:rFonts w:cs="Calibri"/>
        </w:rPr>
        <w:t>not too hostage to its "recalcitrant corporeal matter</w:t>
      </w:r>
      <w:r w:rsidRPr="00F933AF">
        <w:rPr>
          <w:rFonts w:cs="Calibri"/>
          <w:sz w:val="16"/>
        </w:rPr>
        <w:t xml:space="preserve">" (Mitchell and Snyder 2000: 49; Campbell 2009: 11). </w:t>
      </w:r>
      <w:r w:rsidRPr="00F933AF">
        <w:rPr>
          <w:rStyle w:val="StyleUnderline"/>
          <w:rFonts w:cs="Calibri"/>
        </w:rPr>
        <w:t>In relation to</w:t>
      </w:r>
      <w:r w:rsidRPr="00F933AF">
        <w:rPr>
          <w:rFonts w:cs="Calibri"/>
          <w:sz w:val="16"/>
        </w:rPr>
        <w:t xml:space="preserve"> what Allison Carey calls the "storybook citizen," </w:t>
      </w:r>
      <w:r w:rsidRPr="00F933AF">
        <w:rPr>
          <w:rStyle w:val="StyleUnderline"/>
          <w:rFonts w:cs="Calibri"/>
        </w:rPr>
        <w:t>intellectually fine, physically upstanding, morally both of the above, exuding "intelligence, independence, and the ability to contribute to the national well-being through hard work, political participation, and bravery,"</w:t>
      </w:r>
      <w:r w:rsidRPr="00F933AF">
        <w:rPr>
          <w:rFonts w:cs="Calibri"/>
          <w:sz w:val="16"/>
        </w:rPr>
        <w:t xml:space="preserve"> </w:t>
      </w:r>
      <w:r w:rsidRPr="00F933AF">
        <w:rPr>
          <w:rStyle w:val="Emphasis"/>
          <w:rFonts w:cs="Calibri"/>
        </w:rPr>
        <w:t>people with disabilities have</w:t>
      </w:r>
      <w:r w:rsidRPr="00F933AF">
        <w:rPr>
          <w:rFonts w:cs="Calibri"/>
          <w:sz w:val="16"/>
        </w:rPr>
        <w:t xml:space="preserve"> 418 social research historically </w:t>
      </w:r>
      <w:r w:rsidRPr="00F933AF">
        <w:rPr>
          <w:rStyle w:val="Emphasis"/>
          <w:rFonts w:cs="Calibri"/>
        </w:rPr>
        <w:t>appeared "unworthy</w:t>
      </w:r>
      <w:r w:rsidRPr="00F933AF">
        <w:rPr>
          <w:rFonts w:cs="Calibri"/>
          <w:sz w:val="16"/>
        </w:rPr>
        <w:t xml:space="preserve">, at best, </w:t>
      </w:r>
      <w:r w:rsidRPr="00F933AF">
        <w:rPr>
          <w:rStyle w:val="StyleUnderline"/>
          <w:rFonts w:cs="Calibri"/>
        </w:rPr>
        <w:t>and a threat</w:t>
      </w:r>
      <w:r w:rsidRPr="00F933AF">
        <w:rPr>
          <w:rFonts w:cs="Calibri"/>
          <w:sz w:val="16"/>
        </w:rPr>
        <w:t xml:space="preserve"> to the nation . . . at worst" (Carey 2009: 2). Particularly in the case of people with intellec tual, developmental, and psychosocial disabilities, </w:t>
      </w:r>
      <w:r w:rsidRPr="00F933AF">
        <w:rPr>
          <w:rStyle w:val="StyleUnderline"/>
          <w:rFonts w:cs="Calibri"/>
        </w:rPr>
        <w:t>deprivation of</w:t>
      </w:r>
      <w:r w:rsidRPr="00F933AF">
        <w:rPr>
          <w:rFonts w:cs="Calibri"/>
          <w:sz w:val="16"/>
        </w:rPr>
        <w:t xml:space="preserve"> </w:t>
      </w:r>
      <w:r w:rsidRPr="00F933AF">
        <w:rPr>
          <w:rStyle w:val="StyleUnderline"/>
          <w:rFonts w:cs="Calibri"/>
        </w:rPr>
        <w:t>many rights that we might call "rights of the</w:t>
      </w:r>
      <w:r w:rsidRPr="00F933AF">
        <w:rPr>
          <w:rFonts w:cs="Calibri"/>
          <w:sz w:val="16"/>
        </w:rPr>
        <w:t xml:space="preserve"> body" (the right to be sexual, to marry, to choose where to live or when to eat or be in public space or bathe), a denial of rights that are automatically accorded to others, is still "widely accepted and viewed as legally justified and even morally imperative" (Carey 2009: 2). For exactly this reason, </w:t>
      </w:r>
      <w:r w:rsidRPr="00F933AF">
        <w:rPr>
          <w:rStyle w:val="StyleUnderline"/>
          <w:rFonts w:cs="Calibri"/>
        </w:rPr>
        <w:t>as disability theorists have pointed out</w:t>
      </w:r>
      <w:r w:rsidRPr="00F933AF">
        <w:rPr>
          <w:rFonts w:cs="Calibri"/>
          <w:sz w:val="16"/>
        </w:rPr>
        <w:t xml:space="preserve">, a </w:t>
      </w:r>
      <w:r w:rsidRPr="00F933AF">
        <w:rPr>
          <w:rStyle w:val="StyleUnderline"/>
          <w:rFonts w:cs="Calibri"/>
        </w:rPr>
        <w:t>focus on disability is particularly useful for allowing us to explore our most basic definitional assumptions</w:t>
      </w:r>
      <w:r w:rsidRPr="00F933AF">
        <w:rPr>
          <w:rFonts w:cs="Calibri"/>
          <w:sz w:val="16"/>
        </w:rPr>
        <w:t xml:space="preserve">—in this case, </w:t>
      </w:r>
      <w:r w:rsidRPr="00F933AF">
        <w:rPr>
          <w:rStyle w:val="StyleUnderline"/>
          <w:rFonts w:cs="Calibri"/>
        </w:rPr>
        <w:t>our definition of the "citizen" and our foundational understanding of the citizen's body</w:t>
      </w:r>
      <w:r w:rsidRPr="00F933AF">
        <w:rPr>
          <w:rFonts w:cs="Calibri"/>
          <w:sz w:val="16"/>
        </w:rPr>
        <w:t xml:space="preserve">. As Carey puts it: "Should rights be conferred based on ability, membership in a community, or other considerations? Does the state have an obli gation to provide assistance or social rights to enhance citizens' well being? What should happen to individuals who are denied rights? Does the state have any obligation to non-rights-bearing citizens?" (Carey 2009: 2). In this article I will explore some cases in which these ques tions have come to the fore. I will focus primarily on a moment in the early twentieth century, where dynamics of exclusion are shockingly visible. Then, exploring what Aihwa Ong calls "the problem-space of American citizenship" (Ong 2006: 3), I will move to related but less visi ble moments in our present. In all these cases, I will show that </w:t>
      </w:r>
      <w:r w:rsidRPr="00F933AF">
        <w:rPr>
          <w:rStyle w:val="StyleUnderline"/>
          <w:rFonts w:cs="Calibri"/>
        </w:rPr>
        <w:t xml:space="preserve">the body politic of American democratic citizenry binds itself together through an internal logic that, even as it attempts to manage the </w:t>
      </w:r>
      <w:r w:rsidRPr="00F933AF">
        <w:rPr>
          <w:rStyle w:val="Emphasis"/>
          <w:rFonts w:cs="Calibri"/>
        </w:rPr>
        <w:t>incorporation of disabled subjects</w:t>
      </w:r>
      <w:r w:rsidRPr="00F933AF">
        <w:rPr>
          <w:rFonts w:cs="Calibri"/>
          <w:sz w:val="16"/>
        </w:rPr>
        <w:t xml:space="preserve">, </w:t>
      </w:r>
      <w:r w:rsidRPr="00F933AF">
        <w:rPr>
          <w:rStyle w:val="Emphasis"/>
          <w:rFonts w:cs="Calibri"/>
        </w:rPr>
        <w:t>drives disability down</w:t>
      </w:r>
      <w:r w:rsidRPr="00F933AF">
        <w:rPr>
          <w:rFonts w:cs="Calibri"/>
          <w:sz w:val="16"/>
        </w:rPr>
        <w:t xml:space="preserve"> or assumes it away. But it never does so decisively and never without contradiction, and that is a lucky thing. For as Michael Berube has eloquently put it,</w:t>
      </w:r>
    </w:p>
    <w:p w:rsidR="00AA40A1" w:rsidRPr="00F933AF" w:rsidRDefault="00F6498F" w:rsidP="00495F48">
      <w:pPr>
        <w:pStyle w:val="Heading2"/>
      </w:pPr>
      <w:r>
        <w:t>Trump Policy</w:t>
      </w:r>
    </w:p>
    <w:p w:rsidR="00AA40A1" w:rsidRPr="00F933AF" w:rsidRDefault="00AA40A1" w:rsidP="00AA40A1">
      <w:pPr>
        <w:pStyle w:val="Heading4"/>
        <w:rPr>
          <w:rFonts w:cs="Calibri"/>
        </w:rPr>
      </w:pPr>
      <w:r w:rsidRPr="00F933AF">
        <w:rPr>
          <w:rFonts w:cs="Calibri"/>
        </w:rPr>
        <w:t>Trump’s attempt to exclude certain bodies from the concept of a “normal citizen” necessitates discussion on disability’s relationship with the state</w:t>
      </w:r>
    </w:p>
    <w:p w:rsidR="00AA40A1" w:rsidRPr="00F933AF" w:rsidRDefault="00AA40A1" w:rsidP="00AA40A1">
      <w:pPr>
        <w:rPr>
          <w:rFonts w:cs="Calibri"/>
        </w:rPr>
      </w:pPr>
      <w:r w:rsidRPr="00F933AF">
        <w:rPr>
          <w:rFonts w:cs="Calibri"/>
          <w:b/>
        </w:rPr>
        <w:t xml:space="preserve">Raphael ‘17 </w:t>
      </w:r>
      <w:r w:rsidRPr="00F933AF">
        <w:rPr>
          <w:rFonts w:cs="Calibri"/>
          <w:sz w:val="18"/>
          <w:szCs w:val="18"/>
        </w:rPr>
        <w:t xml:space="preserve">(Raphael Raphael, RDS Associate Editor for Multimedia &amp; Creative Works, Review of Disability Studies: An International Journal, “Thinking </w:t>
      </w:r>
      <w:proofErr w:type="gramStart"/>
      <w:r w:rsidRPr="00F933AF">
        <w:rPr>
          <w:rFonts w:cs="Calibri"/>
          <w:sz w:val="18"/>
          <w:szCs w:val="18"/>
        </w:rPr>
        <w:t>About</w:t>
      </w:r>
      <w:proofErr w:type="gramEnd"/>
      <w:r w:rsidRPr="00F933AF">
        <w:rPr>
          <w:rFonts w:cs="Calibri"/>
          <w:sz w:val="18"/>
          <w:szCs w:val="18"/>
        </w:rPr>
        <w:t xml:space="preserve"> Immigration and Disability,” v. 13, n. 2, http://www.rdsjournal.org/index.php/journal/article/view/766/1796)jy</w:t>
      </w:r>
    </w:p>
    <w:p w:rsidR="00AA40A1" w:rsidRDefault="00AA40A1" w:rsidP="00AA40A1">
      <w:pPr>
        <w:rPr>
          <w:rFonts w:cs="Calibri"/>
          <w:sz w:val="14"/>
        </w:rPr>
      </w:pPr>
      <w:r w:rsidRPr="00F933AF">
        <w:rPr>
          <w:rFonts w:cs="Calibri"/>
          <w:u w:val="single"/>
        </w:rPr>
        <w:t>The state and the body are always connected.  In times of crisis</w:t>
      </w:r>
      <w:r w:rsidRPr="00F933AF">
        <w:rPr>
          <w:rFonts w:cs="Calibri"/>
          <w:sz w:val="14"/>
        </w:rPr>
        <w:t xml:space="preserve"> (political and economic</w:t>
      </w:r>
      <w:r w:rsidRPr="00F933AF">
        <w:rPr>
          <w:rFonts w:cs="Calibri"/>
          <w:u w:val="single"/>
        </w:rPr>
        <w:t>), there is often increasing concern with borders, both of the nation and of the body. It becomes “urgent” to protect the state from contagions and threats, real or imagined. With increasing urgency, leaders often attempt to unify their base by clearly articulating what it means to be a "normal citizen,” identifying which bodies are included and which are not.</w:t>
      </w:r>
      <w:r w:rsidRPr="00F933AF">
        <w:rPr>
          <w:rFonts w:cs="Calibri"/>
          <w:sz w:val="14"/>
        </w:rPr>
        <w:t xml:space="preserve">  We can see this connection between body and state both in the present and in the past. </w:t>
      </w:r>
      <w:r w:rsidRPr="00F933AF">
        <w:rPr>
          <w:rFonts w:cs="Calibri"/>
          <w:u w:val="single"/>
        </w:rPr>
        <w:t>History is replete with examples, and the lessons are not subtle</w:t>
      </w:r>
      <w:r w:rsidRPr="00F933AF">
        <w:rPr>
          <w:rFonts w:cs="Calibri"/>
          <w:sz w:val="14"/>
        </w:rPr>
        <w:t xml:space="preserve">. As the Third Reich consolidated power in 1933, among their first actions was to identify people with disabilities as enemies of the state. Just six months after assuming power, they passed the Law for the Prevention of Progeny with Hereditary Diseases.  On one hand, the physically strong and independent Übermensch (superman) served as powerful symbol of a strong independent German state. On the other hand, </w:t>
      </w:r>
      <w:r w:rsidRPr="00F933AF">
        <w:rPr>
          <w:rFonts w:cs="Calibri"/>
          <w:u w:val="single"/>
        </w:rPr>
        <w:t>there was perhaps no more inconvenient sign than people with disabilities: inconvenient truths of the vulnerability of bodies, of their needs and undeniable interdependence.  Eliminating these inconvenient bodies became an important early step in nation-building, and the muted national response to their elimination became a tragic rehearsal for much larger atrocities.</w:t>
      </w:r>
      <w:r w:rsidRPr="00F933AF">
        <w:rPr>
          <w:rFonts w:cs="Calibri"/>
          <w:sz w:val="14"/>
        </w:rPr>
        <w:t xml:space="preserve">  (See Liz Crow’s short film Resistance (2009) and David Mitchell and Susan Snyder’s upcoming Disposable Humanity.) </w:t>
      </w:r>
      <w:r w:rsidRPr="00F933AF">
        <w:rPr>
          <w:rFonts w:cs="Calibri"/>
          <w:u w:val="single"/>
        </w:rPr>
        <w:t>Our present moment reflects a great deal of border anxiety. There’s rhetoric of literal wall building to protect and reify imaginary and geographic borders and a troubling rise of isolationist/anti-immigrant rhetoric in the United States and Europe.  The rising chorus of voices saying which bodies should be citizens and which should not marks a shift that has taken many in the world by surprise: there was near global shock to the assumption of power by the current POTUS in the US</w:t>
      </w:r>
      <w:r w:rsidRPr="00F933AF">
        <w:rPr>
          <w:rFonts w:cs="Calibri"/>
          <w:sz w:val="14"/>
        </w:rPr>
        <w:t xml:space="preserve"> and to the passage of Brexit in Great Britain, as well as to the recent near-miss in closely watched elections in France.  At least </w:t>
      </w:r>
      <w:r w:rsidRPr="00F933AF">
        <w:rPr>
          <w:rFonts w:cs="Calibri"/>
          <w:u w:val="single"/>
        </w:rPr>
        <w:t>in the United States, this rise in border anxiety appears to coincide with increasing government disdain</w:t>
      </w:r>
      <w:r w:rsidRPr="00F933AF">
        <w:rPr>
          <w:rFonts w:cs="Calibri"/>
          <w:sz w:val="14"/>
        </w:rPr>
        <w:t xml:space="preserve"> (or at least apparent disinterest) </w:t>
      </w:r>
      <w:r w:rsidRPr="00F933AF">
        <w:rPr>
          <w:rFonts w:cs="Calibri"/>
          <w:u w:val="single"/>
        </w:rPr>
        <w:t>in the needs of those with disabilities. The current POTUS, who as a candidate famously mocked a reporter with disabilities, has a pattern of choosing appointees with apparent disinterest in the needs of people with disabilities</w:t>
      </w:r>
      <w:r w:rsidRPr="00F933AF">
        <w:rPr>
          <w:rFonts w:cs="Calibri"/>
          <w:sz w:val="14"/>
        </w:rPr>
        <w:t>.  It was widely reported that now Secretary of Education Betsy DeVos appeared confused about basic legal protections afforded to all students with disabilities.  As recently as May 24th, Ms. Devos refused to say she would refuse federal funds to schools that discriminated against students with special needs. The confirmation hearing of Supreme Court nominee Neil Gorsuch, revealed a seemingly similar lack of concern: a case showed him unnecessarily ruling against a student with autism, a questionable ruling the Supreme Court subsequently rebuked (during his actual confirmation hearings</w:t>
      </w:r>
      <w:r w:rsidRPr="00F933AF">
        <w:rPr>
          <w:rFonts w:cs="Calibri"/>
          <w:u w:val="single"/>
        </w:rPr>
        <w:t>).  Some rhetoric in current efforts at immigration reform has also evoked the danger posed by immigrants drawing on public services in ways that could easily target those with disabilities for exclusion</w:t>
      </w:r>
      <w:r w:rsidRPr="00F933AF">
        <w:rPr>
          <w:rFonts w:cs="Calibri"/>
          <w:sz w:val="14"/>
        </w:rPr>
        <w:t xml:space="preserve">.  While this particularly anxious moment has taken many by surprise, immigration and disability have long been tied in the history of </w:t>
      </w:r>
      <w:r w:rsidRPr="00F933AF">
        <w:rPr>
          <w:rFonts w:cs="Calibri"/>
          <w:u w:val="single"/>
        </w:rPr>
        <w:t>the United States</w:t>
      </w:r>
      <w:r w:rsidRPr="00F933AF">
        <w:rPr>
          <w:rFonts w:cs="Calibri"/>
          <w:sz w:val="14"/>
        </w:rPr>
        <w:t xml:space="preserve">.  Two centuries ago, with the Immigration Act of 1882, the country identified people with disabilities as potential “threat to the nation” and has </w:t>
      </w:r>
      <w:r w:rsidRPr="00F933AF">
        <w:rPr>
          <w:rFonts w:cs="Calibri"/>
          <w:u w:val="single"/>
        </w:rPr>
        <w:t>since had a long history of using disability as criteria for immigration exclusion (</w:t>
      </w:r>
      <w:r w:rsidRPr="00F933AF">
        <w:rPr>
          <w:rFonts w:cs="Calibri"/>
          <w:sz w:val="14"/>
        </w:rPr>
        <w:t xml:space="preserve">See Daniel J. Wilson’s “‘No Defectives Need Apply’: Disability and Immigration.” OAH Magazine of History 23 [July 2009]: 35-40.) Today, the ‘ideal’ citizen has been more explicitly tied to religion and ethnicity than to issues of ability, with Islamic people the immediate subject of particularly intense suspicion.  At the same time, history suggests </w:t>
      </w:r>
      <w:r w:rsidRPr="00F933AF">
        <w:rPr>
          <w:rFonts w:cs="Calibri"/>
          <w:u w:val="single"/>
        </w:rPr>
        <w:t>it’s wise for us to keep mindful of possible slippages of otherness, slippages that frequently allow these fears to bleed to the body and to disability.</w:t>
      </w:r>
      <w:r w:rsidRPr="00F933AF">
        <w:rPr>
          <w:rFonts w:cs="Calibri"/>
          <w:sz w:val="14"/>
        </w:rPr>
        <w:t xml:space="preserve"> With a view shared by many, embattled former National Security Advisor Michael Flynn famously described Islam in biological terms, as a “cancer” threatening national security and as a “sick” ideology that, per his tweet, “needs to B [sic] healed.”  The US administration’s recent attempt at a Muslim ban attempted to “cure” this “sickness.” As the effects of early exclusion policies still echo and debates rage over who belongs, who does not belong, who is worthy of entrance, who is not, a great deal of attention is rightly paid to the ethnic and religious dimensions of the debate. Perhaps </w:t>
      </w:r>
      <w:r w:rsidRPr="00F933AF">
        <w:rPr>
          <w:rFonts w:cs="Calibri"/>
          <w:u w:val="single"/>
        </w:rPr>
        <w:t>we should give more attention to also considering the ways in which disability may intertwine with these. In a time when nations are actually increasingly interdependent, with a variety of bodies—with a variety of needs—often living in flow between nations, perhaps the greatest threat is pretending this isn’t so</w:t>
      </w:r>
      <w:r w:rsidRPr="00F933AF">
        <w:rPr>
          <w:rFonts w:cs="Calibri"/>
          <w:sz w:val="14"/>
        </w:rPr>
        <w:t>.  And in this chain of bodies that need one another and have the power to speak out for one another, now more than ever, as Martin Niemöller reminded us, it doesn’t matter who they come for first</w:t>
      </w:r>
    </w:p>
    <w:p w:rsidR="001931F4" w:rsidRPr="00791443" w:rsidRDefault="001931F4" w:rsidP="004675AB">
      <w:pPr>
        <w:pStyle w:val="Heading2"/>
      </w:pPr>
      <w:r>
        <w:t>Deportation</w:t>
      </w:r>
      <w:r w:rsidR="004675AB">
        <w:t>s</w:t>
      </w:r>
      <w:r>
        <w:t xml:space="preserve"> </w:t>
      </w:r>
    </w:p>
    <w:p w:rsidR="001931F4" w:rsidRPr="00F933AF" w:rsidRDefault="001931F4" w:rsidP="001931F4">
      <w:pPr>
        <w:pStyle w:val="Heading4"/>
        <w:rPr>
          <w:rFonts w:cs="Calibri"/>
        </w:rPr>
      </w:pPr>
      <w:r w:rsidRPr="00F933AF">
        <w:rPr>
          <w:rFonts w:cs="Calibri"/>
        </w:rPr>
        <w:t xml:space="preserve">Immigrant health care stops ableist deportations </w:t>
      </w:r>
    </w:p>
    <w:p w:rsidR="001931F4" w:rsidRPr="00F933AF" w:rsidRDefault="001931F4" w:rsidP="001931F4">
      <w:pPr>
        <w:rPr>
          <w:rFonts w:cs="Calibri"/>
        </w:rPr>
      </w:pPr>
      <w:r w:rsidRPr="00F933AF">
        <w:rPr>
          <w:rStyle w:val="Style13ptBold"/>
          <w:rFonts w:cs="Calibri"/>
        </w:rPr>
        <w:t>Moore 17</w:t>
      </w:r>
      <w:r w:rsidRPr="00F933AF">
        <w:rPr>
          <w:rFonts w:cs="Calibri"/>
        </w:rPr>
        <w:t xml:space="preserve"> (Andrew F. Moore, Associate Professor of Law at the University of Detroit, 2017, “THE IMMIGRANT PARADOX: PROTECTING IMMIGRANTS THROUGH BETTER MENTAL HEALTH CARE”, Albany Law Review, LexisNexis)/CWB</w:t>
      </w:r>
    </w:p>
    <w:p w:rsidR="001931F4" w:rsidRPr="00315428" w:rsidRDefault="001931F4" w:rsidP="001931F4">
      <w:pPr>
        <w:rPr>
          <w:rFonts w:cs="Calibri"/>
          <w:sz w:val="16"/>
        </w:rPr>
      </w:pPr>
      <w:r w:rsidRPr="00F933AF">
        <w:rPr>
          <w:rFonts w:cs="Calibri"/>
          <w:sz w:val="16"/>
        </w:rPr>
        <w:t xml:space="preserve">In recent years, </w:t>
      </w:r>
      <w:r w:rsidRPr="00F933AF">
        <w:rPr>
          <w:rStyle w:val="StyleUnderline"/>
          <w:rFonts w:cs="Calibri"/>
        </w:rPr>
        <w:t>disturbing stories of mentally ill people facing deportation have found their way into mainstream media, and have brought to light problems they face in our immigration system.</w:t>
      </w:r>
      <w:r w:rsidRPr="00F933AF">
        <w:rPr>
          <w:rFonts w:cs="Calibri"/>
          <w:sz w:val="16"/>
        </w:rPr>
        <w:t xml:space="preserve"> </w:t>
      </w:r>
      <w:proofErr w:type="gramStart"/>
      <w:r w:rsidRPr="00F933AF">
        <w:rPr>
          <w:rFonts w:cs="Calibri"/>
          <w:sz w:val="16"/>
        </w:rPr>
        <w:t>n1</w:t>
      </w:r>
      <w:proofErr w:type="gramEnd"/>
      <w:r w:rsidRPr="00F933AF">
        <w:rPr>
          <w:rFonts w:cs="Calibri"/>
          <w:sz w:val="16"/>
        </w:rPr>
        <w:t xml:space="preserve"> </w:t>
      </w:r>
      <w:r w:rsidRPr="00F933AF">
        <w:rPr>
          <w:rStyle w:val="StyleUnderline"/>
          <w:rFonts w:cs="Calibri"/>
        </w:rPr>
        <w:t xml:space="preserve">In detention, without medication, support or professional help, these individuals reveal just how helpless someone can become. The stories tell of being trapped in a series of holding facilities, unable to understand the legal proceedings that face them, with their mental health deteriorating so that they are unable to communicate without representation. </w:t>
      </w:r>
      <w:proofErr w:type="gramStart"/>
      <w:r w:rsidRPr="00F933AF">
        <w:rPr>
          <w:rStyle w:val="StyleUnderline"/>
          <w:rFonts w:cs="Calibri"/>
        </w:rPr>
        <w:t>n2</w:t>
      </w:r>
      <w:proofErr w:type="gramEnd"/>
      <w:r w:rsidRPr="00F933AF">
        <w:rPr>
          <w:rStyle w:val="StyleUnderline"/>
          <w:rFonts w:cs="Calibri"/>
        </w:rPr>
        <w:t xml:space="preserve"> The stories also reveal a legal system that is not prepared to cope with mental illness. A whole host of issues arise when it comes to the treatment of the mentally ill in our immigration system including exclusion from admission, n3 due process issues when it comes to removal, n4 and [*78] access to treatment while in detention.</w:t>
      </w:r>
      <w:r w:rsidRPr="00F933AF">
        <w:rPr>
          <w:rFonts w:cs="Calibri"/>
          <w:sz w:val="16"/>
        </w:rPr>
        <w:t xml:space="preserve"> </w:t>
      </w:r>
      <w:proofErr w:type="gramStart"/>
      <w:r w:rsidRPr="00F933AF">
        <w:rPr>
          <w:rFonts w:cs="Calibri"/>
          <w:sz w:val="16"/>
        </w:rPr>
        <w:t>n5</w:t>
      </w:r>
      <w:proofErr w:type="gramEnd"/>
      <w:r w:rsidRPr="00F933AF">
        <w:rPr>
          <w:rFonts w:cs="Calibri"/>
          <w:sz w:val="16"/>
        </w:rPr>
        <w:t xml:space="preserve"> Upon looking into each of these issues, it becomes clear that </w:t>
      </w:r>
      <w:r w:rsidRPr="00F933AF">
        <w:rPr>
          <w:rStyle w:val="StyleUnderline"/>
          <w:rFonts w:cs="Calibri"/>
        </w:rPr>
        <w:t>the stigma attached to mental illness is alive and well in our immigration system</w:t>
      </w:r>
      <w:r w:rsidRPr="00F933AF">
        <w:rPr>
          <w:rFonts w:cs="Calibri"/>
          <w:sz w:val="16"/>
        </w:rPr>
        <w:t xml:space="preserve">. </w:t>
      </w:r>
      <w:proofErr w:type="gramStart"/>
      <w:r w:rsidRPr="00F933AF">
        <w:rPr>
          <w:rFonts w:cs="Calibri"/>
          <w:sz w:val="16"/>
        </w:rPr>
        <w:t>n6</w:t>
      </w:r>
      <w:proofErr w:type="gramEnd"/>
      <w:r w:rsidRPr="00F933AF">
        <w:rPr>
          <w:rFonts w:cs="Calibri"/>
          <w:sz w:val="16"/>
        </w:rPr>
        <w:t xml:space="preserve"> As the news stories above reveal, procedural issues - such as the overuse of detention, assessing competency, and the right to representation - moved to the forefront of concern for those advocating for fairness in our immigration system. </w:t>
      </w:r>
      <w:proofErr w:type="gramStart"/>
      <w:r w:rsidRPr="00F933AF">
        <w:rPr>
          <w:rFonts w:cs="Calibri"/>
          <w:sz w:val="16"/>
        </w:rPr>
        <w:t>n7</w:t>
      </w:r>
      <w:proofErr w:type="gramEnd"/>
      <w:r w:rsidRPr="00F933AF">
        <w:rPr>
          <w:rFonts w:cs="Calibri"/>
          <w:sz w:val="16"/>
        </w:rPr>
        <w:t xml:space="preserve"> There is good reason for this focus given the </w:t>
      </w:r>
      <w:r w:rsidRPr="00F933AF">
        <w:rPr>
          <w:rStyle w:val="StyleUnderline"/>
          <w:rFonts w:cs="Calibri"/>
        </w:rPr>
        <w:t>widespread human rights violations</w:t>
      </w:r>
      <w:r w:rsidRPr="00F933AF">
        <w:rPr>
          <w:rFonts w:cs="Calibri"/>
          <w:sz w:val="16"/>
        </w:rPr>
        <w:t xml:space="preserve"> that are </w:t>
      </w:r>
      <w:r w:rsidRPr="00F933AF">
        <w:rPr>
          <w:rStyle w:val="StyleUnderline"/>
          <w:rFonts w:cs="Calibri"/>
        </w:rPr>
        <w:t>transpiring in our system.</w:t>
      </w:r>
      <w:r w:rsidRPr="00F933AF">
        <w:rPr>
          <w:rFonts w:cs="Calibri"/>
          <w:sz w:val="16"/>
        </w:rPr>
        <w:t xml:space="preserve"> </w:t>
      </w:r>
      <w:proofErr w:type="gramStart"/>
      <w:r w:rsidRPr="00F933AF">
        <w:rPr>
          <w:rFonts w:cs="Calibri"/>
          <w:sz w:val="16"/>
        </w:rPr>
        <w:t>n8</w:t>
      </w:r>
      <w:proofErr w:type="gramEnd"/>
      <w:r w:rsidRPr="00F933AF">
        <w:rPr>
          <w:rFonts w:cs="Calibri"/>
          <w:sz w:val="16"/>
        </w:rPr>
        <w:t xml:space="preserve"> This situation raises other compelling and overlooked issues: to what extent has mental illness placed a person into the removal system in the first place? Can </w:t>
      </w:r>
      <w:r w:rsidRPr="00F933AF">
        <w:rPr>
          <w:rStyle w:val="StyleUnderline"/>
          <w:rFonts w:cs="Calibri"/>
        </w:rPr>
        <w:t>better access to mental health care help immigrants avoid conduct that leads to removal</w:t>
      </w:r>
      <w:r w:rsidRPr="00F933AF">
        <w:rPr>
          <w:rFonts w:cs="Calibri"/>
          <w:sz w:val="16"/>
        </w:rPr>
        <w:t xml:space="preserve">? This article will explore these issues, looking at developments in mental health care in the United States generally, the particular needs of immigrants to mental health care, and the barriers they face. A review of the literature on the mental health treatment of immigrants reveals an interesting phenomenon: </w:t>
      </w:r>
      <w:r w:rsidRPr="00F933AF">
        <w:rPr>
          <w:rStyle w:val="StyleUnderline"/>
          <w:rFonts w:cs="Calibri"/>
        </w:rPr>
        <w:t>immigrants arrive in the United States with better mental health</w:t>
      </w:r>
      <w:r w:rsidRPr="00F933AF">
        <w:rPr>
          <w:rFonts w:cs="Calibri"/>
          <w:sz w:val="16"/>
        </w:rPr>
        <w:t xml:space="preserve"> overall when compared to the general population of the United States. n9 This phenomenon has been dubbed by psychologists and scholars studying the issue as </w:t>
      </w:r>
      <w:r w:rsidRPr="00F933AF">
        <w:rPr>
          <w:rStyle w:val="StyleUnderline"/>
          <w:rFonts w:cs="Calibri"/>
        </w:rPr>
        <w:t xml:space="preserve">the "immigrant paradox," and runs contrary to perceptions, both historical and contemporary, that immigrants are [*79] more likely to be impaired and a burden. </w:t>
      </w:r>
      <w:proofErr w:type="gramStart"/>
      <w:r w:rsidRPr="00F933AF">
        <w:rPr>
          <w:rFonts w:cs="Calibri"/>
          <w:sz w:val="16"/>
        </w:rPr>
        <w:t>n10</w:t>
      </w:r>
      <w:proofErr w:type="gramEnd"/>
      <w:r w:rsidRPr="00F933AF">
        <w:rPr>
          <w:rFonts w:cs="Calibri"/>
          <w:sz w:val="16"/>
        </w:rPr>
        <w:t xml:space="preserve"> Studies show, however, that over time many immigrants' mental health deteriorates, generating behavior - such as drug use or low-level criminal activity - that might place them into the immigration removal system. </w:t>
      </w:r>
      <w:proofErr w:type="gramStart"/>
      <w:r w:rsidRPr="00F933AF">
        <w:rPr>
          <w:rFonts w:cs="Calibri"/>
          <w:sz w:val="16"/>
        </w:rPr>
        <w:t>n11</w:t>
      </w:r>
      <w:proofErr w:type="gramEnd"/>
      <w:r w:rsidRPr="00F933AF">
        <w:rPr>
          <w:rFonts w:cs="Calibri"/>
          <w:sz w:val="16"/>
        </w:rPr>
        <w:t xml:space="preserve"> If this is the case, then improved mental health care can prevent behavior leading to deportation. Part II of this article provides an overview of mental health care in the United States. The story is one of de-institutionalization and an increasing overlap between those in need of mental health care and negative behaviors leading to involvement in the criminal justice system. </w:t>
      </w:r>
      <w:proofErr w:type="gramStart"/>
      <w:r w:rsidRPr="00F933AF">
        <w:rPr>
          <w:rFonts w:cs="Calibri"/>
          <w:sz w:val="16"/>
        </w:rPr>
        <w:t>n12</w:t>
      </w:r>
      <w:proofErr w:type="gramEnd"/>
      <w:r w:rsidRPr="00F933AF">
        <w:rPr>
          <w:rFonts w:cs="Calibri"/>
          <w:sz w:val="16"/>
        </w:rPr>
        <w:t xml:space="preserve"> Part III will focus on the particular mental </w:t>
      </w:r>
      <w:r w:rsidRPr="00F933AF">
        <w:rPr>
          <w:rStyle w:val="StyleUnderline"/>
          <w:rFonts w:cs="Calibri"/>
        </w:rPr>
        <w:t>health challenges of immigrants in the United States</w:t>
      </w:r>
      <w:r w:rsidRPr="00F933AF">
        <w:rPr>
          <w:rFonts w:cs="Calibri"/>
          <w:sz w:val="16"/>
        </w:rPr>
        <w:t xml:space="preserve">. The article details the </w:t>
      </w:r>
      <w:r w:rsidRPr="00F933AF">
        <w:rPr>
          <w:rStyle w:val="StyleUnderline"/>
          <w:rFonts w:cs="Calibri"/>
        </w:rPr>
        <w:t>barriers to receiving mental health care, such as social and cultural barriers, economic barriers such as poverty and a lack of access to insurance, that account for the result that immigrants are underserved and underutilize mental health services.</w:t>
      </w:r>
      <w:r w:rsidRPr="00F933AF">
        <w:rPr>
          <w:rFonts w:cs="Calibri"/>
          <w:sz w:val="16"/>
        </w:rPr>
        <w:t xml:space="preserve"> </w:t>
      </w:r>
      <w:proofErr w:type="gramStart"/>
      <w:r w:rsidRPr="00F933AF">
        <w:rPr>
          <w:rFonts w:cs="Calibri"/>
          <w:sz w:val="16"/>
        </w:rPr>
        <w:t>n13</w:t>
      </w:r>
      <w:proofErr w:type="gramEnd"/>
      <w:r w:rsidRPr="00F933AF">
        <w:rPr>
          <w:rFonts w:cs="Calibri"/>
          <w:sz w:val="16"/>
        </w:rPr>
        <w:t xml:space="preserve"> Part IV connects how </w:t>
      </w:r>
      <w:r w:rsidRPr="00F933AF">
        <w:rPr>
          <w:rStyle w:val="StyleUnderline"/>
          <w:rFonts w:cs="Calibri"/>
        </w:rPr>
        <w:t>immigrants' mental health issues can lead to removal from the United States</w:t>
      </w:r>
      <w:r w:rsidRPr="00F933AF">
        <w:rPr>
          <w:rFonts w:cs="Calibri"/>
          <w:sz w:val="16"/>
        </w:rPr>
        <w:t xml:space="preserve">. It starts with the </w:t>
      </w:r>
      <w:r w:rsidRPr="00F933AF">
        <w:rPr>
          <w:rStyle w:val="StyleUnderline"/>
          <w:rFonts w:cs="Calibri"/>
        </w:rPr>
        <w:t>history of excluding those deemed to be mentally or physically deficient or likely to become a public burden. Reflected in these exclusive grounds is a deeply rooted belief that other countries would send those who are feeble, incompetent or criminal to the United States</w:t>
      </w:r>
      <w:r w:rsidRPr="00F933AF">
        <w:rPr>
          <w:rFonts w:cs="Calibri"/>
          <w:sz w:val="16"/>
        </w:rPr>
        <w:t xml:space="preserve">. n14 While there are strains of that </w:t>
      </w:r>
      <w:r w:rsidRPr="00F933AF">
        <w:rPr>
          <w:rStyle w:val="StyleUnderline"/>
          <w:rFonts w:cs="Calibri"/>
        </w:rPr>
        <w:t>thinking still present in our public debate</w:t>
      </w:r>
      <w:r w:rsidRPr="00F933AF">
        <w:rPr>
          <w:rFonts w:cs="Calibri"/>
          <w:sz w:val="16"/>
        </w:rPr>
        <w:t xml:space="preserve">, n15 the </w:t>
      </w:r>
      <w:r w:rsidRPr="00F933AF">
        <w:rPr>
          <w:rStyle w:val="StyleUnderline"/>
          <w:rFonts w:cs="Calibri"/>
        </w:rPr>
        <w:t>evolution of</w:t>
      </w:r>
      <w:r w:rsidRPr="00F933AF">
        <w:rPr>
          <w:rFonts w:cs="Calibri"/>
          <w:sz w:val="16"/>
        </w:rPr>
        <w:t xml:space="preserve"> the mental health system and [*80] </w:t>
      </w:r>
      <w:r w:rsidRPr="00F933AF">
        <w:rPr>
          <w:rStyle w:val="StyleUnderline"/>
          <w:rFonts w:cs="Calibri"/>
        </w:rPr>
        <w:t>the immigration removal system toward a criminal enforcement approach suggests that today many immigrants who do not receive adequate mental health treatment face removal for a wide variety of actions and offenses that grow out of the untreated mental issues. n16</w:t>
      </w:r>
      <w:r w:rsidRPr="00F933AF">
        <w:rPr>
          <w:rFonts w:cs="Calibri"/>
          <w:sz w:val="16"/>
        </w:rPr>
        <w:t xml:space="preserve"> In fact, what has happened is that the modern removal grounds for drug use and criminal behavior have replaced the </w:t>
      </w:r>
      <w:r w:rsidRPr="00F933AF">
        <w:rPr>
          <w:rStyle w:val="StyleUnderline"/>
          <w:rFonts w:cs="Calibri"/>
        </w:rPr>
        <w:t xml:space="preserve">traditional mental health exclusion grounds as means of deporting those deemed deficient. </w:t>
      </w:r>
      <w:r w:rsidRPr="00F933AF">
        <w:rPr>
          <w:rFonts w:cs="Calibri"/>
          <w:sz w:val="16"/>
        </w:rPr>
        <w:t>n17</w:t>
      </w:r>
    </w:p>
    <w:p w:rsidR="001931F4" w:rsidRPr="00F933AF" w:rsidRDefault="001931F4" w:rsidP="001931F4">
      <w:pPr>
        <w:rPr>
          <w:rStyle w:val="StyleUnderline"/>
          <w:rFonts w:cs="Calibri"/>
        </w:rPr>
      </w:pPr>
    </w:p>
    <w:p w:rsidR="001931F4" w:rsidRPr="00F933AF" w:rsidRDefault="001931F4" w:rsidP="00AA40A1">
      <w:pPr>
        <w:rPr>
          <w:rFonts w:cs="Calibri"/>
          <w:sz w:val="14"/>
        </w:rPr>
      </w:pPr>
    </w:p>
    <w:p w:rsidR="000D6FF9" w:rsidRPr="00F933AF" w:rsidRDefault="00F6498F" w:rsidP="00495F48">
      <w:pPr>
        <w:pStyle w:val="Heading2"/>
      </w:pPr>
      <w:r>
        <w:t>Spillover – Gender, Race, Income</w:t>
      </w:r>
    </w:p>
    <w:p w:rsidR="000D6FF9" w:rsidRPr="00F933AF" w:rsidRDefault="000D6FF9" w:rsidP="000D6FF9">
      <w:pPr>
        <w:pStyle w:val="Heading4"/>
        <w:rPr>
          <w:rFonts w:cs="Calibri"/>
        </w:rPr>
      </w:pPr>
      <w:r w:rsidRPr="00F933AF">
        <w:rPr>
          <w:rFonts w:cs="Calibri"/>
        </w:rPr>
        <w:t>Public charge rules justify excluding women who don’t meet Western gender roles</w:t>
      </w:r>
    </w:p>
    <w:p w:rsidR="000D6FF9" w:rsidRPr="00F933AF" w:rsidRDefault="000D6FF9" w:rsidP="000D6FF9">
      <w:pPr>
        <w:rPr>
          <w:rFonts w:cs="Calibri"/>
        </w:rPr>
      </w:pPr>
      <w:r w:rsidRPr="00F933AF">
        <w:rPr>
          <w:rStyle w:val="Style13ptBold"/>
          <w:rFonts w:cs="Calibri"/>
        </w:rPr>
        <w:t>Moloney 6</w:t>
      </w:r>
      <w:r w:rsidRPr="00F933AF">
        <w:rPr>
          <w:rFonts w:cs="Calibri"/>
        </w:rPr>
        <w:t xml:space="preserve"> (Deirdre M. Moloney, director of fellowships advising at Princeton University, author of National Insecurities: Immigrants and U.S. Deportation Policy Since 1882, American Catholic Lay Groups and Transatlantic Social Reform in the Progressive Era, Summer 2006, “Women, Sexual Morality, and Economic Dependency in Early U.S. Deportation Policy”, Journal of Women's History, Volume 18, Number 2, Published by Johns Hopkins University Press, Project Muse)/CWB</w:t>
      </w:r>
    </w:p>
    <w:p w:rsidR="000D6FF9" w:rsidRPr="00F933AF" w:rsidRDefault="000D6FF9" w:rsidP="000D6FF9">
      <w:pPr>
        <w:rPr>
          <w:rFonts w:cs="Calibri"/>
          <w:sz w:val="16"/>
        </w:rPr>
      </w:pPr>
      <w:r w:rsidRPr="00F933AF">
        <w:rPr>
          <w:rFonts w:cs="Calibri"/>
          <w:sz w:val="16"/>
        </w:rPr>
        <w:t xml:space="preserve">This article examines how </w:t>
      </w:r>
      <w:r w:rsidRPr="00F933AF">
        <w:rPr>
          <w:rStyle w:val="StyleUnderline"/>
          <w:rFonts w:cs="Calibri"/>
        </w:rPr>
        <w:t>U.S. federal immigration policy</w:t>
      </w:r>
      <w:r w:rsidRPr="00F933AF">
        <w:rPr>
          <w:rFonts w:cs="Calibri"/>
          <w:sz w:val="16"/>
        </w:rPr>
        <w:t xml:space="preserve"> in the late nineteenth century and early twentieth century </w:t>
      </w:r>
      <w:r w:rsidRPr="00F933AF">
        <w:rPr>
          <w:rStyle w:val="StyleUnderline"/>
          <w:rFonts w:cs="Calibri"/>
        </w:rPr>
        <w:t>regulated female immigrants who bore children outside of marriage, had sexual relations outside of marriage, or were suspected of prostitution</w:t>
      </w:r>
      <w:r w:rsidRPr="00F933AF">
        <w:rPr>
          <w:rFonts w:cs="Calibri"/>
          <w:sz w:val="16"/>
        </w:rPr>
        <w:t xml:space="preserve">. The author examines the ways in which </w:t>
      </w:r>
      <w:r w:rsidRPr="00F933AF">
        <w:rPr>
          <w:rStyle w:val="StyleUnderline"/>
          <w:rFonts w:cs="Calibri"/>
        </w:rPr>
        <w:t>immigration officials racialized the application of the moral turpitude clause in immigration law</w:t>
      </w:r>
      <w:r w:rsidRPr="00F933AF">
        <w:rPr>
          <w:rFonts w:cs="Calibri"/>
          <w:sz w:val="16"/>
        </w:rPr>
        <w:t xml:space="preserve">, and how this racialization reflected deeper social concerns about women’s shifting economic and political roles and the definitions and expectations of marriage. Although few </w:t>
      </w:r>
      <w:r w:rsidRPr="00F933AF">
        <w:rPr>
          <w:rStyle w:val="StyleUnderline"/>
          <w:rFonts w:cs="Calibri"/>
        </w:rPr>
        <w:t>women were actually deported on moral turpitude grounds, patrolling women’s sexuality and economic status at the borders reduced migration opportunities for women in general, subjected them to intense scrutiny by the state, constricted the contours of their personal relationships, and in some cases permanently separated them from their infant children.</w:t>
      </w:r>
      <w:r w:rsidRPr="00F933AF">
        <w:rPr>
          <w:rFonts w:cs="Calibri"/>
          <w:sz w:val="16"/>
        </w:rPr>
        <w:t xml:space="preserve"> In 1909, Caterina Bressi was deported to Naples, Italy with her young, American-born child, having been charged with prostitution. She spent some months sleeping on the streets of Naples, until a group of wealthy women there provided her with funds to return to the United States, where she supported herself by obtaining a low-wage job at an Illinois candy factory. Bressi claimed she was raped by a coworker at gunpoint and became pregnant. In 1910, the twenty-three-year-old was ordered deported by Chicago immigration authorities </w:t>
      </w:r>
      <w:r w:rsidRPr="00F933AF">
        <w:rPr>
          <w:rStyle w:val="StyleUnderline"/>
          <w:rFonts w:cs="Calibri"/>
        </w:rPr>
        <w:t>on grounds that she was likely to become a public charge</w:t>
      </w:r>
      <w:r w:rsidRPr="00F933AF">
        <w:rPr>
          <w:rFonts w:cs="Calibri"/>
          <w:sz w:val="16"/>
        </w:rPr>
        <w:t>. Her deportation order was overturned by Illinois Federal District Court Judge Kenesaw Landis on a writ of habeas corpus. Judge Landis concluded that there was insufficient evidence to suggest that</w:t>
      </w:r>
      <w:r w:rsidRPr="00F933AF">
        <w:rPr>
          <w:rStyle w:val="StyleUnderline"/>
          <w:rFonts w:cs="Calibri"/>
        </w:rPr>
        <w:t xml:space="preserve"> because Bressi had once practiced prostitution and would soon become the sole support of two children </w:t>
      </w:r>
      <w:r w:rsidRPr="00F933AF">
        <w:rPr>
          <w:rFonts w:cs="Calibri"/>
          <w:sz w:val="16"/>
        </w:rPr>
        <w:t xml:space="preserve">that </w:t>
      </w:r>
      <w:r w:rsidRPr="00F933AF">
        <w:rPr>
          <w:rStyle w:val="StyleUnderline"/>
          <w:rFonts w:cs="Calibri"/>
        </w:rPr>
        <w:t>she would necessarily become a public charge</w:t>
      </w:r>
      <w:r w:rsidRPr="00F933AF">
        <w:rPr>
          <w:rFonts w:cs="Calibri"/>
          <w:sz w:val="16"/>
        </w:rPr>
        <w:t xml:space="preserve">. An </w:t>
      </w:r>
      <w:r w:rsidRPr="00F933AF">
        <w:rPr>
          <w:rStyle w:val="StyleUnderline"/>
          <w:rFonts w:cs="Calibri"/>
        </w:rPr>
        <w:t>immigration official defended the federal government’s decision to deport her</w:t>
      </w:r>
      <w:r w:rsidRPr="00F933AF">
        <w:rPr>
          <w:rFonts w:cs="Calibri"/>
          <w:sz w:val="16"/>
        </w:rPr>
        <w:t xml:space="preserve"> a second time</w:t>
      </w:r>
      <w:r w:rsidRPr="00F933AF">
        <w:rPr>
          <w:rStyle w:val="StyleUnderline"/>
          <w:rFonts w:cs="Calibri"/>
        </w:rPr>
        <w:t>, stating</w:t>
      </w:r>
      <w:r w:rsidRPr="00F933AF">
        <w:rPr>
          <w:rFonts w:cs="Calibri"/>
          <w:sz w:val="16"/>
        </w:rPr>
        <w:t xml:space="preserve">, “[T]here can be </w:t>
      </w:r>
      <w:r w:rsidRPr="00F933AF">
        <w:rPr>
          <w:rStyle w:val="StyleUnderline"/>
          <w:rFonts w:cs="Calibri"/>
        </w:rPr>
        <w:t>no doubt that a woman of loose morals who, while attempting to maintain an appearance of respectability, consents to occasional acts of illicit sexual intercourse is by that defect of character rendered likely to become a public charge</w:t>
      </w:r>
      <w:r w:rsidRPr="00F933AF">
        <w:rPr>
          <w:rFonts w:cs="Calibri"/>
          <w:sz w:val="16"/>
        </w:rPr>
        <w:t xml:space="preserve">.” The official added that Bressi was unlikely to earn enough to support her family, especially since she was soon to enter a period of confinement.1 Bressi’s case neatly captures the relationship between sexual morality issues and women’s economic roles that emerged in the context of the United States’s rapidly industrializing society. By the early twentieth century, </w:t>
      </w:r>
      <w:r w:rsidRPr="00F933AF">
        <w:rPr>
          <w:rStyle w:val="StyleUnderline"/>
          <w:rFonts w:cs="Calibri"/>
        </w:rPr>
        <w:t>growing public concerns</w:t>
      </w:r>
      <w:r w:rsidRPr="00F933AF">
        <w:rPr>
          <w:rFonts w:cs="Calibri"/>
          <w:sz w:val="16"/>
        </w:rPr>
        <w:t xml:space="preserve"> over non-marital pregnancy and prostitution (commonly referred to as “white slavery”) helped to </w:t>
      </w:r>
      <w:r w:rsidRPr="00F933AF">
        <w:rPr>
          <w:rStyle w:val="StyleUnderline"/>
          <w:rFonts w:cs="Calibri"/>
        </w:rPr>
        <w:t xml:space="preserve">shape immigration policies concerning the exclusion and deportation of female immigrants arriving in the United States. </w:t>
      </w:r>
      <w:r w:rsidRPr="00F933AF">
        <w:rPr>
          <w:rFonts w:cs="Calibri"/>
          <w:sz w:val="16"/>
        </w:rPr>
        <w:t xml:space="preserve">That scrutiny of female immigrants occurred in an era in which American citizenship itself was being contested on several levels. Native-born women had renewed their mobilization for federal voting rights and had challenged many assumptions about their social roles. Women’s rates of employment and educational attainment increased in this period, leading to concerns of “women adrift” in urban settings as well as the rise of organizations such as the YWCA. It was also a time in which African Americans formed the NAACP and other organizations to fight Jim Crow segregation policies, and in which the United States expanded its political territory to include the Philippines, Panama, Puerto Rico, and elsewhere. The legal status that these countries’ inhabitants had in relation to the United States was widely debated. A major impetus for federal regulation of immigration arose from labor leaders, who sought to limit the number of alien laborers arriving in the country on the grounds that they depressed American wages. Other early proponents of restriction included those opposed to Asian immigrants on the West Coast, eugenicists who feared the effects of large-scale immigration, and officials in states such as New York, who sought to reduce the costs associated with the growing number of immigrants requiring public institutional care and charity. Thus, concerns about immigrant women reflected larger social debates about who was fit for American citizenship and how the large influx of immigrants would shape American society and its institutions. Moreover, settlement house workers and other Progressive reformers widely perceived immigrant women, in their roles as mothers or potential mothers, to be the primary transmitters of critical cultural and moral values to the next generation. </w:t>
      </w:r>
      <w:r w:rsidRPr="00F933AF">
        <w:rPr>
          <w:rStyle w:val="StyleUnderline"/>
          <w:rFonts w:cs="Calibri"/>
        </w:rPr>
        <w:t>The</w:t>
      </w:r>
      <w:r w:rsidRPr="00F933AF">
        <w:rPr>
          <w:rFonts w:cs="Calibri"/>
          <w:sz w:val="16"/>
        </w:rPr>
        <w:t>ir</w:t>
      </w:r>
      <w:r w:rsidRPr="00F933AF">
        <w:rPr>
          <w:rStyle w:val="StyleUnderline"/>
          <w:rFonts w:cs="Calibri"/>
        </w:rPr>
        <w:t xml:space="preserve"> maternalist perspective, which emphasized the special place of mothers and children in society, was evident in settlement programs and in reforms</w:t>
      </w:r>
      <w:r w:rsidRPr="00F933AF">
        <w:rPr>
          <w:rFonts w:cs="Calibri"/>
          <w:sz w:val="16"/>
        </w:rPr>
        <w:t xml:space="preserve"> such as the Sheppard-Towner Act, which provided medical care to mothers and infants. The regulation of women’s non-marital sexuality at the borders, including prostitution, non-marital births, and common law marriage, was a means to ensure that admitted immigrant women would become both moral citizens themselves and the mothers of moral future citizens.2 The 1875 Page Law first addressed </w:t>
      </w:r>
      <w:r w:rsidRPr="00F933AF">
        <w:rPr>
          <w:rStyle w:val="StyleUnderline"/>
          <w:rFonts w:cs="Calibri"/>
        </w:rPr>
        <w:t>concerns about immigrant women’s morality by placing major constraints on the immigration of unmarried women</w:t>
      </w:r>
      <w:r w:rsidRPr="00F933AF">
        <w:rPr>
          <w:rFonts w:cs="Calibri"/>
          <w:sz w:val="16"/>
        </w:rPr>
        <w:t xml:space="preserve"> from China, casting them as likely to engage in prostitution. </w:t>
      </w:r>
      <w:proofErr w:type="gramStart"/>
      <w:r w:rsidRPr="00F933AF">
        <w:rPr>
          <w:rFonts w:cs="Calibri"/>
          <w:sz w:val="16"/>
        </w:rPr>
        <w:t>The  Chinese</w:t>
      </w:r>
      <w:proofErr w:type="gramEnd"/>
      <w:r w:rsidRPr="00F933AF">
        <w:rPr>
          <w:rFonts w:cs="Calibri"/>
          <w:sz w:val="16"/>
        </w:rPr>
        <w:t xml:space="preserve"> Exclusion Act and the Immigration Act of 1882 constituted the first major federal laws regulating immigration to the United States. The Immigration Act, revised in 1891, allowed for the exclusion or deportation of immigrants deemed “likely to become public charges, persons suffering from a loathsome or contagious disease, persons who have been convicted of a felony or other infamous crime or misdemeanor, involving moral turpitude, polygamists, and also any person whose ticket or passage has been paid for with the money of another.” Prior to the 1882 Immigration Act, there were some efforts by the states to regulate immigration at incoming ports, using boards or commissions, but there was no systematic effort to limit immigration and no federal government agency authorized or granted a budget to regulate the flow of immigrants. Over the next few decades additional laws were passed to regulate immigration, to strengthen and broaden the scope of deportation policies, and to deepen the mechanism for enforcement of those laws and policies to the major ports of immigration, the Canadian and Mexican border, and many cities across the United States that became immigrant destinations. Between 1900 and 1909, over 8.2 million immigrants arrived in the United States, primarily from Europe. In fact, the percentage of immigrants arriving in the United States totaled just below 11 percent of the U.S. population, a ratio that was its second highest in history until the 1990s. The influx of immigrants from Europe began to slow by World War I and in the 1920s a series of immigration restriction acts greatly reduced the flow of immigrants. The national quota system did not place numerical restrictions on immigrants from Canada or Mexico, though they were subject to other forms of regulation, based on public health restrictions, for example. By the Great Depression of the 1930s, large numbers of immigrants, especially Mexicans, were deported or pressured to repatriate to their countries of origin.3 Some of the earlier state-level policies carried over to </w:t>
      </w:r>
      <w:r w:rsidRPr="00F933AF">
        <w:rPr>
          <w:rStyle w:val="StyleUnderline"/>
          <w:rFonts w:cs="Calibri"/>
        </w:rPr>
        <w:t>federal policy</w:t>
      </w:r>
      <w:r w:rsidRPr="00F933AF">
        <w:rPr>
          <w:rFonts w:cs="Calibri"/>
          <w:sz w:val="16"/>
        </w:rPr>
        <w:t xml:space="preserve">, including </w:t>
      </w:r>
      <w:r w:rsidRPr="00F933AF">
        <w:rPr>
          <w:rStyle w:val="StyleUnderline"/>
          <w:rFonts w:cs="Calibri"/>
        </w:rPr>
        <w:t>precedents about “paupers” and pregnant women. The Likely to Become a Public Charge (LPC) provision was a modern incarnation of traditional Anglo-American poor laws, which reinforced prevalent views about women’s economic vulnerability and dependency on male wage earners.</w:t>
      </w:r>
      <w:r w:rsidRPr="00F933AF">
        <w:rPr>
          <w:rFonts w:cs="Calibri"/>
          <w:sz w:val="16"/>
        </w:rPr>
        <w:t xml:space="preserve"> Therefore, female immigrants became especially vulnerable to </w:t>
      </w:r>
      <w:r w:rsidRPr="00F933AF">
        <w:rPr>
          <w:rStyle w:val="StyleUnderline"/>
          <w:rFonts w:cs="Calibri"/>
        </w:rPr>
        <w:t>the Likely to Become a Public Charge (LPC) provision</w:t>
      </w:r>
      <w:r w:rsidRPr="00F933AF">
        <w:rPr>
          <w:rFonts w:cs="Calibri"/>
          <w:sz w:val="16"/>
        </w:rPr>
        <w:t xml:space="preserve">, but also to </w:t>
      </w:r>
      <w:r w:rsidRPr="00F933AF">
        <w:rPr>
          <w:rStyle w:val="StyleUnderline"/>
          <w:rFonts w:cs="Calibri"/>
        </w:rPr>
        <w:t>increasing social concerns about women’s morality</w:t>
      </w:r>
      <w:r w:rsidRPr="00F933AF">
        <w:rPr>
          <w:rFonts w:cs="Calibri"/>
          <w:sz w:val="16"/>
        </w:rPr>
        <w:t xml:space="preserve">.4 These two issues were intertwined, given that women who immigrated outside family structures were viewed as far more economically vulnerable than men. If they were unable to earn a living in industry or domestic service, they might turn to prostitution, as had women such as Caterina Bressi. Indeed, for many women in industrializing capital economies, prostitution served as one of the few profitable alternatives to domestic service or low-paid factory jobs. 98 Journal of Women’s History Summer As with domestic service or factory jobs, there was a clear demand for such work in the United States. My research suggests that </w:t>
      </w:r>
      <w:r w:rsidRPr="00F933AF">
        <w:rPr>
          <w:rStyle w:val="StyleUnderline"/>
          <w:rFonts w:cs="Calibri"/>
        </w:rPr>
        <w:t xml:space="preserve">because it was easier to prove, women who were suspected of prostitution or who lived with their partners or children outside of a formal marriage were often excluded on the basis of the LPC provision rather than on grounds of prostitution </w:t>
      </w:r>
      <w:r w:rsidRPr="00F933AF">
        <w:rPr>
          <w:rFonts w:cs="Calibri"/>
          <w:sz w:val="16"/>
        </w:rPr>
        <w:t xml:space="preserve">or moral turpitude. Indeed, LPC and other provisions related to economic dependency were the most common reason for exclusion, in large part because they were easier charges to substantiate. In 1916, for example, 10,263 </w:t>
      </w:r>
      <w:r w:rsidRPr="00F933AF">
        <w:rPr>
          <w:rStyle w:val="StyleUnderline"/>
          <w:rFonts w:cs="Calibri"/>
        </w:rPr>
        <w:t>people were excluded at the ports of entry</w:t>
      </w:r>
      <w:r w:rsidRPr="00F933AF">
        <w:rPr>
          <w:rFonts w:cs="Calibri"/>
          <w:sz w:val="16"/>
        </w:rPr>
        <w:t xml:space="preserve"> and returned to their countries of origin </w:t>
      </w:r>
      <w:r w:rsidRPr="00F933AF">
        <w:rPr>
          <w:rStyle w:val="StyleUnderline"/>
          <w:rFonts w:cs="Calibri"/>
        </w:rPr>
        <w:t>on the basis of the LPC provision</w:t>
      </w:r>
      <w:r w:rsidRPr="00F933AF">
        <w:rPr>
          <w:rFonts w:cs="Calibri"/>
          <w:sz w:val="16"/>
        </w:rPr>
        <w:t>. That number equaled 55 percent of those excluded that year. Additionally, 1,431</w:t>
      </w:r>
      <w:r w:rsidRPr="00F933AF">
        <w:rPr>
          <w:rStyle w:val="StyleUnderline"/>
          <w:rFonts w:cs="Calibri"/>
        </w:rPr>
        <w:t xml:space="preserve"> immigrants were deported</w:t>
      </w:r>
      <w:r w:rsidRPr="00F933AF">
        <w:rPr>
          <w:rFonts w:cs="Calibri"/>
          <w:sz w:val="16"/>
        </w:rPr>
        <w:t xml:space="preserve"> after having resided in the United States because they were or </w:t>
      </w:r>
      <w:r w:rsidRPr="00F933AF">
        <w:rPr>
          <w:rStyle w:val="StyleUnderline"/>
          <w:rFonts w:cs="Calibri"/>
        </w:rPr>
        <w:t>were deemed likely to become dependent on public funds or to become inmates of public institutions</w:t>
      </w:r>
      <w:r w:rsidRPr="00F933AF">
        <w:rPr>
          <w:rFonts w:cs="Calibri"/>
          <w:sz w:val="16"/>
        </w:rPr>
        <w:t xml:space="preserve">.5 In the first two decades of the twentieth century, </w:t>
      </w:r>
      <w:r w:rsidRPr="00F933AF">
        <w:rPr>
          <w:rStyle w:val="StyleUnderline"/>
          <w:rFonts w:cs="Calibri"/>
        </w:rPr>
        <w:t>women of all nationalities</w:t>
      </w:r>
      <w:r w:rsidRPr="00F933AF">
        <w:rPr>
          <w:rFonts w:cs="Calibri"/>
          <w:sz w:val="16"/>
        </w:rPr>
        <w:t xml:space="preserve"> constituted about a third of all immigrants arriving in the United States, but they were </w:t>
      </w:r>
      <w:r w:rsidRPr="00F933AF">
        <w:rPr>
          <w:rStyle w:val="StyleUnderline"/>
          <w:rFonts w:cs="Calibri"/>
        </w:rPr>
        <w:t>proportionately more likely than men to face LPC charges, especially if they were unmarried and traveling outside a family structure</w:t>
      </w:r>
      <w:r w:rsidRPr="00F933AF">
        <w:rPr>
          <w:rFonts w:cs="Calibri"/>
          <w:sz w:val="16"/>
        </w:rPr>
        <w:t xml:space="preserve">. In contrast, from 1892 to 1920, the numbers of immigrant women excluded from the United States on the basis of prostitution went from 80 in 1892 to a high of 510 in 1917. In six of those years, no immigrants were excluded for prostitution. The mean number of immigrant women excluded annually for prostitution in the years from 1892 to 1920 was 131. The number of immigrant women deported on grounds of prostitution (after having resided in the United States) also remained low, generally under 200 per year prior to 1920. Thus, from 1892 to 1920, immigration officials used provisions of the LPC clause more often than those specifically related to prostitution to exclude or deport immigrant women from the United States.6 By 1910, female immigrants traveling alone from Europe, Mexico, the Caribbean, Asia, and the Middle East were routinely scrutinized to determine their moral, familial, and economic status. Issues of female sexual behavior had previously surfaced in state-level immigration policies. In Pennsylvania, for example, state officials developed a policy of deporting single, pregnant immigrant women in the 1880s. In 1884 the State of Pennsylvania noted in “The Second Immigration Report of the Board of Commissioners of Public Charities for the Year Ending June 30, 1884” that seventeen persons were returned to Europe that year. The report writer noted with typical Victorian delicacy that “Twelve (12) of those were incapacitated for labor on account of illness, or inability, and five (5) were enciente [sic].”7 A similar situation was reported by Frederick Busch, keeper of the Erie County Almshouse, who noted that his agency had assisted a German woman of 24 who had been sent alone to the United States by the father of her child, 2006 Deirdre M. Moloney 99 and was later returned to Germany by the State Board of Charities. When immigration was regulated by the states, there were relatively few legal mechanisms and virtually no resources expended to address immigration law. Therefore, there was little enforcement regulating immigrants from Europe until the close of the nineteenth century.8 </w:t>
      </w:r>
      <w:proofErr w:type="gramStart"/>
      <w:r w:rsidRPr="00F933AF">
        <w:rPr>
          <w:rFonts w:cs="Calibri"/>
          <w:sz w:val="16"/>
        </w:rPr>
        <w:t>Yet</w:t>
      </w:r>
      <w:proofErr w:type="gramEnd"/>
      <w:r w:rsidRPr="00F933AF">
        <w:rPr>
          <w:rFonts w:cs="Calibri"/>
          <w:sz w:val="16"/>
        </w:rPr>
        <w:t xml:space="preserve">, some of the earlier principles determining </w:t>
      </w:r>
      <w:r w:rsidRPr="00F933AF">
        <w:rPr>
          <w:rStyle w:val="StyleUnderline"/>
          <w:rFonts w:cs="Calibri"/>
        </w:rPr>
        <w:t>the grounds for deportation</w:t>
      </w:r>
      <w:r w:rsidRPr="00F933AF">
        <w:rPr>
          <w:rFonts w:cs="Calibri"/>
          <w:sz w:val="16"/>
        </w:rPr>
        <w:t xml:space="preserve"> did influence the development of federal policy. </w:t>
      </w:r>
      <w:r w:rsidRPr="00F933AF">
        <w:rPr>
          <w:rStyle w:val="StyleUnderline"/>
          <w:rFonts w:cs="Calibri"/>
        </w:rPr>
        <w:t>For example, the policy of excluding or deporting women who were pregnant on the grounds of their likelihood to become public charges carried over</w:t>
      </w:r>
      <w:r w:rsidRPr="00F933AF">
        <w:rPr>
          <w:rFonts w:cs="Calibri"/>
          <w:sz w:val="16"/>
        </w:rPr>
        <w:t xml:space="preserve"> to federal policy following the passage of the Immigration Act of 1882, which transferred the enforcement of immigration policy to the federal government. </w:t>
      </w:r>
      <w:r w:rsidRPr="00F933AF">
        <w:rPr>
          <w:rStyle w:val="StyleUnderline"/>
          <w:rFonts w:cs="Calibri"/>
        </w:rPr>
        <w:t>Even when written as gender neutral, immigration laws and policies concerning sexual morality, economic independence, and public health had significantly divergent effects on men and women</w:t>
      </w:r>
      <w:r w:rsidRPr="00F933AF">
        <w:rPr>
          <w:rFonts w:cs="Calibri"/>
          <w:sz w:val="16"/>
        </w:rPr>
        <w:t xml:space="preserve">. Ultimately, the policies that sought to ban immigrant women who had sexual relations outside of marriage, defined by evidence of prostitution, non-marital pregnancy, or adultery, </w:t>
      </w:r>
      <w:proofErr w:type="gramStart"/>
      <w:r w:rsidRPr="00F933AF">
        <w:rPr>
          <w:rFonts w:cs="Calibri"/>
          <w:sz w:val="16"/>
        </w:rPr>
        <w:t>greatly</w:t>
      </w:r>
      <w:proofErr w:type="gramEnd"/>
      <w:r w:rsidRPr="00F933AF">
        <w:rPr>
          <w:rFonts w:cs="Calibri"/>
          <w:sz w:val="16"/>
        </w:rPr>
        <w:t xml:space="preserve"> restricted all women’s ability to immigrate to the United States unaccompanied by husbands or fathers. By the early twentieth century the Bureau of Immigration used its gate-keeping authority to promote marriage between partners who were not legally married. The richly detailed case files and administrative records of the Bureau of Immigration, housed in the National Archives, offer crucial insights into attitudes toward those</w:t>
      </w:r>
      <w:r w:rsidRPr="00F933AF">
        <w:rPr>
          <w:rStyle w:val="StyleUnderline"/>
          <w:rFonts w:cs="Calibri"/>
        </w:rPr>
        <w:t xml:space="preserve"> female immigrants who immigrated independently</w:t>
      </w:r>
      <w:r w:rsidRPr="00F933AF">
        <w:rPr>
          <w:rFonts w:cs="Calibri"/>
          <w:sz w:val="16"/>
        </w:rPr>
        <w:t xml:space="preserve"> from their families and how those who </w:t>
      </w:r>
      <w:r w:rsidRPr="00F933AF">
        <w:rPr>
          <w:rStyle w:val="StyleUnderline"/>
          <w:rFonts w:cs="Calibri"/>
        </w:rPr>
        <w:t>faced exclusion or deportation proceedings</w:t>
      </w:r>
      <w:r w:rsidRPr="00F933AF">
        <w:rPr>
          <w:rFonts w:cs="Calibri"/>
          <w:sz w:val="16"/>
        </w:rPr>
        <w:t xml:space="preserve"> were treated.9</w:t>
      </w:r>
    </w:p>
    <w:p w:rsidR="00F6498F" w:rsidRPr="00F933AF" w:rsidRDefault="00F6498F" w:rsidP="00F6498F">
      <w:pPr>
        <w:pStyle w:val="Heading4"/>
        <w:rPr>
          <w:rFonts w:cs="Calibri"/>
        </w:rPr>
      </w:pPr>
      <w:r w:rsidRPr="00F933AF">
        <w:rPr>
          <w:rFonts w:cs="Calibri"/>
        </w:rPr>
        <w:t>The origins of public charge exclusion prove its massive discretion to executive discrimination based of ability, income and gender roles</w:t>
      </w:r>
    </w:p>
    <w:p w:rsidR="00F6498F" w:rsidRPr="00F933AF" w:rsidRDefault="00F6498F" w:rsidP="00F6498F">
      <w:pPr>
        <w:rPr>
          <w:rFonts w:cs="Calibri"/>
        </w:rPr>
      </w:pPr>
      <w:r w:rsidRPr="00F933AF">
        <w:rPr>
          <w:rStyle w:val="Style13ptBold"/>
          <w:rFonts w:cs="Calibri"/>
        </w:rPr>
        <w:t>Baynton 5</w:t>
      </w:r>
      <w:r w:rsidRPr="00F933AF">
        <w:rPr>
          <w:rFonts w:cs="Calibri"/>
        </w:rPr>
        <w:t xml:space="preserve"> (Douglas C. Baynton, professor of American cultural history and history of disability at the University of Iowa,</w:t>
      </w:r>
      <w:r w:rsidRPr="00F933AF">
        <w:rPr>
          <w:rFonts w:cs="Calibri"/>
          <w:color w:val="000000"/>
          <w:shd w:val="clear" w:color="auto" w:fill="FFFFFF"/>
        </w:rPr>
        <w:t xml:space="preserve"> PhD from the University of Iowa,</w:t>
      </w:r>
      <w:r w:rsidRPr="00F933AF">
        <w:rPr>
          <w:rFonts w:cs="Calibri"/>
        </w:rPr>
        <w:t xml:space="preserve"> </w:t>
      </w:r>
      <w:r w:rsidRPr="00F933AF">
        <w:rPr>
          <w:rFonts w:cs="Calibri"/>
          <w:color w:val="000000"/>
          <w:shd w:val="clear" w:color="auto" w:fill="FFFFFF"/>
        </w:rPr>
        <w:t xml:space="preserve">serves on the Editorial Board of Sign Language Studies, Disability Studies Quarterly, and Deaf Studies Digital Journal, </w:t>
      </w:r>
      <w:r w:rsidRPr="00F933AF">
        <w:rPr>
          <w:rFonts w:cs="Calibri"/>
        </w:rPr>
        <w:t>Spring 2005, “Defectives in the Land: Disability and American Immigration Policy, 1882-1924”, Journal of American Ethnic History, Vol. 24, No. 3, Published by: University of Illinois Press on behalf of the Immigration &amp; Ethnic History Society, JSTOR)/CWB</w:t>
      </w:r>
    </w:p>
    <w:p w:rsidR="00F6498F" w:rsidRPr="00F933AF" w:rsidRDefault="00F6498F" w:rsidP="00F6498F">
      <w:pPr>
        <w:rPr>
          <w:rFonts w:cs="Calibri"/>
          <w:sz w:val="16"/>
        </w:rPr>
      </w:pPr>
      <w:r w:rsidRPr="00F933AF">
        <w:rPr>
          <w:rStyle w:val="StyleUnderline"/>
          <w:rFonts w:cs="Calibri"/>
        </w:rPr>
        <w:t>Congressional legislation</w:t>
      </w:r>
      <w:r w:rsidRPr="00F933AF">
        <w:rPr>
          <w:rFonts w:cs="Calibri"/>
          <w:sz w:val="16"/>
        </w:rPr>
        <w:t xml:space="preserve"> throughout this period </w:t>
      </w:r>
      <w:r w:rsidRPr="00F933AF">
        <w:rPr>
          <w:rStyle w:val="StyleUnderline"/>
          <w:rFonts w:cs="Calibri"/>
        </w:rPr>
        <w:t xml:space="preserve">repeatedly, and with ever increasing urgency, identified defective immigrants as a threat to the nation. The desire to keep out immigrants deemed defective was not </w:t>
      </w:r>
      <w:proofErr w:type="gramStart"/>
      <w:r w:rsidRPr="00F933AF">
        <w:rPr>
          <w:rStyle w:val="StyleUnderline"/>
          <w:rFonts w:cs="Calibri"/>
        </w:rPr>
        <w:t>a</w:t>
      </w:r>
      <w:proofErr w:type="gramEnd"/>
      <w:r w:rsidRPr="00F933AF">
        <w:rPr>
          <w:rStyle w:val="StyleUnderline"/>
          <w:rFonts w:cs="Calibri"/>
        </w:rPr>
        <w:t xml:space="preserve"> isolated development, but rather was one aspect of a trend toward the increasing segregation of disabled people into institutions and the sterilization of the "unfit" and "degenerate" under state eugenic laws. While anti-immigrant sentiment in the United States has long been a significant area of scholarly research, disability has held a marginal place in that scholarship</w:t>
      </w:r>
      <w:r w:rsidRPr="00F933AF">
        <w:rPr>
          <w:rFonts w:cs="Calibri"/>
          <w:sz w:val="16"/>
        </w:rPr>
        <w:t xml:space="preserve">. John Higham's Strangers in the Land identified three main currents of anti-immigrant sentiment: anti-Catholicism, fear of foreign radicals, and racial nativism. Roger Daniels stated in Coming to America that "by 1917 the </w:t>
      </w:r>
      <w:r w:rsidRPr="00F933AF">
        <w:rPr>
          <w:rStyle w:val="StyleUnderline"/>
          <w:rFonts w:cs="Calibri"/>
        </w:rPr>
        <w:t xml:space="preserve">immigration policy of the United States had been restricted in </w:t>
      </w:r>
      <w:r w:rsidRPr="00F933AF">
        <w:rPr>
          <w:rFonts w:cs="Calibri"/>
          <w:sz w:val="16"/>
        </w:rPr>
        <w:t xml:space="preserve">seven </w:t>
      </w:r>
      <w:r w:rsidRPr="00F933AF">
        <w:rPr>
          <w:rStyle w:val="StyleUnderline"/>
          <w:rFonts w:cs="Calibri"/>
        </w:rPr>
        <w:t>major ways," with admission being denied to</w:t>
      </w:r>
      <w:r w:rsidRPr="00F933AF">
        <w:rPr>
          <w:rFonts w:cs="Calibri"/>
          <w:sz w:val="16"/>
        </w:rPr>
        <w:t xml:space="preserve"> "Asians . . .; criminals;</w:t>
      </w:r>
      <w:r w:rsidRPr="00F933AF">
        <w:rPr>
          <w:rStyle w:val="StyleUnderline"/>
          <w:rFonts w:cs="Calibri"/>
        </w:rPr>
        <w:t xml:space="preserve"> persons who failed to meet certain moral standards; persons with various diseases; paupers; assorted radicals; and illiterates." </w:t>
      </w:r>
      <w:r w:rsidRPr="00F933AF">
        <w:rPr>
          <w:rFonts w:cs="Calibri"/>
          <w:sz w:val="16"/>
        </w:rPr>
        <w:t xml:space="preserve">Alan Kraut's Silent Travelers and Amy Fairchild's recent book, Science at the Borders, brought a welcome focus to medical </w:t>
      </w:r>
      <w:r w:rsidRPr="00F933AF">
        <w:rPr>
          <w:rStyle w:val="StyleUnderline"/>
          <w:rFonts w:cs="Calibri"/>
        </w:rPr>
        <w:t>inspection,</w:t>
      </w:r>
      <w:r w:rsidRPr="00F933AF">
        <w:rPr>
          <w:rFonts w:cs="Calibri"/>
          <w:sz w:val="16"/>
        </w:rPr>
        <w:t xml:space="preserve"> but </w:t>
      </w:r>
      <w:r w:rsidRPr="00F933AF">
        <w:rPr>
          <w:rStyle w:val="StyleUnderline"/>
          <w:rFonts w:cs="Calibri"/>
        </w:rPr>
        <w:t>did not examine communicable disease and disability as distinct issues, nor explore the cultural stigmatization of disability that formed the background to these laws</w:t>
      </w:r>
      <w:r w:rsidRPr="00F933AF">
        <w:rPr>
          <w:rFonts w:cs="Calibri"/>
          <w:sz w:val="16"/>
        </w:rPr>
        <w:t xml:space="preserve">.2 Sophie Fuko does not fit into any of the categories that historians of </w:t>
      </w:r>
      <w:r w:rsidRPr="00F933AF">
        <w:rPr>
          <w:rStyle w:val="StyleUnderline"/>
          <w:rFonts w:cs="Calibri"/>
        </w:rPr>
        <w:t>immigration policy</w:t>
      </w:r>
      <w:r w:rsidRPr="00F933AF">
        <w:rPr>
          <w:rFonts w:cs="Calibri"/>
          <w:sz w:val="16"/>
        </w:rPr>
        <w:t xml:space="preserve"> have described as </w:t>
      </w:r>
      <w:r w:rsidRPr="00F933AF">
        <w:rPr>
          <w:rStyle w:val="StyleUnderline"/>
          <w:rFonts w:cs="Calibri"/>
        </w:rPr>
        <w:t>fundamental to</w:t>
      </w:r>
      <w:r w:rsidRPr="00F933AF">
        <w:rPr>
          <w:rFonts w:cs="Calibri"/>
          <w:sz w:val="16"/>
        </w:rPr>
        <w:t xml:space="preserve"> anti-immigrant sentiment or </w:t>
      </w:r>
      <w:r w:rsidRPr="00F933AF">
        <w:rPr>
          <w:rStyle w:val="StyleUnderline"/>
          <w:rFonts w:cs="Calibri"/>
        </w:rPr>
        <w:t>the enactment of exclusionary immigration policies in the United States</w:t>
      </w:r>
      <w:r w:rsidRPr="00F933AF">
        <w:rPr>
          <w:rFonts w:cs="Calibri"/>
          <w:sz w:val="16"/>
        </w:rPr>
        <w:t xml:space="preserve">. Though she had little money at hand, she was by no definition a pauper. Neither she nor her son was a carrier of disease. The only charge against Fuko, and many other similar immigrants, was that they were defective. Countless other immigrants passed through Ellis Island with fewer financial resources, no family in the United States to turn to in case of difficulty, and certainly less poignant personal circumstances. Disability was a crucial factor in deciding whether an immigrant would be allowed to enter the United States. </w:t>
      </w:r>
      <w:r w:rsidRPr="00F933AF">
        <w:rPr>
          <w:rStyle w:val="StyleUnderline"/>
          <w:rFonts w:cs="Calibri"/>
        </w:rPr>
        <w:t>The first major immigration law, the Act of 1882, prohibited entry to any "lunatic, idiot, or any person unable to take care of himself or herself without becoming a public charge."</w:t>
      </w:r>
      <w:r w:rsidRPr="00F933AF">
        <w:rPr>
          <w:rFonts w:cs="Calibri"/>
          <w:sz w:val="16"/>
        </w:rPr>
        <w:t xml:space="preserve"> Those placed in the categories "lunatic" or "idiot" were automatically excluded. </w:t>
      </w:r>
      <w:r w:rsidRPr="00F933AF">
        <w:rPr>
          <w:rStyle w:val="StyleUnderline"/>
          <w:rFonts w:cs="Calibri"/>
        </w:rPr>
        <w:t xml:space="preserve">The "public charge" provision was intended to encompass individuals with disabilities more generally, and was left to the examining officer's discretion.3 </w:t>
      </w:r>
      <w:proofErr w:type="gramStart"/>
      <w:r w:rsidRPr="00F933AF">
        <w:rPr>
          <w:rStyle w:val="StyleUnderline"/>
          <w:rFonts w:cs="Calibri"/>
        </w:rPr>
        <w:t>The</w:t>
      </w:r>
      <w:proofErr w:type="gramEnd"/>
      <w:r w:rsidRPr="00F933AF">
        <w:rPr>
          <w:rStyle w:val="StyleUnderline"/>
          <w:rFonts w:cs="Calibri"/>
        </w:rPr>
        <w:t xml:space="preserve"> criteria for excluding disabled persons were steadily tightened as the eugenics movement and popular fears about the decline of the national stock gathered strength. The Act of 1891 replaced the phrase "unable to take care of himself or herself without becoming a public charge," with "likely to become a public charge."</w:t>
      </w:r>
      <w:r w:rsidRPr="00F933AF">
        <w:rPr>
          <w:rFonts w:cs="Calibri"/>
          <w:sz w:val="16"/>
        </w:rPr>
        <w:t xml:space="preserve"> The 1907 law then required a medical certificate for anyone judged "mentally or physically defective, such mental or physical defect being of a nature which may affect the ability of such alien to earn a living." While nondisabled immigrants continued to be admitted unless found to be "likely to become a public charge," disabled people were subject to this more rigorous standard.4 </w:t>
      </w:r>
      <w:r w:rsidRPr="00F933AF">
        <w:rPr>
          <w:rStyle w:val="StyleUnderline"/>
          <w:rFonts w:cs="Calibri"/>
        </w:rPr>
        <w:t>Exclusions for mental defect were steadily expanded</w:t>
      </w:r>
      <w:r w:rsidRPr="00F933AF">
        <w:rPr>
          <w:rFonts w:cs="Calibri"/>
          <w:sz w:val="16"/>
        </w:rPr>
        <w:t xml:space="preserve">. In 1903 people with epilepsy were added, as well as "persons who have been insane within five years previous [or] who have had two or more attacks of in sanity at any time previously." In 1907 "imbeciles" and "feeble-minded persons" had been barred, in addition to "idiots." In 1917 the classification of "constitutional psychopathic inferiority" was added, which inspection regulations described as including "various unstable individuals on the border line between sanity and insanity, such as . . . persons with abnormal sex instincts." Officials were instructed to exclude persons with "any mental abnormality whatever . . . which justifies the statement that the alien is mentally defective." </w:t>
      </w:r>
      <w:r w:rsidRPr="00F933AF">
        <w:rPr>
          <w:rStyle w:val="StyleUnderline"/>
          <w:rFonts w:cs="Calibri"/>
        </w:rPr>
        <w:t>This provision, the regulations explain, was intended "as a means of excluding aliens of a mentally inferior type, not comprehended in the other provisions of the law, without being under the necessity, as formerly, of showing that they have a defect which may affect their ability to earn a living."5 The rules governing exclusion for physical disabilities were equally vague and expansive</w:t>
      </w:r>
      <w:r w:rsidRPr="00F933AF">
        <w:rPr>
          <w:rFonts w:cs="Calibri"/>
          <w:sz w:val="16"/>
        </w:rPr>
        <w:t xml:space="preserve">. Regulations instructed inspectors that "each individual should be seen first at rest and then in motion," in order to detect "irregularities in movement" and "abnormalities of any description." It listed defects that could be cause for exclusion, a few examples of which were arthritis, asthma, bunions, deafness, deformities, flat feet, heart dis ease, hernia, hysteria, poor eyesight, poor physical development, spinal curvature, vascular disease of the heart, and varicose veins.6 An Ellis Island medical inspector later wrote that his task was "to detect poorly built, defective or broken down human beings."7 </w:t>
      </w:r>
      <w:r w:rsidRPr="00F933AF">
        <w:rPr>
          <w:rStyle w:val="StyleUnderline"/>
          <w:rFonts w:cs="Calibri"/>
        </w:rPr>
        <w:t>In short, the exclusion of disabled people was central to the laws governing immigration. As the Commissioner General of Immigration reported in 1907, "The exclusion from this country of the morally, mentally, and physically deficient is the principal object to be accomplished by the immigration laws."8 These laws were usually presented as simply a matter of economics. The issue, however, was rarely so straightforward. Many rejected immigrants had been self-supporting in their home countries.</w:t>
      </w:r>
      <w:r w:rsidRPr="00F933AF">
        <w:rPr>
          <w:rFonts w:cs="Calibri"/>
          <w:sz w:val="16"/>
        </w:rPr>
        <w:t xml:space="preserve"> Others received job offers while awaiting their hearing, but still were deported as likely to become public charges. </w:t>
      </w:r>
      <w:r w:rsidRPr="00F933AF">
        <w:rPr>
          <w:rStyle w:val="StyleUnderline"/>
          <w:rFonts w:cs="Calibri"/>
        </w:rPr>
        <w:t xml:space="preserve">More importantly, to the extent that some people with disabilities might indeed encounter difficulties in finding employment, the public charge law also assumes that the unemployment or underemployment of disabled people is a problem centered in bodies rather than in the relationship between particular bodies and the constructed physical and social environments in which they live. This may have been the only practical assumption for immigration officials, but historians should put immigration restriction into context as one element in a larger system of discrimination that made it difficult for disabled people to live and move about independently. </w:t>
      </w:r>
      <w:r w:rsidRPr="00F933AF">
        <w:rPr>
          <w:rFonts w:cs="Calibri"/>
          <w:sz w:val="16"/>
        </w:rPr>
        <w:t>Leaving aside, however, complex questions of what factors made (and still make) it difficult for disabled people to find work, the economic explanation for exclusion remains an incomplete one. Two examples of the mixed motives and reasoning that went into these exclusions were the diagnoses "poor physique" and "lack of sexual development."</w:t>
      </w:r>
    </w:p>
    <w:p w:rsidR="00F6498F" w:rsidRPr="000664A0" w:rsidRDefault="00F6498F" w:rsidP="00F6498F"/>
    <w:p w:rsidR="00F6498F" w:rsidRPr="00F933AF" w:rsidRDefault="00F6498F" w:rsidP="00F6498F">
      <w:pPr>
        <w:pStyle w:val="Heading4"/>
        <w:rPr>
          <w:rFonts w:cs="Calibri"/>
        </w:rPr>
      </w:pPr>
      <w:r w:rsidRPr="00F933AF">
        <w:rPr>
          <w:rFonts w:cs="Calibri"/>
        </w:rPr>
        <w:t>Public charge used to exclude immigrants officials deemed undesirable based off ethnicity, sexuality and ability</w:t>
      </w:r>
    </w:p>
    <w:p w:rsidR="00F6498F" w:rsidRPr="00F933AF" w:rsidRDefault="00F6498F" w:rsidP="00F6498F">
      <w:pPr>
        <w:rPr>
          <w:rFonts w:cs="Calibri"/>
        </w:rPr>
      </w:pPr>
      <w:r w:rsidRPr="00F933AF">
        <w:rPr>
          <w:rStyle w:val="Style13ptBold"/>
          <w:rFonts w:cs="Calibri"/>
        </w:rPr>
        <w:t>Baynton 13</w:t>
      </w:r>
      <w:r w:rsidRPr="00F933AF">
        <w:rPr>
          <w:rFonts w:cs="Calibri"/>
        </w:rPr>
        <w:t xml:space="preserve"> (Douglas C. Baynton, professor of history of disability at the University of Iowa, author of </w:t>
      </w:r>
      <w:r w:rsidRPr="00F933AF">
        <w:rPr>
          <w:rFonts w:cs="Calibri"/>
          <w:color w:val="000000"/>
          <w:shd w:val="clear" w:color="auto" w:fill="FFFFFF"/>
        </w:rPr>
        <w:t xml:space="preserve">Defectives in the Land: Disability and Immigration in the Age of Eugenics, Forbidden Signs: American Culture and the Campaign against Sign Language, Through Deaf Eyes: A Photographic History, serves on the Editorial Board of Sign Language Studies, Disability Studies Quarterly, and Deaf Studies Digital Journal, </w:t>
      </w:r>
      <w:r w:rsidRPr="00F933AF">
        <w:rPr>
          <w:rFonts w:cs="Calibri"/>
        </w:rPr>
        <w:t xml:space="preserve">Ed. Lennard J. Davis, Professor of Disability and Human Development at the University of Illinois at Chicago, 2013, “Disability and the Justification of Inequality in American History”, The Fourth Edition of the Disability Studies Reader, Routledge, http://ieas-szeged.hu/downtherabbithole/wp-content/uploads/2018/02/Lennard-J.-Davis-ed.-The-Disability-Studies-Reader-Routledge-2014.pdf)/CWB </w:t>
      </w:r>
    </w:p>
    <w:p w:rsidR="00F6498F" w:rsidRPr="00F933AF" w:rsidRDefault="00F6498F" w:rsidP="00F6498F">
      <w:pPr>
        <w:rPr>
          <w:rFonts w:cs="Calibri"/>
          <w:sz w:val="16"/>
        </w:rPr>
      </w:pPr>
      <w:r w:rsidRPr="00F933AF">
        <w:rPr>
          <w:rStyle w:val="StyleUnderline"/>
          <w:rFonts w:cs="Calibri"/>
        </w:rPr>
        <w:t>Ethnicity also has been defined by disability. One of the fundamental imperatives in</w:t>
      </w:r>
      <w:r w:rsidRPr="00F933AF">
        <w:rPr>
          <w:rFonts w:cs="Calibri"/>
          <w:sz w:val="16"/>
        </w:rPr>
        <w:t xml:space="preserve"> the initial formation of </w:t>
      </w:r>
      <w:r w:rsidRPr="00F933AF">
        <w:rPr>
          <w:rStyle w:val="StyleUnderline"/>
          <w:rFonts w:cs="Calibri"/>
        </w:rPr>
        <w:t>American immigration policy</w:t>
      </w:r>
      <w:r w:rsidRPr="00F933AF">
        <w:rPr>
          <w:rFonts w:cs="Calibri"/>
          <w:sz w:val="16"/>
        </w:rPr>
        <w:t xml:space="preserve"> at the end of the nineteenth century </w:t>
      </w:r>
      <w:r w:rsidRPr="00F933AF">
        <w:rPr>
          <w:rStyle w:val="StyleUnderline"/>
          <w:rFonts w:cs="Calibri"/>
        </w:rPr>
        <w:t>was the exclusion of disabled people. Beyond the targeting of disabled people, the concept of disability was instrumental in crafting the image of the undesirable immigrant</w:t>
      </w:r>
      <w:r w:rsidRPr="00F933AF">
        <w:rPr>
          <w:rFonts w:cs="Calibri"/>
          <w:sz w:val="16"/>
        </w:rPr>
        <w:t xml:space="preserve">. The first major federal immigration law, the Act of 1882, prohibited entry to any “lunatic, idiot, or any person unable to take care of himself or herself without becoming a </w:t>
      </w:r>
      <w:r w:rsidRPr="00F933AF">
        <w:rPr>
          <w:rStyle w:val="StyleUnderline"/>
          <w:rFonts w:cs="Calibri"/>
        </w:rPr>
        <w:t>public charge</w:t>
      </w:r>
      <w:r w:rsidRPr="00F933AF">
        <w:rPr>
          <w:rFonts w:cs="Calibri"/>
          <w:sz w:val="16"/>
        </w:rPr>
        <w:t xml:space="preserve">.” Those placed in the categories “lunatic” and “idiot” were </w:t>
      </w:r>
      <w:r w:rsidRPr="00F933AF">
        <w:rPr>
          <w:rStyle w:val="StyleUnderline"/>
          <w:rFonts w:cs="Calibri"/>
        </w:rPr>
        <w:t>automatically excluded. The “public charge” provision was intended to encompass people with disabilities more generally and was left to the examining officer’s discretion. The criteria for excluding disabled people were steadily tightened</w:t>
      </w:r>
      <w:r w:rsidRPr="00F933AF">
        <w:rPr>
          <w:rFonts w:cs="Calibri"/>
          <w:sz w:val="16"/>
        </w:rPr>
        <w:t xml:space="preserve"> as the eugenics movement and popular fears about the decline of the national stock gathered strength. The Act of 1891 replaced the phrase “unable to take care of himself or herself without becoming a public charge,” with “likely to become a </w:t>
      </w:r>
      <w:r w:rsidRPr="00F933AF">
        <w:rPr>
          <w:rStyle w:val="StyleUnderline"/>
          <w:rFonts w:cs="Calibri"/>
        </w:rPr>
        <w:t>public charge</w:t>
      </w:r>
      <w:r w:rsidRPr="00F933AF">
        <w:rPr>
          <w:rFonts w:cs="Calibri"/>
          <w:sz w:val="16"/>
        </w:rPr>
        <w:t xml:space="preserve">.” The 1907 </w:t>
      </w:r>
      <w:r w:rsidRPr="00F933AF">
        <w:rPr>
          <w:rStyle w:val="StyleUnderline"/>
          <w:rFonts w:cs="Calibri"/>
        </w:rPr>
        <w:t>law</w:t>
      </w:r>
      <w:r w:rsidRPr="00F933AF">
        <w:rPr>
          <w:rFonts w:cs="Calibri"/>
          <w:sz w:val="16"/>
        </w:rPr>
        <w:t xml:space="preserve"> then </w:t>
      </w:r>
      <w:r w:rsidRPr="00F933AF">
        <w:rPr>
          <w:rStyle w:val="StyleUnderline"/>
          <w:rFonts w:cs="Calibri"/>
        </w:rPr>
        <w:t>denied entry</w:t>
      </w:r>
      <w:r w:rsidRPr="00F933AF">
        <w:rPr>
          <w:rFonts w:cs="Calibri"/>
          <w:sz w:val="16"/>
        </w:rPr>
        <w:t xml:space="preserve"> to anyone judged “mentally or physically defective, such mental or physical defect being of a nature which may affect </w:t>
      </w:r>
      <w:r w:rsidRPr="00F933AF">
        <w:rPr>
          <w:rStyle w:val="StyleUnderline"/>
          <w:rFonts w:cs="Calibri"/>
        </w:rPr>
        <w:t xml:space="preserve">the ability of such alien to earn a living.” These changes considerably lowered the threshold for exclusion and expanded the latitude of immigration officials to deny entry.28 </w:t>
      </w:r>
      <w:proofErr w:type="gramStart"/>
      <w:r w:rsidRPr="00F933AF">
        <w:rPr>
          <w:rStyle w:val="StyleUnderline"/>
          <w:rFonts w:cs="Calibri"/>
        </w:rPr>
        <w:t>The</w:t>
      </w:r>
      <w:proofErr w:type="gramEnd"/>
      <w:r w:rsidRPr="00F933AF">
        <w:rPr>
          <w:rStyle w:val="StyleUnderline"/>
          <w:rFonts w:cs="Calibri"/>
        </w:rPr>
        <w:t xml:space="preserve"> category of persons automatically excluded was also steadily expanded.</w:t>
      </w:r>
      <w:r w:rsidRPr="00F933AF">
        <w:rPr>
          <w:rFonts w:cs="Calibri"/>
          <w:sz w:val="16"/>
        </w:rPr>
        <w:t xml:space="preserve"> In 1903, people with epilepsy were added and, in addition to those judged insane, “persons who have been insane within five years previous [or] who have had two or more attacks of insanity at any time previously.” This was reduced to one “attack” in the 1917 law; the classification of “constitutional psychopathic inferiority” was also added, which inspection regulations described as including “various unstable individuals on the border line between sanity and insanity . . . and persons with abnormal sex instincts.”29 </w:t>
      </w:r>
      <w:r w:rsidRPr="00F933AF">
        <w:rPr>
          <w:rStyle w:val="StyleUnderline"/>
          <w:rFonts w:cs="Calibri"/>
        </w:rPr>
        <w:t>This was the regulation under which, until recently, gays and lesbians were excluded</w:t>
      </w:r>
      <w:r w:rsidRPr="00F933AF">
        <w:rPr>
          <w:rFonts w:cs="Calibri"/>
          <w:sz w:val="16"/>
        </w:rPr>
        <w:t xml:space="preserve">. One of the significant factors in lifting this ban, along with other forms of discrimination against gays and lesbians, was the decision by the American Psychiatric Association in 1973 to remove homosexuality from its list of mental illnesses. That is, once </w:t>
      </w:r>
      <w:r w:rsidRPr="00F933AF">
        <w:rPr>
          <w:rStyle w:val="StyleUnderline"/>
          <w:rFonts w:cs="Calibri"/>
        </w:rPr>
        <w:t>gays and lesbians were declared</w:t>
      </w:r>
      <w:r w:rsidRPr="00F933AF">
        <w:rPr>
          <w:rFonts w:cs="Calibri"/>
          <w:sz w:val="16"/>
        </w:rPr>
        <w:t xml:space="preserve"> not to be </w:t>
      </w:r>
      <w:r w:rsidRPr="00F933AF">
        <w:rPr>
          <w:rStyle w:val="StyleUnderline"/>
          <w:rFonts w:cs="Calibri"/>
        </w:rPr>
        <w:t>disabled,</w:t>
      </w:r>
      <w:r w:rsidRPr="00F933AF">
        <w:rPr>
          <w:rFonts w:cs="Calibri"/>
          <w:sz w:val="16"/>
        </w:rPr>
        <w:t xml:space="preserve"> discrimination became less justifiable.</w:t>
      </w:r>
    </w:p>
    <w:p w:rsidR="00F6498F" w:rsidRPr="00F6498F" w:rsidRDefault="00F6498F" w:rsidP="00F6498F">
      <w:pPr>
        <w:rPr>
          <w:rFonts w:cs="Calibri"/>
          <w:b/>
        </w:rPr>
      </w:pPr>
    </w:p>
    <w:p w:rsidR="00F6498F" w:rsidRPr="00F933AF" w:rsidRDefault="00F6498F" w:rsidP="00F6498F">
      <w:pPr>
        <w:rPr>
          <w:rFonts w:cs="Calibri"/>
        </w:rPr>
      </w:pPr>
    </w:p>
    <w:p w:rsidR="00F6498F" w:rsidRPr="00F933AF" w:rsidRDefault="00F6498F" w:rsidP="00F6498F">
      <w:pPr>
        <w:pStyle w:val="Heading4"/>
        <w:rPr>
          <w:rFonts w:cs="Calibri"/>
        </w:rPr>
      </w:pPr>
      <w:r w:rsidRPr="00F933AF">
        <w:rPr>
          <w:rFonts w:cs="Calibri"/>
        </w:rPr>
        <w:t>Public charge is inherently racist—the provision justifies exclusion based on racial inferiority and subjects immigrants to dehumanizing medical profiling</w:t>
      </w:r>
    </w:p>
    <w:p w:rsidR="00F6498F" w:rsidRPr="00F933AF" w:rsidRDefault="00F6498F" w:rsidP="00F6498F">
      <w:pPr>
        <w:rPr>
          <w:rFonts w:cs="Calibri"/>
        </w:rPr>
      </w:pPr>
      <w:r w:rsidRPr="00F933AF">
        <w:rPr>
          <w:rFonts w:cs="Calibri"/>
          <w:b/>
        </w:rPr>
        <w:t xml:space="preserve">Sibara 14 </w:t>
      </w:r>
      <w:r w:rsidRPr="00F933AF">
        <w:rPr>
          <w:rFonts w:cs="Calibri"/>
          <w:sz w:val="18"/>
          <w:szCs w:val="18"/>
        </w:rPr>
        <w:t>(Jennifer Barager Sibara, “Disease, Disability, and the Alien Body in the Literature of Sui Sin Far,” Multi-Ethnic Literature of the US, Project Muse, Volume 39, Number 1, 2014, pg. 57)//jy</w:t>
      </w:r>
    </w:p>
    <w:p w:rsidR="00F6498F" w:rsidRPr="00F933AF" w:rsidRDefault="00F6498F" w:rsidP="00F6498F">
      <w:pPr>
        <w:rPr>
          <w:rFonts w:cs="Calibri"/>
          <w:sz w:val="14"/>
        </w:rPr>
      </w:pPr>
      <w:r w:rsidRPr="00F933AF">
        <w:rPr>
          <w:rFonts w:cs="Calibri"/>
          <w:sz w:val="14"/>
        </w:rPr>
        <w:t xml:space="preserve">The Advent of Medicalized Nativism Operating in confluence with North American trade unionists’ arguments against Chinese laborers </w:t>
      </w:r>
      <w:r w:rsidRPr="00F933AF">
        <w:rPr>
          <w:rFonts w:cs="Calibri"/>
          <w:u w:val="single"/>
        </w:rPr>
        <w:t>in the 1870s, two health-related discourses—biological racism and public health—influenced popular opinion against the Chinese in North America and fostered public support for immigration exclusion</w:t>
      </w:r>
      <w:r w:rsidRPr="00F933AF">
        <w:rPr>
          <w:rFonts w:cs="Calibri"/>
          <w:sz w:val="14"/>
        </w:rPr>
        <w:t xml:space="preserve">. 4 While the “science” of biological racism characterized Chinese and other racialized peoples as innately inferior in intelligence, ability, and appearance, 5 Nayan Shah explains that </w:t>
      </w:r>
      <w:r w:rsidRPr="00F933AF">
        <w:rPr>
          <w:rFonts w:cs="Calibri"/>
          <w:u w:val="single"/>
        </w:rPr>
        <w:t>the emerging field of public health characterized them as prone to contagious diseases</w:t>
      </w:r>
      <w:r w:rsidRPr="00F933AF">
        <w:rPr>
          <w:rFonts w:cs="Calibri"/>
          <w:sz w:val="14"/>
        </w:rPr>
        <w:t xml:space="preserve"> ( Contagious 1) </w:t>
      </w:r>
      <w:r w:rsidRPr="00F933AF">
        <w:rPr>
          <w:rFonts w:cs="Calibri"/>
          <w:u w:val="single"/>
        </w:rPr>
        <w:t>because of their non-Western lifestyles</w:t>
      </w:r>
      <w:r w:rsidRPr="00F933AF">
        <w:rPr>
          <w:rFonts w:cs="Calibri"/>
          <w:sz w:val="14"/>
        </w:rPr>
        <w:t xml:space="preserve"> and medical prac- tices (11</w:t>
      </w:r>
      <w:r w:rsidRPr="00F933AF">
        <w:rPr>
          <w:rFonts w:cs="Calibri"/>
          <w:u w:val="single"/>
        </w:rPr>
        <w:t>) and</w:t>
      </w:r>
      <w:r w:rsidRPr="00F933AF">
        <w:rPr>
          <w:rFonts w:cs="Calibri"/>
          <w:sz w:val="14"/>
        </w:rPr>
        <w:t xml:space="preserve"> their </w:t>
      </w:r>
      <w:r w:rsidRPr="00F933AF">
        <w:rPr>
          <w:rFonts w:cs="Calibri"/>
          <w:u w:val="single"/>
        </w:rPr>
        <w:t>nonnormative gender and sexual formations</w:t>
      </w:r>
      <w:r w:rsidRPr="00F933AF">
        <w:rPr>
          <w:rFonts w:cs="Calibri"/>
          <w:sz w:val="14"/>
        </w:rPr>
        <w:t xml:space="preserve"> (79), including bachelor societies and extended kinship networks (12), which arose in response to the disproportionate exclusion of Chinese women. 6 In addition to facilitating the passage of the Chinese and other race-based exclusion laws, </w:t>
      </w:r>
      <w:r w:rsidRPr="00F933AF">
        <w:rPr>
          <w:rFonts w:cs="Calibri"/>
          <w:u w:val="single"/>
        </w:rPr>
        <w:t>biological racism and public health discourses inspired several immigration restrictions and exclusions explicitly directed at the disabled and diseased</w:t>
      </w:r>
      <w:r w:rsidRPr="00F933AF">
        <w:rPr>
          <w:rFonts w:cs="Calibri"/>
          <w:sz w:val="14"/>
        </w:rPr>
        <w:t xml:space="preserve">, yet implicitly directed at nonwhite foreigners. </w:t>
      </w:r>
      <w:r w:rsidRPr="00F933AF">
        <w:rPr>
          <w:rFonts w:cs="Calibri"/>
          <w:u w:val="single"/>
        </w:rPr>
        <w:t>California’s 1872 immi- gration law</w:t>
      </w:r>
      <w:r w:rsidRPr="00F933AF">
        <w:rPr>
          <w:rFonts w:cs="Calibri"/>
          <w:sz w:val="14"/>
        </w:rPr>
        <w:t xml:space="preserve"> established a one-thousand-dollar bond for any “lunatic, idiot, deaf, dumb, blind, cripple or infirm person not members of families, or who are likely to become permanently a public charge” (qtd. in Chan 98). This law, passed amid great anti-Chinese fervor in California, </w:t>
      </w:r>
      <w:r w:rsidRPr="00F933AF">
        <w:rPr>
          <w:rFonts w:cs="Calibri"/>
          <w:u w:val="single"/>
        </w:rPr>
        <w:t>provided an opportunity for state officials to turn away Chinese and other Asian immigrants on the pretext of any number of imprecise diagnoses ranging from insanity to suspicion of prostitution</w:t>
      </w:r>
      <w:r w:rsidRPr="00F933AF">
        <w:rPr>
          <w:rFonts w:cs="Calibri"/>
          <w:sz w:val="14"/>
        </w:rPr>
        <w:t xml:space="preserve">. In August 1882, </w:t>
      </w:r>
      <w:r w:rsidRPr="00F933AF">
        <w:rPr>
          <w:rFonts w:cs="Calibri"/>
          <w:u w:val="single"/>
        </w:rPr>
        <w:t>just three months after</w:t>
      </w:r>
      <w:r w:rsidRPr="00F933AF">
        <w:rPr>
          <w:rFonts w:cs="Calibri"/>
          <w:sz w:val="14"/>
        </w:rPr>
        <w:t xml:space="preserve"> the Chinese Exclusion Act (US Cong. Act to Execute) was passed</w:t>
      </w:r>
      <w:r w:rsidRPr="00F933AF">
        <w:rPr>
          <w:rFonts w:cs="Calibri"/>
          <w:u w:val="single"/>
        </w:rPr>
        <w:t>, the US Congress approved An</w:t>
      </w:r>
      <w:r w:rsidRPr="00F933AF">
        <w:rPr>
          <w:rFonts w:cs="Calibri"/>
          <w:sz w:val="14"/>
        </w:rPr>
        <w:t xml:space="preserve"> Act to Regulate Immigration, which echoed California’s </w:t>
      </w:r>
      <w:r w:rsidRPr="00F933AF">
        <w:rPr>
          <w:rFonts w:cs="Calibri"/>
          <w:u w:val="single"/>
        </w:rPr>
        <w:t>1872 immigration law by prohibiting entry to any “lunatic, idiot, or any person unable to take care of himself or herself without becoming a public charge.” This</w:t>
      </w:r>
      <w:r w:rsidRPr="00F933AF">
        <w:rPr>
          <w:rFonts w:cs="Calibri"/>
          <w:sz w:val="14"/>
        </w:rPr>
        <w:t xml:space="preserve"> second federal exclusion law extended and strengthened the new gatekeeping apparatus established under the Chinese Exclusion Act and </w:t>
      </w:r>
      <w:r w:rsidRPr="00F933AF">
        <w:rPr>
          <w:rFonts w:cs="Calibri"/>
          <w:u w:val="single"/>
        </w:rPr>
        <w:t>provided a flexible mechanism for excluding immigrants believed to be racially inferior and predisposed toward disease. This law author- ized immigration officials to profile</w:t>
      </w:r>
      <w:r w:rsidRPr="00F933AF">
        <w:rPr>
          <w:rFonts w:cs="Calibri"/>
          <w:sz w:val="14"/>
        </w:rPr>
        <w:t xml:space="preserve"> and physically examine </w:t>
      </w:r>
      <w:r w:rsidRPr="00F933AF">
        <w:rPr>
          <w:rFonts w:cs="Calibri"/>
          <w:u w:val="single"/>
        </w:rPr>
        <w:t>newcomers, an inva- sive and dehumanizing process</w:t>
      </w:r>
      <w:r w:rsidRPr="00F933AF">
        <w:rPr>
          <w:rFonts w:cs="Calibri"/>
          <w:sz w:val="14"/>
        </w:rPr>
        <w:t xml:space="preserve"> Shah refers to as </w:t>
      </w:r>
      <w:r w:rsidRPr="00F933AF">
        <w:rPr>
          <w:rFonts w:cs="Calibri"/>
          <w:u w:val="single"/>
        </w:rPr>
        <w:t>crossing the medical border</w:t>
      </w:r>
      <w:r w:rsidRPr="00F933AF">
        <w:rPr>
          <w:rFonts w:cs="Calibri"/>
          <w:sz w:val="14"/>
        </w:rPr>
        <w:t xml:space="preserve"> ( Contagious 179). Thus, the second 1882 immigration law provided US officials with an extra means of excluding Chinese immigrants; those who could prove their merchant-class exempt status under the Chinese Exclusion Act might still find themselves rejected at the port on medical grounds </w:t>
      </w:r>
    </w:p>
    <w:p w:rsidR="00F6498F" w:rsidRPr="00F933AF" w:rsidRDefault="00F6498F" w:rsidP="00F6498F">
      <w:pPr>
        <w:rPr>
          <w:rFonts w:cs="Calibri"/>
          <w:sz w:val="14"/>
        </w:rPr>
      </w:pPr>
    </w:p>
    <w:p w:rsidR="00F6498F" w:rsidRPr="00F933AF" w:rsidRDefault="00F6498F" w:rsidP="00F6498F">
      <w:pPr>
        <w:pStyle w:val="Heading4"/>
        <w:rPr>
          <w:rFonts w:cs="Calibri"/>
        </w:rPr>
      </w:pPr>
      <w:r w:rsidRPr="00F933AF">
        <w:rPr>
          <w:rFonts w:cs="Calibri"/>
        </w:rPr>
        <w:t xml:space="preserve">The public charge provision is entrenched in ableist origins that have worked to exclude immigrants on the basis of ethnicity, race, and sexual orientation </w:t>
      </w:r>
    </w:p>
    <w:p w:rsidR="00F6498F" w:rsidRPr="00F933AF" w:rsidRDefault="00F6498F" w:rsidP="00F6498F">
      <w:pPr>
        <w:rPr>
          <w:rFonts w:cs="Calibri"/>
        </w:rPr>
      </w:pPr>
      <w:r w:rsidRPr="00F933AF">
        <w:rPr>
          <w:rFonts w:cs="Calibri"/>
          <w:b/>
        </w:rPr>
        <w:t xml:space="preserve">Baynton 13 </w:t>
      </w:r>
      <w:r w:rsidRPr="00F933AF">
        <w:rPr>
          <w:rFonts w:cs="Calibri"/>
          <w:sz w:val="18"/>
          <w:szCs w:val="18"/>
        </w:rPr>
        <w:t>(Douglas C. Baynton, “Disability and the Justification of Inequality in American History,” The Disability Studies Reader, Ch.2, pg. 45-48, 2013, https://www.uua.org/sites/live-new.uua.org/files/documents/bayntondouglas/justification_inequality.pdf)//jy</w:t>
      </w:r>
    </w:p>
    <w:p w:rsidR="00F6498F" w:rsidRPr="00F933AF" w:rsidRDefault="00F6498F" w:rsidP="00F6498F">
      <w:pPr>
        <w:rPr>
          <w:rFonts w:cs="Calibri"/>
          <w:u w:val="single"/>
        </w:rPr>
      </w:pPr>
      <w:r w:rsidRPr="00F933AF">
        <w:rPr>
          <w:rFonts w:cs="Calibri"/>
          <w:sz w:val="12"/>
        </w:rPr>
        <w:t xml:space="preserve">Ethnicity also has been defined by disability. </w:t>
      </w:r>
      <w:r w:rsidRPr="00F933AF">
        <w:rPr>
          <w:rFonts w:cs="Calibri"/>
          <w:u w:val="single"/>
        </w:rPr>
        <w:t>One of the fundamental imperatives in the initial formation of American immigration policy</w:t>
      </w:r>
      <w:r w:rsidRPr="00F933AF">
        <w:rPr>
          <w:rFonts w:cs="Calibri"/>
          <w:sz w:val="12"/>
        </w:rPr>
        <w:t xml:space="preserve"> at the end of the nineteenth century </w:t>
      </w:r>
      <w:r w:rsidRPr="00F933AF">
        <w:rPr>
          <w:rFonts w:cs="Calibri"/>
          <w:u w:val="single"/>
        </w:rPr>
        <w:t>was the exclusion of disabled people.</w:t>
      </w:r>
      <w:r w:rsidRPr="00F933AF">
        <w:rPr>
          <w:rFonts w:cs="Calibri"/>
          <w:sz w:val="12"/>
        </w:rPr>
        <w:t xml:space="preserve"> Beyond the targeting of disabled people, </w:t>
      </w:r>
      <w:r w:rsidRPr="00F933AF">
        <w:rPr>
          <w:rFonts w:cs="Calibri"/>
          <w:u w:val="single"/>
        </w:rPr>
        <w:t>the concept of disability was instrumental in crafting the image of the undesirable immigrant</w:t>
      </w:r>
      <w:r w:rsidRPr="00F933AF">
        <w:rPr>
          <w:rFonts w:cs="Calibri"/>
          <w:sz w:val="12"/>
        </w:rPr>
        <w:t xml:space="preserve">. The first major federal immigration law, </w:t>
      </w:r>
      <w:r w:rsidRPr="00F933AF">
        <w:rPr>
          <w:rFonts w:cs="Calibri"/>
          <w:u w:val="single"/>
        </w:rPr>
        <w:t>the Act of 1882, prohibited entry to any “lunatic, idiot, or any person unable to take care of himself or herself without becoming a public charge.</w:t>
      </w:r>
      <w:r w:rsidRPr="00F933AF">
        <w:rPr>
          <w:rFonts w:cs="Calibri"/>
          <w:sz w:val="12"/>
        </w:rPr>
        <w:t xml:space="preserve">” Those placed in the categories “lunatic” and “idiot” were automatically excluded. </w:t>
      </w:r>
      <w:r w:rsidRPr="00F933AF">
        <w:rPr>
          <w:rFonts w:cs="Calibri"/>
          <w:u w:val="single"/>
        </w:rPr>
        <w:t>The “public charge” provision was intended to encompass people with disabilities more generally and was left to the examining officer’s discretion. The criteria for excluding disabled people were steadily tightened as the eugenics movement and popular fears about the decline of the national stock gathered strength</w:t>
      </w:r>
      <w:r w:rsidRPr="00F933AF">
        <w:rPr>
          <w:rFonts w:cs="Calibri"/>
          <w:sz w:val="12"/>
        </w:rPr>
        <w:t xml:space="preserve">. The Act of 1891 replaced the phrase “unable to take care of himself or herself without becoming a public charge,” with “likely to become a public charge.” The 1907 law then denied entry to anyone judged “mentally or physically defective, such mental or physical defect being of a nature which may affect the ability of such alien to earn a living.” These changes considerably lowered the threshold for exclusion and expanded the latitude of immigration officials to deny entry.28 </w:t>
      </w:r>
      <w:proofErr w:type="gramStart"/>
      <w:r w:rsidRPr="00F933AF">
        <w:rPr>
          <w:rFonts w:cs="Calibri"/>
          <w:sz w:val="12"/>
        </w:rPr>
        <w:t>The</w:t>
      </w:r>
      <w:proofErr w:type="gramEnd"/>
      <w:r w:rsidRPr="00F933AF">
        <w:rPr>
          <w:rFonts w:cs="Calibri"/>
          <w:sz w:val="12"/>
        </w:rPr>
        <w:t xml:space="preserve"> category of persons automatically excluded was also steadily expanded. </w:t>
      </w:r>
      <w:r w:rsidRPr="00F933AF">
        <w:rPr>
          <w:rFonts w:cs="Calibri"/>
          <w:u w:val="single"/>
        </w:rPr>
        <w:t>In 1903, people with epilepsy were added and, in addition to those judged insane, “persons who have been insane within five years previous [or] who have had two or more attacks of insanity at any time previously</w:t>
      </w:r>
      <w:r w:rsidRPr="00F933AF">
        <w:rPr>
          <w:rFonts w:cs="Calibri"/>
          <w:sz w:val="12"/>
        </w:rPr>
        <w:t xml:space="preserve">.” This was reduced to one “attack” </w:t>
      </w:r>
      <w:r w:rsidRPr="00F933AF">
        <w:rPr>
          <w:rFonts w:cs="Calibri"/>
          <w:u w:val="single"/>
        </w:rPr>
        <w:t>in the 1917 law; the classification of “constitutional psychopathic inferiority” was also added, which inspection regulations described as including</w:t>
      </w:r>
      <w:r w:rsidRPr="00F933AF">
        <w:rPr>
          <w:rFonts w:cs="Calibri"/>
          <w:sz w:val="12"/>
        </w:rPr>
        <w:t xml:space="preserve"> “various unstable individuals on the border line between sanity and insanity . . . and </w:t>
      </w:r>
      <w:r w:rsidRPr="00F933AF">
        <w:rPr>
          <w:rFonts w:cs="Calibri"/>
          <w:u w:val="single"/>
        </w:rPr>
        <w:t>persons with abnormal sex instincts</w:t>
      </w:r>
      <w:r w:rsidRPr="00F933AF">
        <w:rPr>
          <w:rFonts w:cs="Calibri"/>
          <w:sz w:val="12"/>
        </w:rPr>
        <w:t xml:space="preserve">.”29 This was the regulation under which, until recently, gays and lesbians were excluded. </w:t>
      </w:r>
      <w:r w:rsidRPr="00F933AF">
        <w:rPr>
          <w:rFonts w:cs="Calibri"/>
          <w:u w:val="single"/>
        </w:rPr>
        <w:t>One of the significant factors in lifting this ban</w:t>
      </w:r>
      <w:r w:rsidRPr="00F933AF">
        <w:rPr>
          <w:rFonts w:cs="Calibri"/>
          <w:sz w:val="12"/>
        </w:rPr>
        <w:t xml:space="preserve">, along with other forms of discrimination against gays and lesbians, </w:t>
      </w:r>
      <w:r w:rsidRPr="00F933AF">
        <w:rPr>
          <w:rFonts w:cs="Calibri"/>
          <w:u w:val="single"/>
        </w:rPr>
        <w:t xml:space="preserve">was the decision </w:t>
      </w:r>
      <w:r w:rsidRPr="00F933AF">
        <w:rPr>
          <w:rFonts w:cs="Calibri"/>
          <w:sz w:val="12"/>
        </w:rPr>
        <w:t xml:space="preserve">by the American Psychiatric Association in 1973 </w:t>
      </w:r>
      <w:r w:rsidRPr="00F933AF">
        <w:rPr>
          <w:rFonts w:cs="Calibri"/>
          <w:u w:val="single"/>
        </w:rPr>
        <w:t>to remove homosexuality from its list of mental illnesses.</w:t>
      </w:r>
      <w:r w:rsidRPr="00F933AF">
        <w:rPr>
          <w:rFonts w:cs="Calibri"/>
          <w:sz w:val="12"/>
        </w:rPr>
        <w:t xml:space="preserve"> That is, </w:t>
      </w:r>
      <w:r w:rsidRPr="00F933AF">
        <w:rPr>
          <w:rFonts w:cs="Calibri"/>
          <w:u w:val="single"/>
        </w:rPr>
        <w:t>once gays and lesbians were declared not to be disabled, discrimination became less justifiable</w:t>
      </w:r>
      <w:r w:rsidRPr="00F933AF">
        <w:rPr>
          <w:rFonts w:cs="Calibri"/>
          <w:sz w:val="12"/>
        </w:rPr>
        <w:t>. Legislation in 1907 added “imbeciles” and “feeble-minded persons” to the list, in addition to “idiots,” and regulations for inspectors directed them to exclude persons with “any mental abnormality whatever . . . which justifies the statement that the alien is mentally defective.” These changes encompassed a much larger number of people and again granted officials considerably more discretion to judge the fitness of immigrants for American life. Fiorello H. LaGuardia, who worked his way through law school as an interpreter at Ellis Island, later wrote that “</w:t>
      </w:r>
      <w:r w:rsidRPr="00F933AF">
        <w:rPr>
          <w:rFonts w:cs="Calibri"/>
          <w:u w:val="single"/>
        </w:rPr>
        <w:t>over fifty percent of the deportations for alleged mental disease were unjustified</w:t>
      </w:r>
      <w:r w:rsidRPr="00F933AF">
        <w:rPr>
          <w:rFonts w:cs="Calibri"/>
          <w:sz w:val="12"/>
        </w:rPr>
        <w:t xml:space="preserve">,” based as they often were on “ignorance on the part of the immigrants or the doctors and the inability of the doctors to understand the particular immigrant’s norm, or standard.”30 The detection of physical disabilities was a major aspect of the immigration inspector’s work. </w:t>
      </w:r>
      <w:r w:rsidRPr="00F933AF">
        <w:rPr>
          <w:rFonts w:cs="Calibri"/>
          <w:u w:val="single"/>
        </w:rPr>
        <w:t>The Regulations for the medical inspection of immigrants in 1917 included</w:t>
      </w:r>
      <w:r w:rsidRPr="00F933AF">
        <w:rPr>
          <w:rFonts w:cs="Calibri"/>
          <w:sz w:val="12"/>
        </w:rPr>
        <w:t xml:space="preserve"> a long list of diseases and disabilities that could be cause for exclusion, among them </w:t>
      </w:r>
      <w:r w:rsidRPr="00F933AF">
        <w:rPr>
          <w:rFonts w:cs="Calibri"/>
          <w:u w:val="single"/>
        </w:rPr>
        <w:t>arthritis, asthma, bunions, deafness, deformities, flat feet, heart</w:t>
      </w:r>
      <w:r w:rsidRPr="00F933AF">
        <w:rPr>
          <w:rFonts w:cs="Calibri"/>
          <w:sz w:val="12"/>
        </w:rPr>
        <w:t xml:space="preserve"> </w:t>
      </w:r>
      <w:r w:rsidRPr="00F933AF">
        <w:rPr>
          <w:rFonts w:cs="Calibri"/>
          <w:u w:val="single"/>
        </w:rPr>
        <w:t>disease</w:t>
      </w:r>
      <w:r w:rsidRPr="00F933AF">
        <w:rPr>
          <w:rFonts w:cs="Calibri"/>
          <w:sz w:val="12"/>
        </w:rPr>
        <w:t xml:space="preserve">, hernia, </w:t>
      </w:r>
      <w:r w:rsidRPr="00F933AF">
        <w:rPr>
          <w:rFonts w:cs="Calibri"/>
          <w:u w:val="single"/>
        </w:rPr>
        <w:t>hysteria,</w:t>
      </w:r>
      <w:r w:rsidRPr="00F933AF">
        <w:rPr>
          <w:rFonts w:cs="Calibri"/>
          <w:sz w:val="12"/>
        </w:rPr>
        <w:t xml:space="preserve"> poor eyesight, poor physical development, spinal curvature, vascular disease of the heart, </w:t>
      </w:r>
      <w:r w:rsidRPr="00F933AF">
        <w:rPr>
          <w:rFonts w:cs="Calibri"/>
          <w:u w:val="single"/>
        </w:rPr>
        <w:t>and varicose veins</w:t>
      </w:r>
      <w:r w:rsidRPr="00F933AF">
        <w:rPr>
          <w:rFonts w:cs="Calibri"/>
          <w:sz w:val="12"/>
        </w:rPr>
        <w:t xml:space="preserve">. A visiting physician in 1893, when admission standards were still relatively liberal, described the initial inspection: “If a man has a hand done up, or any physical injury in any way . . . , or if a person has but one leg or one arm, or one eye, or there is any physical or mental defect, if the person seems unsteady and in any way physically incapacitated to earn his livelihood, he is passed to one side to be examined later.”31 An immigration official later recalled </w:t>
      </w:r>
      <w:r w:rsidRPr="00F933AF">
        <w:rPr>
          <w:rFonts w:cs="Calibri"/>
          <w:u w:val="single"/>
        </w:rPr>
        <w:t>a young Italian couple</w:t>
      </w:r>
      <w:r w:rsidRPr="00F933AF">
        <w:rPr>
          <w:rFonts w:cs="Calibri"/>
          <w:sz w:val="12"/>
        </w:rPr>
        <w:t xml:space="preserve"> who </w:t>
      </w:r>
      <w:r w:rsidRPr="00F933AF">
        <w:rPr>
          <w:rFonts w:cs="Calibri"/>
          <w:u w:val="single"/>
        </w:rPr>
        <w:t>would have been deported</w:t>
      </w:r>
      <w:r w:rsidRPr="00F933AF">
        <w:rPr>
          <w:rFonts w:cs="Calibri"/>
          <w:sz w:val="12"/>
        </w:rPr>
        <w:t xml:space="preserve"> (the man had a “game leg” that required use of a crutch) </w:t>
      </w:r>
      <w:r w:rsidRPr="00F933AF">
        <w:rPr>
          <w:rFonts w:cs="Calibri"/>
          <w:u w:val="single"/>
        </w:rPr>
        <w:t>had not a wealthy philanthropist</w:t>
      </w:r>
      <w:r w:rsidRPr="00F933AF">
        <w:rPr>
          <w:rFonts w:cs="Calibri"/>
          <w:sz w:val="12"/>
        </w:rPr>
        <w:t xml:space="preserve"> visiting Ellis Island taken an interest in the couple and </w:t>
      </w:r>
      <w:r w:rsidRPr="00F933AF">
        <w:rPr>
          <w:rFonts w:cs="Calibri"/>
          <w:u w:val="single"/>
        </w:rPr>
        <w:t>intervened</w:t>
      </w:r>
      <w:r w:rsidRPr="00F933AF">
        <w:rPr>
          <w:rFonts w:cs="Calibri"/>
          <w:sz w:val="12"/>
        </w:rPr>
        <w:t>, guaranteeing that they would not become a public charge.32 In short</w:t>
      </w:r>
      <w:r w:rsidRPr="00F933AF">
        <w:rPr>
          <w:rFonts w:cs="Calibri"/>
          <w:u w:val="single"/>
        </w:rPr>
        <w:t>, the exclusion of disabled people was central to the laws and the work of the immigration service</w:t>
      </w:r>
      <w:r w:rsidRPr="00F933AF">
        <w:rPr>
          <w:rFonts w:cs="Calibri"/>
          <w:sz w:val="12"/>
        </w:rPr>
        <w:t xml:space="preserve">. As the Commissioner General of Immigration reported in 1907, “The exclusion from this country of the morally, mentally, and physically deficient is the principal object to be accomplished by the immigration laws.” </w:t>
      </w:r>
      <w:r w:rsidRPr="00F933AF">
        <w:rPr>
          <w:rFonts w:cs="Calibri"/>
          <w:u w:val="single"/>
        </w:rPr>
        <w:t xml:space="preserve">Once the laws and procedures limiting the entry of disabled people were firmly established </w:t>
      </w:r>
      <w:r w:rsidRPr="00F933AF">
        <w:rPr>
          <w:rFonts w:cs="Calibri"/>
          <w:sz w:val="12"/>
        </w:rPr>
        <w:t xml:space="preserve">and functioning well, </w:t>
      </w:r>
      <w:r w:rsidRPr="00F933AF">
        <w:rPr>
          <w:rFonts w:cs="Calibri"/>
          <w:u w:val="single"/>
        </w:rPr>
        <w:t>attention turned to limiting the entry of undesirable ethnic groups</w:t>
      </w:r>
      <w:r w:rsidRPr="00F933AF">
        <w:rPr>
          <w:rFonts w:cs="Calibri"/>
          <w:sz w:val="12"/>
        </w:rPr>
        <w:t xml:space="preserve">. Discussion on this topic often began by pointing to the general public agreement that the laws excluding disabled people had been a positive, if insufficient, step. In 1896, for example, Francis Walker noted in the Atlantic Monthly that the necessity of “straining out” immigrants who were “deaf, dumb, blind, idiotic, insane, pauper, or criminal” was “now conceded by men of all shades of opinion”; indeed there was a widespread “resentment at the attempt of such persons to impose themselves upon us.” As one restrictionist wrote, the need to exclude the disabled was “self evident.”33 For the more controversial business of defining and excluding undesirable ethnic groups, however, </w:t>
      </w:r>
      <w:r w:rsidRPr="00F933AF">
        <w:rPr>
          <w:rFonts w:cs="Calibri"/>
          <w:u w:val="single"/>
        </w:rPr>
        <w:t>restrictionists found the concept of disability to be a powerful tool</w:t>
      </w:r>
      <w:r w:rsidRPr="00F933AF">
        <w:rPr>
          <w:rFonts w:cs="Calibri"/>
          <w:sz w:val="12"/>
        </w:rPr>
        <w:t xml:space="preserve">. That is, </w:t>
      </w:r>
      <w:r w:rsidRPr="00F933AF">
        <w:rPr>
          <w:rFonts w:cs="Calibri"/>
          <w:u w:val="single"/>
        </w:rPr>
        <w:t xml:space="preserve">while people with disabilities constituted a distinct category of persons unwelcome in the United States, the charge that certain ethnic groups were mentally and physically deficient was instrumental in arguing for their exclusion. </w:t>
      </w:r>
      <w:r w:rsidRPr="00F933AF">
        <w:rPr>
          <w:rFonts w:cs="Calibri"/>
          <w:sz w:val="12"/>
        </w:rPr>
        <w:t xml:space="preserve">The belief that </w:t>
      </w:r>
      <w:r w:rsidRPr="00F933AF">
        <w:rPr>
          <w:rFonts w:cs="Calibri"/>
          <w:u w:val="single"/>
        </w:rPr>
        <w:t>discriminating on the basis of disability</w:t>
      </w:r>
      <w:r w:rsidRPr="00F933AF">
        <w:rPr>
          <w:rFonts w:cs="Calibri"/>
          <w:sz w:val="12"/>
        </w:rPr>
        <w:t xml:space="preserve"> was justifiable in turn </w:t>
      </w:r>
      <w:r w:rsidRPr="00F933AF">
        <w:rPr>
          <w:rFonts w:cs="Calibri"/>
          <w:u w:val="single"/>
        </w:rPr>
        <w:t>helped justify the creation of immigration quotas based on ethnic origin</w:t>
      </w:r>
      <w:r w:rsidRPr="00F933AF">
        <w:rPr>
          <w:rFonts w:cs="Calibri"/>
          <w:sz w:val="12"/>
        </w:rPr>
        <w:t xml:space="preserve">. The 1924 Immigration Act instituted a national quota system that severely limited the numbers of immigrants from southern and eastern Europe, but long before that, disabilities stood in for nationality. Superintendents of institutions, philanthropists, immigration reformers, and politicians had been warning for decades before 1924 that immigrants were disproportionately prone to be mentally defective—up to half the immigrants from southern and eastern Europe were feebleminded, according to expert opinion. 34 </w:t>
      </w:r>
      <w:r w:rsidRPr="00F933AF">
        <w:rPr>
          <w:rFonts w:cs="Calibri"/>
          <w:u w:val="single"/>
        </w:rPr>
        <w:t>Rhetoric about “the slow-witted Slav,” the “neurotic condition of our Jewish immigrants,” and, in general, the “degenerate and psychopathic types, which are so conspicuous and numerous among the immigrants,” was pervasive in the debate over restriction</w:t>
      </w:r>
      <w:r w:rsidRPr="00F933AF">
        <w:rPr>
          <w:rFonts w:cs="Calibri"/>
          <w:sz w:val="12"/>
        </w:rPr>
        <w:t xml:space="preserve">.35 The laws forbidding entry to the feebleminded were motivated in part by the desire to limit immigration from inferior nations, and conversely, it was assumed that the 1924 act would reduce the number of feebleminded immigrants. </w:t>
      </w:r>
      <w:r w:rsidRPr="00F933AF">
        <w:rPr>
          <w:rFonts w:cs="Calibri"/>
          <w:u w:val="single"/>
        </w:rPr>
        <w:t>The issues of ethnicity and disability were so intertwined in the immigration debate as to be inseparable.</w:t>
      </w:r>
    </w:p>
    <w:p w:rsidR="00F6498F" w:rsidRPr="00F933AF" w:rsidRDefault="00F6498F" w:rsidP="00F6498F">
      <w:pPr>
        <w:pStyle w:val="Heading4"/>
        <w:rPr>
          <w:rFonts w:cs="Calibri"/>
        </w:rPr>
      </w:pPr>
      <w:r w:rsidRPr="00F933AF">
        <w:rPr>
          <w:rFonts w:cs="Calibri"/>
        </w:rPr>
        <w:t>Public charge restrictions continue US immigration’s historical admission based off ability, race, gender and sexuality</w:t>
      </w:r>
    </w:p>
    <w:p w:rsidR="00F6498F" w:rsidRPr="00F933AF" w:rsidRDefault="00F6498F" w:rsidP="00F6498F">
      <w:pPr>
        <w:rPr>
          <w:rFonts w:cs="Calibri"/>
        </w:rPr>
      </w:pPr>
      <w:r w:rsidRPr="00F933AF">
        <w:rPr>
          <w:rStyle w:val="Style13ptBold"/>
          <w:rFonts w:cs="Calibri"/>
        </w:rPr>
        <w:t>Parker 15</w:t>
      </w:r>
      <w:r w:rsidRPr="00F933AF">
        <w:rPr>
          <w:rFonts w:cs="Calibri"/>
        </w:rPr>
        <w:t xml:space="preserve"> (Alison M. Parker, professor of history at the College at Brockport, PhD in history from John Hopkins University, Andrew W. Mellon Foundation Visiting Fellow, James Weldon Johnson Institute for the Study of Race and Difference at Emory University, Spring 2015, “Intersecting Histories of Gender, Race, and Disability”, Journal of Women's History, Volume 27, Number 1, Johns Hopkins University Press, Project Muse)/CWB</w:t>
      </w:r>
    </w:p>
    <w:p w:rsidR="00F6498F" w:rsidRPr="00F933AF" w:rsidRDefault="00F6498F" w:rsidP="00F6498F">
      <w:pPr>
        <w:rPr>
          <w:rFonts w:cs="Calibri"/>
          <w:sz w:val="16"/>
        </w:rPr>
      </w:pPr>
      <w:r w:rsidRPr="00F933AF">
        <w:rPr>
          <w:rFonts w:cs="Calibri"/>
          <w:sz w:val="16"/>
        </w:rPr>
        <w:t xml:space="preserve">From the moment colonists introduced slavery into North America, they justified it by claiming that “Africans brought to North America were by definition disabled” and unable to care for themselves (42). Captured and enslaved Africans faced the excruciating and perilous middle passage; if they survived, they encountered many potentially disabling situations, from severe punishment to work-related injuries. Although whites viewed all slaves as disabled by virtue of their race and condition of servitude, only those whom they deemed unfit for labor were considered “damaged goods” (46). </w:t>
      </w:r>
      <w:r w:rsidRPr="00F933AF">
        <w:rPr>
          <w:rStyle w:val="StyleUnderline"/>
          <w:rFonts w:cs="Calibri"/>
        </w:rPr>
        <w:t>Just as ideas about race and disability helped to justify slavery, so too did they inform debates about immigration. The U.S. Congress</w:t>
      </w:r>
      <w:r w:rsidRPr="00F933AF">
        <w:rPr>
          <w:rFonts w:cs="Calibri"/>
          <w:sz w:val="16"/>
        </w:rPr>
        <w:t xml:space="preserve"> passed the Immigration Act of 1882, for instance, </w:t>
      </w:r>
      <w:r w:rsidRPr="00F933AF">
        <w:rPr>
          <w:rStyle w:val="StyleUnderline"/>
          <w:rFonts w:cs="Calibri"/>
        </w:rPr>
        <w:t>mandating that immigrants be screened and excluded if they appeared to be “unable to take care of [themselves] without becoming a public charge”</w:t>
      </w:r>
      <w:r w:rsidRPr="00F933AF">
        <w:rPr>
          <w:rFonts w:cs="Calibri"/>
          <w:sz w:val="16"/>
        </w:rPr>
        <w:t xml:space="preserve"> (103). Nielsen rightly notes that </w:t>
      </w:r>
      <w:r w:rsidRPr="00F933AF">
        <w:rPr>
          <w:rStyle w:val="StyleUnderline"/>
          <w:rFonts w:cs="Calibri"/>
        </w:rPr>
        <w:t>increased immigration</w:t>
      </w:r>
      <w:r w:rsidRPr="00F933AF">
        <w:rPr>
          <w:rFonts w:cs="Calibri"/>
          <w:sz w:val="16"/>
        </w:rPr>
        <w:t xml:space="preserve"> from Southern and Eastern European countries </w:t>
      </w:r>
      <w:r w:rsidRPr="00F933AF">
        <w:rPr>
          <w:rStyle w:val="StyleUnderline"/>
          <w:rFonts w:cs="Calibri"/>
        </w:rPr>
        <w:t xml:space="preserve">made many native-born white Americans nervous about maintaining </w:t>
      </w:r>
      <w:r w:rsidRPr="00F933AF">
        <w:rPr>
          <w:rFonts w:cs="Calibri"/>
          <w:sz w:val="16"/>
        </w:rPr>
        <w:t xml:space="preserve">racial purity, yet she misses an opportunity to highlight the links between </w:t>
      </w:r>
      <w:r w:rsidRPr="00F933AF">
        <w:rPr>
          <w:rStyle w:val="StyleUnderline"/>
          <w:rFonts w:cs="Calibri"/>
        </w:rPr>
        <w:t>white society’s fears of the physically and mentally disabled (a concept that included “sexual perversion,” or homosexuality), and its fears of racial others.</w:t>
      </w:r>
      <w:r w:rsidRPr="00F933AF">
        <w:rPr>
          <w:rFonts w:cs="Calibri"/>
          <w:sz w:val="16"/>
        </w:rPr>
        <w:t xml:space="preserve"> Although she mentions the 1875 Page Law, Nielsen does not identify it as the first immigration law to single out Asian female immigrants as probable prostitutes who should not be allowed into the country. Nielsen also neglects to note that just a few months before </w:t>
      </w:r>
      <w:r w:rsidRPr="00F933AF">
        <w:rPr>
          <w:rStyle w:val="StyleUnderline"/>
          <w:rFonts w:cs="Calibri"/>
        </w:rPr>
        <w:t xml:space="preserve">Congress </w:t>
      </w:r>
      <w:r w:rsidRPr="00F933AF">
        <w:rPr>
          <w:rFonts w:cs="Calibri"/>
          <w:sz w:val="16"/>
        </w:rPr>
        <w:t xml:space="preserve">passed the 1882 Immigration Act, which </w:t>
      </w:r>
      <w:r w:rsidRPr="00F933AF">
        <w:rPr>
          <w:rStyle w:val="StyleUnderline"/>
          <w:rFonts w:cs="Calibri"/>
        </w:rPr>
        <w:t>screened out people with identifiable disabilities</w:t>
      </w:r>
      <w:r w:rsidRPr="00F933AF">
        <w:rPr>
          <w:rFonts w:cs="Calibri"/>
          <w:sz w:val="16"/>
        </w:rPr>
        <w:t xml:space="preserve">, it had passed the Chinese Exclusion Act. Asians appeared the most racially and culturally different of all immigrants to the United States, who mostly came from Europe, and thus Asians seemed the most threatening to white Americans. The rise of Social Darwinism and eugenics at the turn of the century provided a rationale for severe restrictions on immigration and prohibitions against first-generation Asian immigrants gaining U.S. citizenship. 180 Journal of Women’s History Spring As the example of early </w:t>
      </w:r>
      <w:r w:rsidRPr="00F933AF">
        <w:rPr>
          <w:rStyle w:val="StyleUnderline"/>
          <w:rFonts w:cs="Calibri"/>
        </w:rPr>
        <w:t>restrictions on</w:t>
      </w:r>
      <w:r w:rsidRPr="00F933AF">
        <w:rPr>
          <w:rFonts w:cs="Calibri"/>
          <w:sz w:val="16"/>
        </w:rPr>
        <w:t xml:space="preserve"> Asian women’s </w:t>
      </w:r>
      <w:r w:rsidRPr="00F933AF">
        <w:rPr>
          <w:rStyle w:val="StyleUnderline"/>
          <w:rFonts w:cs="Calibri"/>
        </w:rPr>
        <w:t>entry into the United States suggests, gender and disability have also intersected at key moments throughout American history</w:t>
      </w:r>
      <w:r w:rsidRPr="00F933AF">
        <w:rPr>
          <w:rFonts w:cs="Calibri"/>
          <w:sz w:val="16"/>
        </w:rPr>
        <w:t xml:space="preserve">. Beginning her book in the colonial era, Nielsen points out that Puritan ministers charged dissident women such as Anne Hutchinson and Mary Dyer with producing stillborn “monstrous births,” ostensible proof of God’s displeasure with these women’s disruption of the patriarchal order. During the American Revolution, the language of ability and disability became a means for those fomenting revolution to describe and create the boundaries of a new self-governing nation. Civic fitness was gendered and raced in ways that privileged white, able-bodied, property-owning men. Drawing on the historian Barbara Welke’s work, Nielsen explains that for much of U.S. history, citizenship was defined as much by who could not be a citizen as by who could be. </w:t>
      </w:r>
      <w:r w:rsidRPr="00F933AF">
        <w:rPr>
          <w:rStyle w:val="StyleUnderline"/>
          <w:rFonts w:cs="Calibri"/>
        </w:rPr>
        <w:t>Ability, race, and gender all contributed to one’s perceived suitability for legal personhood; thus, able-bodied white men had the clearest claims to legal personhood and full citizenship. Men’s legal independence and privilege were based on English common law, including the law of coverture for</w:t>
      </w:r>
      <w:r w:rsidRPr="00F933AF">
        <w:rPr>
          <w:rFonts w:cs="Calibri"/>
          <w:sz w:val="16"/>
        </w:rPr>
        <w:t xml:space="preserve"> married women, and rested on </w:t>
      </w:r>
      <w:r w:rsidRPr="00F933AF">
        <w:rPr>
          <w:rStyle w:val="StyleUnderline"/>
          <w:rFonts w:cs="Calibri"/>
        </w:rPr>
        <w:t>the subordinate status of blacks, all women, and those deemed physically or mentally disabled</w:t>
      </w:r>
      <w:r w:rsidRPr="00F933AF">
        <w:rPr>
          <w:rFonts w:cs="Calibri"/>
          <w:sz w:val="16"/>
        </w:rPr>
        <w:t xml:space="preserve">. In the nineteenth century, white men benefitted most from the privileges of full citizenship since only those who owned themselves could own land. Military service imposed burdens and dangers on men who served, but it also provided them many benefits. The U.S. government often paid veterans of the American Revolution, the War of 1812, and the Mexican War with land seized or claimed from Native Americans and Mexicans.2 For medical and scientific male “experts,” women’s sexuality and bodies served as a rationale to deny them full citizenship rights, including voting, higher education, and property ownership. As the common school movement spread after the Civil War, medical experts such as Edward Clarke issued warnings that if respectable white women began to acquire higher education, the mental strain could damage “a good reproductive system that could [otherwise] serve the race” (94). In the twentieth century, state legislatures passed sterilization </w:t>
      </w:r>
      <w:r w:rsidRPr="00F933AF">
        <w:rPr>
          <w:rStyle w:val="StyleUnderline"/>
          <w:rFonts w:cs="Calibri"/>
        </w:rPr>
        <w:t>laws</w:t>
      </w:r>
      <w:r w:rsidRPr="00F933AF">
        <w:rPr>
          <w:rFonts w:cs="Calibri"/>
          <w:sz w:val="16"/>
        </w:rPr>
        <w:t xml:space="preserve"> that </w:t>
      </w:r>
      <w:r w:rsidRPr="00F933AF">
        <w:rPr>
          <w:rStyle w:val="StyleUnderline"/>
          <w:rFonts w:cs="Calibri"/>
        </w:rPr>
        <w:t>forcibly restricted who could and could not contribute new citizens to the nation</w:t>
      </w:r>
      <w:r w:rsidRPr="00F933AF">
        <w:rPr>
          <w:rFonts w:cs="Calibri"/>
          <w:sz w:val="16"/>
        </w:rPr>
        <w:t>. Condoned by the U.S. Supreme Court, with Justice Oliver Wendell Holmes’s memorable assertion that “three generations of imbeciles are enough” (Buck v. Bell, 1927), these laws tragically resulted in over 65,000 forced sterilizations by the 1960s. Nielsen does an excellent job overall at highlighting the most innovative work in American</w:t>
      </w:r>
      <w:r w:rsidRPr="00F933AF">
        <w:rPr>
          <w:rStyle w:val="StyleUnderline"/>
          <w:rFonts w:cs="Calibri"/>
        </w:rPr>
        <w:t xml:space="preserve"> disability </w:t>
      </w:r>
      <w:r w:rsidRPr="00F933AF">
        <w:rPr>
          <w:rFonts w:cs="Calibri"/>
          <w:sz w:val="16"/>
        </w:rPr>
        <w:t xml:space="preserve">history, making consistent </w:t>
      </w:r>
      <w:r w:rsidRPr="00F933AF">
        <w:rPr>
          <w:rStyle w:val="StyleUnderline"/>
          <w:rFonts w:cs="Calibri"/>
        </w:rPr>
        <w:t>links to race, gender, and sexuality throughout</w:t>
      </w:r>
      <w:r w:rsidRPr="00F933AF">
        <w:rPr>
          <w:rFonts w:cs="Calibri"/>
          <w:sz w:val="16"/>
        </w:rPr>
        <w:t xml:space="preserve">. Students in any U.S. </w:t>
      </w:r>
      <w:r w:rsidRPr="00F933AF">
        <w:rPr>
          <w:rStyle w:val="StyleUnderline"/>
          <w:rFonts w:cs="Calibri"/>
        </w:rPr>
        <w:t>history</w:t>
      </w:r>
      <w:r w:rsidRPr="00F933AF">
        <w:rPr>
          <w:rFonts w:cs="Calibri"/>
          <w:sz w:val="16"/>
        </w:rPr>
        <w:t xml:space="preserve"> survey course, or a more specialized course in race, gender, or disability in American history, would benefit from reading Nielsen’s book.</w:t>
      </w:r>
    </w:p>
    <w:p w:rsidR="00F6498F" w:rsidRPr="00F933AF" w:rsidRDefault="00F6498F" w:rsidP="00F6498F">
      <w:pPr>
        <w:rPr>
          <w:rFonts w:cs="Calibri"/>
        </w:rPr>
      </w:pPr>
    </w:p>
    <w:p w:rsidR="00AA40A1" w:rsidRDefault="00BB1B68" w:rsidP="00495F48">
      <w:pPr>
        <w:pStyle w:val="Heading2"/>
      </w:pPr>
      <w:r w:rsidRPr="006E4271">
        <w:t>AT: Trump Thumps</w:t>
      </w:r>
      <w:r>
        <w:t xml:space="preserve"> </w:t>
      </w:r>
    </w:p>
    <w:p w:rsidR="006E4271" w:rsidRPr="00FB228C" w:rsidRDefault="006E4271" w:rsidP="006E4271">
      <w:pPr>
        <w:pStyle w:val="Heading4"/>
        <w:rPr>
          <w:rStyle w:val="Style13ptBold"/>
          <w:b/>
        </w:rPr>
      </w:pPr>
      <w:r w:rsidRPr="00FB228C">
        <w:rPr>
          <w:rStyle w:val="Style13ptBold"/>
          <w:b/>
        </w:rPr>
        <w:t>Even if the plan isn’t a silver bullet, it’s necessary to check back against the harms of Trump’s “chilling effect” – In order to combat Trump’s violence, small legal f</w:t>
      </w:r>
      <w:r>
        <w:rPr>
          <w:rStyle w:val="Style13ptBold"/>
          <w:b/>
        </w:rPr>
        <w:t>ixes</w:t>
      </w:r>
      <w:r w:rsidRPr="00FB228C">
        <w:rPr>
          <w:rStyle w:val="Style13ptBold"/>
          <w:b/>
        </w:rPr>
        <w:t xml:space="preserve"> must check back against his policies</w:t>
      </w:r>
    </w:p>
    <w:p w:rsidR="006E4271" w:rsidRPr="00FB228C" w:rsidRDefault="006E4271" w:rsidP="006E4271">
      <w:pPr>
        <w:rPr>
          <w:rStyle w:val="Style13ptBold"/>
        </w:rPr>
      </w:pPr>
      <w:r>
        <w:rPr>
          <w:rStyle w:val="Style13ptBold"/>
        </w:rPr>
        <w:t>Avina 18</w:t>
      </w:r>
      <w:r w:rsidRPr="00FB228C">
        <w:rPr>
          <w:rStyle w:val="Style13ptBold"/>
          <w:b w:val="0"/>
          <w:sz w:val="16"/>
          <w:szCs w:val="16"/>
        </w:rPr>
        <w:t>, Marisol - Program Manager, Prevention, The California Endowment 23</w:t>
      </w:r>
      <w:r w:rsidRPr="00FB228C">
        <w:rPr>
          <w:rStyle w:val="Style13ptBold"/>
          <w:b w:val="0"/>
          <w:sz w:val="16"/>
          <w:szCs w:val="16"/>
          <w:vertAlign w:val="superscript"/>
        </w:rPr>
        <w:t>rd</w:t>
      </w:r>
      <w:r w:rsidRPr="00FB228C">
        <w:rPr>
          <w:rStyle w:val="Style13ptBold"/>
          <w:b w:val="0"/>
          <w:sz w:val="16"/>
          <w:szCs w:val="16"/>
        </w:rPr>
        <w:t xml:space="preserve"> April 2018</w:t>
      </w:r>
      <w:r>
        <w:rPr>
          <w:rStyle w:val="Style13ptBold"/>
          <w:b w:val="0"/>
          <w:sz w:val="16"/>
          <w:szCs w:val="16"/>
        </w:rPr>
        <w:t xml:space="preserve"> </w:t>
      </w:r>
      <w:r>
        <w:rPr>
          <w:rStyle w:val="Style13ptBold"/>
          <w:b w:val="0"/>
          <w:i/>
          <w:sz w:val="16"/>
          <w:szCs w:val="16"/>
        </w:rPr>
        <w:t>California Endowment</w:t>
      </w:r>
      <w:r w:rsidRPr="00FB228C">
        <w:rPr>
          <w:rStyle w:val="Style13ptBold"/>
          <w:b w:val="0"/>
          <w:sz w:val="16"/>
          <w:szCs w:val="16"/>
        </w:rPr>
        <w:t xml:space="preserve"> http://www.calendow.org/changes-to-public-charge-could-punish-families-for-taking-care-of-their-children-what-can-we-do-about-it/</w:t>
      </w:r>
      <w:r>
        <w:rPr>
          <w:rStyle w:val="Style13ptBold"/>
          <w:b w:val="0"/>
          <w:sz w:val="16"/>
          <w:szCs w:val="16"/>
        </w:rPr>
        <w:t>//mr</w:t>
      </w:r>
    </w:p>
    <w:p w:rsidR="006E4271" w:rsidRPr="00FB228C" w:rsidRDefault="006E4271" w:rsidP="006E4271">
      <w:pPr>
        <w:rPr>
          <w:sz w:val="16"/>
        </w:rPr>
      </w:pPr>
      <w:r w:rsidRPr="000A62F3">
        <w:rPr>
          <w:u w:val="single"/>
        </w:rPr>
        <w:t>You may have heard something in the news about the federal government’s plans to expand the definition of which immigrants are considered a “public charge” and the fear this is causing</w:t>
      </w:r>
      <w:r w:rsidRPr="00FB228C">
        <w:rPr>
          <w:sz w:val="16"/>
        </w:rPr>
        <w:t xml:space="preserve">. In order to put the threat in perspective, and better understand how we can respond, it’s important to clarify what is meant by a “public charge,” how it’s used, and the limits on how the federal administration can use it. Public charge is a concept that’s been around for over a century, and is used to determine whether someone applying for admission to the U.S. or for a green card will become a burden on U.S. taxpayers. </w:t>
      </w:r>
      <w:r w:rsidRPr="000A62F3">
        <w:rPr>
          <w:u w:val="single"/>
        </w:rPr>
        <w:t xml:space="preserve">Those who are deemed to be a burden, or a public charge, are typically denied entry or a green card, and in very rare circumstances, can face deportation. </w:t>
      </w:r>
      <w:r w:rsidRPr="00FB228C">
        <w:rPr>
          <w:sz w:val="16"/>
        </w:rPr>
        <w:t xml:space="preserve">Currently, someone who accepts cash benefits, such as Temporary Assistance for Needy Families (or CalWorks in California), or long-term institutional care, could be considered a public charge. Note that accepting one of these benefits does not automatically define someone as a public charge, because under the law, federal authorities also have to take other factors into account, such as any special skills the person has, whether the person has a sponsor, and their health and age. It’s also important to note that public charge determinations are not used to decide who becomes a U.S. citizen, and are not applied to refugees or survivors of trafficking, domestic violence, or other serious crimes. </w:t>
      </w:r>
      <w:r w:rsidRPr="000A62F3">
        <w:rPr>
          <w:u w:val="single"/>
        </w:rPr>
        <w:t>The federal administration can’t change any of this, as it requires an act of Congress</w:t>
      </w:r>
      <w:r w:rsidRPr="00FB228C">
        <w:rPr>
          <w:sz w:val="16"/>
        </w:rPr>
        <w:t xml:space="preserve">, and the odds of Congress being able to muster the votes to pass a law to change these criteria are practically zero. </w:t>
      </w:r>
      <w:r w:rsidRPr="000A62F3">
        <w:rPr>
          <w:u w:val="single"/>
        </w:rPr>
        <w:t xml:space="preserve">So what can the federal administration do on its own? It can change regulations, but not laws. Since regulations are the rules agencies follow to implement laws, changing regulations can make a significant difference, but it has its limits, and can be undone by the next president’s administration. </w:t>
      </w:r>
      <w:r w:rsidRPr="00FB228C">
        <w:rPr>
          <w:u w:val="single"/>
        </w:rPr>
        <w:t>Leaked memos reveal that the current administration plans to use the rule-making process to expand the types of qualifications that the Department of Homeland Security can use to make a determination whether someone is deemed a public charge. In particular, the federal administration is planning to propose that DHS consider expanding the list of public benefits that trigger a public charge determination</w:t>
      </w:r>
      <w:r w:rsidRPr="00FB228C">
        <w:rPr>
          <w:sz w:val="16"/>
        </w:rPr>
        <w:t xml:space="preserve">. Such benefits could include: Medicaid, the Children’s Health Insurance Program (CHIP), food stamps, WIC nutrition benefits, Obamacare tax credits that help pay for health insurance, housing assistance, energy assistance, transportation services, and the Earned Income Tax Credit. Many of these programs provide assistance and support to families that sometimes fall under difficult times and help meet basic needs to keep families healthy and stable. The rules would also count benefits received by dependents, including U.S. citizen children, toward the public charge determination of someone applying for a green card. </w:t>
      </w:r>
      <w:r w:rsidRPr="00FB228C">
        <w:rPr>
          <w:u w:val="single"/>
        </w:rPr>
        <w:t>It is estimated that this could affect 20 million children in the U.S.</w:t>
      </w:r>
      <w:r w:rsidRPr="00FB228C">
        <w:rPr>
          <w:sz w:val="16"/>
        </w:rPr>
        <w:t xml:space="preserve"> For example, an immigration official may determine that a mom whose citizen child is receiving health care under Medi-Cal or the CHIP program might become a public charge, and deny her application for a green card. Immigrant families have the same dreams as all of us and they work hard to take care of their children. </w:t>
      </w:r>
      <w:r w:rsidRPr="00FB228C">
        <w:rPr>
          <w:u w:val="single"/>
        </w:rPr>
        <w:t>This all sounds awful, and it is, but it’s not reality yet.</w:t>
      </w:r>
      <w:r w:rsidRPr="00FB228C">
        <w:rPr>
          <w:sz w:val="16"/>
        </w:rPr>
        <w:t xml:space="preserve"> Nothing has changed. </w:t>
      </w:r>
      <w:r w:rsidRPr="00FB228C">
        <w:rPr>
          <w:u w:val="single"/>
        </w:rPr>
        <w:t>The federal administration has to propose a new rule, which is open for public comment for 60 days, then take all of the comments into account and develop a final rule. There are strict laws governing this process, so any attempts to take shortcuts will likely be met with vigorous legal challenges. Sadly, the fear created by talk about new public charge rules has led many people to withdraw themselves and their children from important programs that keep them and their families healthy and able to meet their basic needs</w:t>
      </w:r>
      <w:r w:rsidRPr="00FB228C">
        <w:rPr>
          <w:sz w:val="16"/>
        </w:rPr>
        <w:t xml:space="preserve">. </w:t>
      </w:r>
      <w:r w:rsidRPr="00FB228C">
        <w:rPr>
          <w:b/>
          <w:u w:val="single"/>
        </w:rPr>
        <w:t>At this point, no one should be withdrawing from programs or benefits that currently aren’t used to determine public charge</w:t>
      </w:r>
      <w:r w:rsidRPr="00FB228C">
        <w:rPr>
          <w:sz w:val="16"/>
        </w:rPr>
        <w:t xml:space="preserve">. If or when the regulations change, they cannot apply retroactively. </w:t>
      </w:r>
      <w:r w:rsidRPr="00FB228C">
        <w:rPr>
          <w:u w:val="single"/>
        </w:rPr>
        <w:t>Families should continue to participate in Medi-Cal, CHIP, WIC and other housing, energy and transportation programs. This latest attempt to attack immigrants is a reminder to not let fear drive our decisions, especially when those decisions could be detrimental to our health and the health of our families</w:t>
      </w:r>
      <w:r w:rsidRPr="00FB228C">
        <w:rPr>
          <w:sz w:val="16"/>
        </w:rPr>
        <w:t xml:space="preserve">. Remember that we are not alone. Nor are we weak. We have power in our voices, our communities, on our streets, in our state’s institutions, among advocacy organizations that are taking action, and in the hundreds of lawyers fighting on our behalf in the courts. </w:t>
      </w:r>
      <w:r w:rsidRPr="00FB228C">
        <w:rPr>
          <w:b/>
          <w:u w:val="single"/>
        </w:rPr>
        <w:t>We’ve seen these forces slow down the Muslim ban, block the federal government’s actions against sanctuary cities, and reopen the DACA renewal process.</w:t>
      </w:r>
      <w:r w:rsidRPr="00FB228C">
        <w:rPr>
          <w:u w:val="single"/>
        </w:rPr>
        <w:t xml:space="preserve"> Let’s speak up and continue to rise up as one.</w:t>
      </w:r>
    </w:p>
    <w:p w:rsidR="006E4271" w:rsidRPr="006E4271" w:rsidRDefault="006E4271" w:rsidP="006E4271"/>
    <w:p w:rsidR="00125A1B" w:rsidRDefault="00125A1B" w:rsidP="00495F48">
      <w:pPr>
        <w:pStyle w:val="Heading1"/>
      </w:pPr>
      <w:r>
        <w:t>Framing</w:t>
      </w:r>
    </w:p>
    <w:p w:rsidR="00E5343F" w:rsidRPr="00F933AF" w:rsidRDefault="00E5343F" w:rsidP="00EE31FC">
      <w:pPr>
        <w:pStyle w:val="Heading2"/>
      </w:pPr>
      <w:r w:rsidRPr="00F933AF">
        <w:t>AT: Climate Change Turns Case</w:t>
      </w:r>
    </w:p>
    <w:p w:rsidR="00E5343F" w:rsidRPr="00F933AF" w:rsidRDefault="00E5343F" w:rsidP="00E5343F">
      <w:pPr>
        <w:pStyle w:val="Heading4"/>
        <w:rPr>
          <w:rStyle w:val="Style13ptBold"/>
          <w:rFonts w:cs="Calibri"/>
          <w:b/>
        </w:rPr>
      </w:pPr>
      <w:r w:rsidRPr="00F933AF">
        <w:rPr>
          <w:rStyle w:val="Style13ptBold"/>
          <w:rFonts w:cs="Calibri"/>
          <w:b/>
        </w:rPr>
        <w:t>The negative’s climate rhetoric fosters a culture of neglect that justifies an “adaptation apartheid” – discourses on climate are inaccessible for many disabled people and justify ableist logic</w:t>
      </w:r>
    </w:p>
    <w:p w:rsidR="00E5343F" w:rsidRPr="00F933AF" w:rsidRDefault="00E5343F" w:rsidP="00E5343F">
      <w:pPr>
        <w:rPr>
          <w:rStyle w:val="Style13ptBold"/>
          <w:rFonts w:cs="Calibri"/>
          <w:b w:val="0"/>
          <w:sz w:val="24"/>
        </w:rPr>
      </w:pPr>
      <w:r w:rsidRPr="00F933AF">
        <w:rPr>
          <w:rStyle w:val="Style13ptBold"/>
          <w:rFonts w:cs="Calibri"/>
        </w:rPr>
        <w:t>Wolbring 09</w:t>
      </w:r>
      <w:r w:rsidRPr="00F933AF">
        <w:rPr>
          <w:rStyle w:val="Style13ptBold"/>
          <w:rFonts w:cs="Calibri"/>
          <w:b w:val="0"/>
          <w:color w:val="000000" w:themeColor="text1"/>
          <w:sz w:val="16"/>
          <w:szCs w:val="16"/>
        </w:rPr>
        <w:t>, Gregor -</w:t>
      </w:r>
      <w:r w:rsidRPr="00F933AF">
        <w:rPr>
          <w:rStyle w:val="Style13ptBold"/>
          <w:rFonts w:cs="Calibri"/>
          <w:color w:val="000000" w:themeColor="text1"/>
          <w:sz w:val="16"/>
          <w:szCs w:val="16"/>
        </w:rPr>
        <w:t xml:space="preserve"> </w:t>
      </w:r>
      <w:r w:rsidRPr="00F933AF">
        <w:rPr>
          <w:rFonts w:cs="Calibri"/>
          <w:color w:val="000000" w:themeColor="text1"/>
          <w:sz w:val="16"/>
          <w:szCs w:val="16"/>
          <w:shd w:val="clear" w:color="auto" w:fill="FFFFFF"/>
        </w:rPr>
        <w:t>tenured Associate Professor at the University of Calgary's Cumming School of Medicine “A Culture of Neglect: Climate Discourse and Disabled People” Vol. 12 No. 4 M/C Journal//mr</w:t>
      </w:r>
    </w:p>
    <w:p w:rsidR="00E5343F" w:rsidRPr="00F933AF" w:rsidRDefault="00E5343F" w:rsidP="00E5343F">
      <w:pPr>
        <w:rPr>
          <w:rFonts w:cs="Calibri"/>
          <w:sz w:val="16"/>
        </w:rPr>
      </w:pPr>
      <w:r w:rsidRPr="00F933AF">
        <w:rPr>
          <w:rFonts w:cs="Calibri"/>
          <w:sz w:val="16"/>
        </w:rPr>
        <w:t xml:space="preserve">Although climate change will disproportionately impact disabled people, despite the less than stellar record of disaster adaptation and mitigation efforts towards disabled people, and despite the fact that other social grou ps (such as women, children, „the poor‟, indigenous people, farmers and displaced people) are mentioned in climate - related </w:t>
      </w:r>
      <w:r w:rsidRPr="00F933AF">
        <w:rPr>
          <w:rFonts w:cs="Calibri"/>
          <w:u w:val="single"/>
        </w:rPr>
        <w:t>reports such as the IPCC reports and the Human Development Report</w:t>
      </w:r>
      <w:r w:rsidRPr="00F933AF">
        <w:rPr>
          <w:rFonts w:cs="Calibri"/>
          <w:sz w:val="16"/>
        </w:rPr>
        <w:t xml:space="preserve"> 2007/2008, the same reports </w:t>
      </w:r>
      <w:r w:rsidRPr="00F933AF">
        <w:rPr>
          <w:rFonts w:cs="Calibri"/>
          <w:u w:val="single"/>
        </w:rPr>
        <w:t>do not mention disabled people</w:t>
      </w:r>
      <w:r w:rsidRPr="00F933AF">
        <w:rPr>
          <w:rFonts w:cs="Calibri"/>
          <w:sz w:val="16"/>
        </w:rPr>
        <w:t xml:space="preserve">. Even worse, </w:t>
      </w:r>
      <w:r w:rsidRPr="00F933AF">
        <w:rPr>
          <w:rFonts w:cs="Calibri"/>
          <w:b/>
          <w:u w:val="single"/>
        </w:rPr>
        <w:t>the majority of the material generated by, and physically set up for, discourses on climate, is inaccessible for many disabled people</w:t>
      </w:r>
      <w:r w:rsidRPr="00F933AF">
        <w:rPr>
          <w:rFonts w:cs="Calibri"/>
          <w:sz w:val="16"/>
        </w:rPr>
        <w:t xml:space="preserve"> (Australian Human Rights Commission). For instance, the IPCC report, Climate Change 2007: Impacts, Adaptation and Vulnerability , contains Box 8.2: Gender and natural disasters , makes the following points: (a) “men and women are affected differently in all phases of a disaster, from exposure to risk and risk perception; to preparedness behaviour, warning communication an d response; physical, psychological, social and economic impacts; emergency response; and ultimately to recovery and reconstruction”; (b) “natural disasters have been shown to result in increased domestic violence against, and post - traumatic stress disord ers in, women”; and (c) “women make an important contribution to disaster reduction, often informally through participating in disaster management and acting as agents of social change. Their resilience and their networks are critical in household and comm unity recovery.” The content of Box 8.2 acknowledges the existence of different perspectives and contributions to the climate discourse, and that it is beneficial to explore these differences. It seems reasonable to assume that differences in perspectives, contributions and impact may well also exist between people with and without disabilities, and that it may be likewise beneficial to explore these differences</w:t>
      </w:r>
      <w:r w:rsidRPr="00F933AF">
        <w:rPr>
          <w:rFonts w:cs="Calibri"/>
          <w:u w:val="single"/>
        </w:rPr>
        <w:t xml:space="preserve">. Disabled people are differently affected in all phases of a disaster, from exposure to risk and risk perception; to preparedness behaviour, warning communication and response; physical, psychological, social and economic impacts; </w:t>
      </w:r>
      <w:r w:rsidRPr="00F933AF">
        <w:rPr>
          <w:rFonts w:cs="Calibri"/>
          <w:sz w:val="16"/>
        </w:rPr>
        <w:t xml:space="preserve">emergency response; and ultimately to recovery and reconstruction. Disabled people could also make an important contribution to disaster reduction, often informally through participating in disaster management and acting as agents of social change. Their resilience and their networks are critical in household and community recovery, important as distributors of relief effort s and in reconstruction design. The Bonn Declaration from the 2007 international conference, Disasters are always Inclusive: Persons with Disabilities in Humanitarian Emergency Situations , highlighted many problems disabled people are facing and gives rec ommendations for inclusive disaster preparedness planning, for inclusive response in acute emergency situations and immediate rehabilitation measures, and for inclusive post - disaster reconstruction and development measures. Many workshops were initiated by disabled people groups, such as Rehabilitation International. However, </w:t>
      </w:r>
      <w:r w:rsidRPr="00F933AF">
        <w:rPr>
          <w:rFonts w:cs="Calibri"/>
          <w:u w:val="single"/>
        </w:rPr>
        <w:t>the disabled people disaster adaptation and mitigation discourse is not mainstreamed</w:t>
      </w:r>
      <w:r w:rsidRPr="00F933AF">
        <w:rPr>
          <w:rFonts w:cs="Calibri"/>
          <w:sz w:val="16"/>
        </w:rPr>
        <w:t xml:space="preserve">. Advocacy by people with disability for accessible transport and universal or “life - cycle” housing (among other things) shows how they can contribute significantly to more effective social systems and public facilities. These benefit everyone and help to shift public expectations towards accessible and flexible amenities and services — for example, emergency response and evacuation procedures are much easier for all if such facilities are universally accessible. Most suggestions by disabled people for a more integrative, accessible physical environment and societal attitude benefit everyone, and gain special importance with the ever - increasing proportion of elderly people in society. The IPCC Fourth Assessment Report is intended to be a balanced assessment of current knowledge on climate change mitigation. However, </w:t>
      </w:r>
      <w:r w:rsidRPr="00F933AF">
        <w:rPr>
          <w:rFonts w:cs="Calibri"/>
          <w:u w:val="single"/>
        </w:rPr>
        <w:t>none of the 2007 IPCC reports mention disabled people. Does that mean that disabled people are not impacted by, or impact, climate change? Does no knowledge of adaptation, mitigation and adaptation capacity from a disabled people lens exist, or does the knowledge not reach the IPCC, or does the IPCC judge this knowledge as irrelevant? This culture of neglect and unbalanced assessment of knowledge evident</w:t>
      </w:r>
      <w:r w:rsidRPr="00F933AF">
        <w:rPr>
          <w:rFonts w:cs="Calibri"/>
          <w:sz w:val="16"/>
        </w:rPr>
        <w:t xml:space="preserve"> </w:t>
      </w:r>
      <w:r w:rsidRPr="00F933AF">
        <w:rPr>
          <w:rFonts w:cs="Calibri"/>
          <w:u w:val="single"/>
        </w:rPr>
        <w:t>in</w:t>
      </w:r>
      <w:r w:rsidRPr="00F933AF">
        <w:rPr>
          <w:rFonts w:cs="Calibri"/>
          <w:sz w:val="16"/>
        </w:rPr>
        <w:t xml:space="preserve"> the IPCC reports was recognised before for rise of a global </w:t>
      </w:r>
      <w:r w:rsidRPr="00F933AF">
        <w:rPr>
          <w:rFonts w:cs="Calibri"/>
          <w:u w:val="single"/>
        </w:rPr>
        <w:t>climate discourse</w:t>
      </w:r>
      <w:r w:rsidRPr="00F933AF">
        <w:rPr>
          <w:rFonts w:cs="Calibri"/>
          <w:sz w:val="16"/>
        </w:rPr>
        <w:t>. For instance, a 2001 Canadian government document asked that research agendas be developed with the involvement of, among others, disabled people (Health Canada). The 2009 Nairobi Declaration on Africa‟s response to climate change (paragraph 36) also asks for the involvement of disabled people (African Ministerial Conference on the Environment). However, so far nothing has trickled up to the international bodies, like the IPCC, or leading conferences such as the United Nations Climate Change Conference Copenhagen 2009. Where Will It End? In his essay, “</w:t>
      </w:r>
      <w:r w:rsidRPr="00F933AF">
        <w:rPr>
          <w:rFonts w:cs="Calibri"/>
          <w:b/>
          <w:u w:val="single"/>
        </w:rPr>
        <w:t>We do not need climate change apartheid in adaptation</w:t>
      </w:r>
      <w:r w:rsidRPr="00F933AF">
        <w:rPr>
          <w:rFonts w:cs="Calibri"/>
          <w:sz w:val="16"/>
        </w:rPr>
        <w:t>”, in the Human Development Report 2007/2008 , Archbishop Desmond Tutu suggests that we are drifting into a situation of global adaptation apartheid — that adaptation becomes a euphemism for social injustice on a glob al scale (United Nations Development Programme). He uses the term “adaptation apartheid” to highlight the inequality of support for adaptation capacity between high and low income countries: “Inequality in capacity to adapt to climate change is emerging as a potential driver of wider disparities in wealth, security and opportunities for human development”. I submit that “</w:t>
      </w:r>
      <w:r w:rsidRPr="00F933AF">
        <w:rPr>
          <w:rFonts w:cs="Calibri"/>
          <w:u w:val="single"/>
        </w:rPr>
        <w:t>adaptation apartheid</w:t>
      </w:r>
      <w:r w:rsidRPr="00F933AF">
        <w:rPr>
          <w:rFonts w:cs="Calibri"/>
          <w:sz w:val="16"/>
        </w:rPr>
        <w:t xml:space="preserve">” also </w:t>
      </w:r>
      <w:r w:rsidRPr="00F933AF">
        <w:rPr>
          <w:rFonts w:cs="Calibri"/>
          <w:b/>
          <w:u w:val="single"/>
        </w:rPr>
        <w:t>exists in regard to disabled people, with the invisibility of disabled people in the climate discourse being just one facet</w:t>
      </w:r>
      <w:r w:rsidRPr="00F933AF">
        <w:rPr>
          <w:rFonts w:cs="Calibri"/>
          <w:sz w:val="16"/>
        </w:rPr>
        <w:t xml:space="preserve">. The unwillingness to accommodate, to help the “other,” is nothing new for disabled people. The ableism that favours species - typical bodily functioning (Wolbring, “Is there an end to out - able?”; Wolbring, “Why MBIC?”) and disablism (Miller, Parker, and Gillinson) — </w:t>
      </w:r>
      <w:r w:rsidRPr="00F933AF">
        <w:rPr>
          <w:rFonts w:cs="Calibri"/>
          <w:b/>
          <w:u w:val="single"/>
        </w:rPr>
        <w:t>the lack of accommodation enthusiasm for the needs of people with “below” species - typical body abilities and the unwillingness to adapt to the needs of “others” — is a form of “adaptation apartheid,” of accommodation apartheid, of adaptation disablism that has been battled by disabled people for a long time</w:t>
      </w:r>
      <w:r w:rsidRPr="00F933AF">
        <w:rPr>
          <w:rFonts w:cs="Calibri"/>
          <w:sz w:val="16"/>
        </w:rPr>
        <w:t xml:space="preserve">. In a 2009 online survey of 2000 British people, 38 per cent believed that most people in British society see disabled people as a “drain on resources” (Scope). A majority of human geneticist concluded in a survey in 1999 that disabled people will never be given the support they need (Nippert and Wolff). </w:t>
      </w:r>
      <w:r w:rsidRPr="00F933AF">
        <w:rPr>
          <w:rFonts w:cs="Calibri"/>
          <w:u w:val="single"/>
        </w:rPr>
        <w:t>Adaptation disablism is visible in the literature and studies around other disasters.</w:t>
      </w:r>
      <w:r w:rsidRPr="00F933AF">
        <w:rPr>
          <w:rFonts w:cs="Calibri"/>
          <w:sz w:val="16"/>
        </w:rPr>
        <w:t xml:space="preserve"> The 1988 British Medical Association discussi on document, </w:t>
      </w:r>
      <w:r w:rsidRPr="00F933AF">
        <w:rPr>
          <w:rFonts w:cs="Calibri"/>
          <w:b/>
          <w:u w:val="single"/>
        </w:rPr>
        <w:t xml:space="preserve">Selection of casualties for treatment after nuclear </w:t>
      </w:r>
      <w:proofErr w:type="gramStart"/>
      <w:r w:rsidRPr="00F933AF">
        <w:rPr>
          <w:rFonts w:cs="Calibri"/>
          <w:b/>
          <w:u w:val="single"/>
        </w:rPr>
        <w:t>attack ,</w:t>
      </w:r>
      <w:proofErr w:type="gramEnd"/>
      <w:r w:rsidRPr="00F933AF">
        <w:rPr>
          <w:rFonts w:cs="Calibri"/>
          <w:b/>
          <w:u w:val="single"/>
        </w:rPr>
        <w:t xml:space="preserve"> stated “casualties whose injuries were likely to lead to a permanent disability would receive lower priority than those expected to fully recover” </w:t>
      </w:r>
      <w:r w:rsidRPr="00F933AF">
        <w:rPr>
          <w:rFonts w:cs="Calibri"/>
          <w:sz w:val="16"/>
        </w:rPr>
        <w:t xml:space="preserve">(Sunday Morning Herald). Famine is seen to lead to increased infanticide, increased competitiveness and decreased collaboration (Participants of the Nuclear Winter: The Anthropology of Human Survival Session). </w:t>
      </w:r>
      <w:r w:rsidRPr="00F933AF">
        <w:rPr>
          <w:rFonts w:cs="Calibri"/>
          <w:u w:val="single"/>
        </w:rPr>
        <w:t>Ableism and disablism notions experienced by disabled people can now be extended to include those challenges expected to arise from the need to adapt to climate change.</w:t>
      </w:r>
      <w:r w:rsidRPr="00F933AF">
        <w:rPr>
          <w:rFonts w:cs="Calibri"/>
          <w:sz w:val="16"/>
        </w:rPr>
        <w:t xml:space="preserve"> It is reasonable to expect that </w:t>
      </w:r>
      <w:r w:rsidRPr="00F933AF">
        <w:rPr>
          <w:rFonts w:cs="Calibri"/>
          <w:u w:val="single"/>
        </w:rPr>
        <w:t>ableism will prevail, expecting people to cope with certain forms of climate change, and that disablism will be extended, with the ones less affected being unwilling to accommodate the ones more affected beyond a certain point.</w:t>
      </w:r>
      <w:r w:rsidRPr="00F933AF">
        <w:rPr>
          <w:rFonts w:cs="Calibri"/>
          <w:sz w:val="16"/>
        </w:rPr>
        <w:t xml:space="preserve"> </w:t>
      </w:r>
      <w:r w:rsidRPr="00F933AF">
        <w:rPr>
          <w:rFonts w:cs="Calibri"/>
          <w:u w:val="single"/>
        </w:rPr>
        <w:t>This ableism/disablism will</w:t>
      </w:r>
      <w:r w:rsidRPr="00F933AF">
        <w:rPr>
          <w:rFonts w:cs="Calibri"/>
          <w:sz w:val="16"/>
        </w:rPr>
        <w:t xml:space="preserve"> </w:t>
      </w:r>
      <w:r w:rsidRPr="00F933AF">
        <w:rPr>
          <w:rFonts w:cs="Calibri"/>
          <w:u w:val="single"/>
        </w:rPr>
        <w:t>not only play itself out between high and low income countries</w:t>
      </w:r>
      <w:r w:rsidRPr="00F933AF">
        <w:rPr>
          <w:rFonts w:cs="Calibri"/>
          <w:sz w:val="16"/>
        </w:rPr>
        <w:t xml:space="preserve">, as Desmond Tutu described, </w:t>
      </w:r>
      <w:r w:rsidRPr="00F933AF">
        <w:rPr>
          <w:rFonts w:cs="Calibri"/>
          <w:u w:val="single"/>
        </w:rPr>
        <w:t>but also within high income countries,</w:t>
      </w:r>
      <w:r w:rsidRPr="00F933AF">
        <w:rPr>
          <w:rFonts w:cs="Calibri"/>
          <w:sz w:val="16"/>
        </w:rPr>
        <w:t xml:space="preserve"> as not every need will be accommodated. The disaster experience of disabled people is just one example. And there might be climate change consequences that one can only mitigate through high tech bodily adaptations that will not be available to many of the ones who are so far accommodated in high income countries. Desmond Tutu submits that adaptation apartheid might work for the fortunate ones in the short term, but will be destructive for them in the long term (United Nations Development Programme). Disability studies scholar Erik Leipoldt proposed that </w:t>
      </w:r>
      <w:r w:rsidRPr="00F933AF">
        <w:rPr>
          <w:rFonts w:cs="Calibri"/>
          <w:u w:val="single"/>
        </w:rPr>
        <w:t>the disability perspective of interdependence is a practical guide from the margins for making new choices that may lead to a just and sustainable world</w:t>
      </w:r>
      <w:r w:rsidRPr="00F933AF">
        <w:rPr>
          <w:rFonts w:cs="Calibri"/>
          <w:sz w:val="16"/>
        </w:rPr>
        <w:t xml:space="preserve"> — a concept that reduces the distance between each other and our environment (Leipoldt). This perspective rejects ableism and disablism as it plays itself out today, including adaptation apartheid. Planned adaptation involves four basic steps: information development and awareness - raising; planning and design; imple mentation; and monitoring and evaluation (Smit et al). Disabled people have important knowledge to contribute to these four basic steps that goes far beyond their community. Their understanding and acceptance of, for example, the concept of </w:t>
      </w:r>
      <w:proofErr w:type="gramStart"/>
      <w:r w:rsidRPr="00F933AF">
        <w:rPr>
          <w:rFonts w:cs="Calibri"/>
          <w:sz w:val="16"/>
        </w:rPr>
        <w:t>interdependence ,</w:t>
      </w:r>
      <w:proofErr w:type="gramEnd"/>
      <w:r w:rsidRPr="00F933AF">
        <w:rPr>
          <w:rFonts w:cs="Calibri"/>
          <w:sz w:val="16"/>
        </w:rPr>
        <w:t xml:space="preserve"> is just one major contribution. Including the concept of interdependence within the set of tools that inform the four basic steps of adaptation and other facets of climate discourse has the potential to lead to a decrease of adaptation apartheid, and to increase the utility of the climate discourse for the global community as a whole.</w:t>
      </w:r>
    </w:p>
    <w:p w:rsidR="00E5343F" w:rsidRPr="00F933AF" w:rsidRDefault="00E5343F" w:rsidP="00E5343F">
      <w:pPr>
        <w:rPr>
          <w:rFonts w:cs="Calibri"/>
        </w:rPr>
      </w:pPr>
    </w:p>
    <w:p w:rsidR="00E5343F" w:rsidRPr="00F933AF" w:rsidRDefault="00E5343F" w:rsidP="00EE31FC">
      <w:pPr>
        <w:pStyle w:val="Heading2"/>
      </w:pPr>
      <w:r w:rsidRPr="00F933AF">
        <w:t>AT: Terror/War Impacts</w:t>
      </w:r>
    </w:p>
    <w:p w:rsidR="00E5343F" w:rsidRPr="00F933AF" w:rsidRDefault="00E5343F" w:rsidP="00E5343F">
      <w:pPr>
        <w:pStyle w:val="Heading4"/>
        <w:rPr>
          <w:rFonts w:cs="Calibri"/>
        </w:rPr>
      </w:pPr>
      <w:r w:rsidRPr="00F933AF">
        <w:rPr>
          <w:rFonts w:cs="Calibri"/>
        </w:rPr>
        <w:t>The neg’s threat construction of disabled immigrants as potential terrorists replicates the same logic of eugenicist, ableist exclusion which we have critiqued—the confluence of disability and criminality justifies violence and relegates those with disabilities to the moral margins</w:t>
      </w:r>
    </w:p>
    <w:p w:rsidR="00E5343F" w:rsidRPr="00F933AF" w:rsidRDefault="00E5343F" w:rsidP="00E5343F">
      <w:pPr>
        <w:rPr>
          <w:rFonts w:cs="Calibri"/>
        </w:rPr>
      </w:pPr>
      <w:r w:rsidRPr="00F933AF">
        <w:rPr>
          <w:rFonts w:cs="Calibri"/>
          <w:b/>
        </w:rPr>
        <w:t xml:space="preserve">Hughes 17 </w:t>
      </w:r>
      <w:r w:rsidRPr="00F933AF">
        <w:rPr>
          <w:rFonts w:cs="Calibri"/>
          <w:sz w:val="18"/>
          <w:szCs w:val="18"/>
        </w:rPr>
        <w:t>(Bill Hughes, professor at Glasgow Caledonian University who specializes in Disability Studies, Taylor &amp; Francis Online, “Impairment on the move: the disabled incomer and other invalidating intersections,” Eugenics: contamination of the stock by disabled migrants, pg. 472-475, 3/13/17)//jy</w:t>
      </w:r>
    </w:p>
    <w:p w:rsidR="00E5343F" w:rsidRPr="00F933AF" w:rsidRDefault="00E5343F" w:rsidP="00E5343F">
      <w:pPr>
        <w:rPr>
          <w:rFonts w:cs="Calibri"/>
          <w:sz w:val="12"/>
        </w:rPr>
      </w:pPr>
      <w:r w:rsidRPr="00F933AF">
        <w:rPr>
          <w:rFonts w:cs="Calibri"/>
          <w:sz w:val="12"/>
        </w:rPr>
        <w:t xml:space="preserve">Ellis Island, today a museum in New York Bay, was an immigration-processing station opened by the US Federal Government in 1891 in the wake of </w:t>
      </w:r>
      <w:r w:rsidRPr="00F933AF">
        <w:rPr>
          <w:rFonts w:cs="Calibri"/>
          <w:u w:val="single"/>
        </w:rPr>
        <w:t>the Immigration Act</w:t>
      </w:r>
      <w:r w:rsidRPr="00F933AF">
        <w:rPr>
          <w:rFonts w:cs="Calibri"/>
          <w:sz w:val="12"/>
        </w:rPr>
        <w:t xml:space="preserve"> of the same year. The </w:t>
      </w:r>
      <w:r w:rsidRPr="00F933AF">
        <w:rPr>
          <w:rFonts w:cs="Calibri"/>
          <w:u w:val="single"/>
        </w:rPr>
        <w:t xml:space="preserve">act was designed to exclude </w:t>
      </w:r>
      <w:r w:rsidRPr="00F933AF">
        <w:rPr>
          <w:rFonts w:cs="Calibri"/>
          <w:sz w:val="12"/>
        </w:rPr>
        <w:t xml:space="preserve">the following categories of people from entering the USA: </w:t>
      </w:r>
      <w:r w:rsidRPr="00F933AF">
        <w:rPr>
          <w:rFonts w:cs="Calibri"/>
          <w:u w:val="single"/>
        </w:rPr>
        <w:t>insane and contagiously ill people, idiots, convicted felons, polygamists, paupers and any person who might become a ‘public charge on society’;</w:t>
      </w:r>
      <w:r w:rsidRPr="00F933AF">
        <w:rPr>
          <w:rFonts w:cs="Calibri"/>
          <w:sz w:val="12"/>
        </w:rPr>
        <w:t xml:space="preserve"> ‘Senility (old age), varicose veins, hernias, poor vision, and deformities of the limbs or spine were among the primary causes of exclusion’ (Bateman-House and Fairchild 2008, 238). </w:t>
      </w:r>
      <w:r w:rsidRPr="00F933AF">
        <w:rPr>
          <w:rFonts w:cs="Calibri"/>
          <w:u w:val="single"/>
        </w:rPr>
        <w:t>Concerned about the calibre and stock of people passing through Ellis Island, the State of New York</w:t>
      </w:r>
      <w:r w:rsidRPr="00F933AF">
        <w:rPr>
          <w:rFonts w:cs="Calibri"/>
          <w:sz w:val="12"/>
        </w:rPr>
        <w:t xml:space="preserve"> had, prior to the federal take-over of immigration control, raised a statute to ‘</w:t>
      </w:r>
      <w:r w:rsidRPr="00F933AF">
        <w:rPr>
          <w:rFonts w:cs="Calibri"/>
          <w:u w:val="single"/>
        </w:rPr>
        <w:t>prevent the landing of mendicants, cripples, criminals, idiots</w:t>
      </w:r>
      <w:r w:rsidRPr="00F933AF">
        <w:rPr>
          <w:rFonts w:cs="Calibri"/>
          <w:sz w:val="12"/>
        </w:rPr>
        <w:t xml:space="preserve"> &amp;c’ (Schweik 2009, 165). </w:t>
      </w:r>
      <w:r w:rsidRPr="00F933AF">
        <w:rPr>
          <w:rFonts w:cs="Calibri"/>
          <w:u w:val="single"/>
        </w:rPr>
        <w:t xml:space="preserve">The most striking feature of Ellis Island was the role it played in the protection of public health. This was based on </w:t>
      </w:r>
      <w:r w:rsidRPr="00F933AF">
        <w:rPr>
          <w:rFonts w:cs="Calibri"/>
          <w:b/>
          <w:u w:val="single"/>
        </w:rPr>
        <w:t>eugenic fears of ‘aliens’ conceived as a contaminating threat to the physical and moral integrity of the nation</w:t>
      </w:r>
      <w:r w:rsidRPr="00F933AF">
        <w:rPr>
          <w:rFonts w:cs="Calibri"/>
          <w:sz w:val="12"/>
        </w:rPr>
        <w:t xml:space="preserve">. Ellis Island was primarily a site of medical inspection dedicated to the exclusion of ‘degenerate’ bodies, including people with impaired labour power (Fairchild 2003) who were thought to be unable to contribute to industrialisation and the prosperity of the nation (Dolmage 2011). </w:t>
      </w:r>
      <w:r w:rsidRPr="00F933AF">
        <w:rPr>
          <w:rFonts w:cs="Calibri"/>
          <w:u w:val="single"/>
        </w:rPr>
        <w:t>These immigration priorities were supported – particularly after the introduction in the 1924 Immigration Act of national quotas – by ethnic discrimination based on ‘scientific racism’ in which preferences for northern over eastern and southern Europeans were evident</w:t>
      </w:r>
      <w:r w:rsidRPr="00F933AF">
        <w:rPr>
          <w:rFonts w:cs="Calibri"/>
          <w:sz w:val="12"/>
        </w:rPr>
        <w:t xml:space="preserve"> (Bateman-House and Fairchild 2008, 239). As Molina (2006) argues, </w:t>
      </w:r>
      <w:r w:rsidRPr="00F933AF">
        <w:rPr>
          <w:rFonts w:cs="Calibri"/>
          <w:u w:val="single"/>
        </w:rPr>
        <w:t>US immigration policy has a long tradition of applying racialised representations to disabled immigrants and medicalised ‘scripts’</w:t>
      </w:r>
      <w:r w:rsidRPr="00F933AF">
        <w:rPr>
          <w:rFonts w:cs="Calibri"/>
          <w:sz w:val="12"/>
        </w:rPr>
        <w:t xml:space="preserve"> (Molina 2014) </w:t>
      </w:r>
      <w:r w:rsidRPr="00F933AF">
        <w:rPr>
          <w:rFonts w:cs="Calibri"/>
          <w:u w:val="single"/>
        </w:rPr>
        <w:t>to non-white incomers</w:t>
      </w:r>
      <w:r w:rsidRPr="00F933AF">
        <w:rPr>
          <w:rFonts w:cs="Calibri"/>
          <w:sz w:val="12"/>
        </w:rPr>
        <w:t xml:space="preserve">. The same lexicon, highlighting the potential threat embodied by both groups, is used to spell out and reiterate a dangerous intersection of corrupted flesh which the nation would do well to exclude from its shores. As we have seen, the policy is ‘heaven-sent’. </w:t>
      </w:r>
      <w:r w:rsidRPr="00F933AF">
        <w:rPr>
          <w:rFonts w:cs="Calibri"/>
          <w:u w:val="single"/>
        </w:rPr>
        <w:t>The growing concern, in a land of immigrants, about the ‘fitness’ of incomers was a clear indication of the importance that eugenic conceptions of population – ableist and racist – acquired in nineteenth century America</w:t>
      </w:r>
      <w:r w:rsidRPr="00F933AF">
        <w:rPr>
          <w:rFonts w:cs="Calibri"/>
          <w:sz w:val="12"/>
        </w:rPr>
        <w:t xml:space="preserve">. Eugenics comes from DISABILITY &amp; SOCIETY 473 the Greek word </w:t>
      </w:r>
      <w:proofErr w:type="gramStart"/>
      <w:r w:rsidRPr="00F933AF">
        <w:rPr>
          <w:rFonts w:cs="Calibri"/>
          <w:sz w:val="12"/>
        </w:rPr>
        <w:t>eugenes</w:t>
      </w:r>
      <w:proofErr w:type="gramEnd"/>
      <w:r w:rsidRPr="00F933AF">
        <w:rPr>
          <w:rFonts w:cs="Calibri"/>
          <w:sz w:val="12"/>
        </w:rPr>
        <w:t xml:space="preserve"> which means ‘well born’. Eugenic policies are designed – as Plato recommended – to eliminate weakness and/or to help the ‘well-born’ to flourish. </w:t>
      </w:r>
      <w:r w:rsidRPr="00F933AF">
        <w:rPr>
          <w:rFonts w:cs="Calibri"/>
          <w:u w:val="single"/>
        </w:rPr>
        <w:t>A restrictive immigration policy in late nineteenth-century America was part of a wider strategy of bio-politics</w:t>
      </w:r>
      <w:r w:rsidRPr="00F933AF">
        <w:rPr>
          <w:rFonts w:cs="Calibri"/>
          <w:sz w:val="12"/>
        </w:rPr>
        <w:t xml:space="preserve"> (Foucault 1979) </w:t>
      </w:r>
      <w:r w:rsidRPr="00F933AF">
        <w:rPr>
          <w:rFonts w:cs="Calibri"/>
          <w:u w:val="single"/>
        </w:rPr>
        <w:t>that included eugenic approaches to health, hygiene and reproduction</w:t>
      </w:r>
      <w:r w:rsidRPr="00F933AF">
        <w:rPr>
          <w:rFonts w:cs="Calibri"/>
          <w:sz w:val="12"/>
        </w:rPr>
        <w:t xml:space="preserve"> (Rose 2001). </w:t>
      </w:r>
      <w:r w:rsidRPr="00F933AF">
        <w:rPr>
          <w:rFonts w:cs="Calibri"/>
          <w:u w:val="single"/>
        </w:rPr>
        <w:t xml:space="preserve">These policies were designed to manage the population and to contain and exclude ‘undesirables’. They were designed to ensure, therefore, the vigour of the labour power of people and the sustainability of the nation. Blocking access to disabled people through the major points of entry </w:t>
      </w:r>
      <w:r w:rsidRPr="00F933AF">
        <w:rPr>
          <w:rFonts w:cs="Calibri"/>
          <w:sz w:val="12"/>
        </w:rPr>
        <w:t xml:space="preserve">into the USA </w:t>
      </w:r>
      <w:r w:rsidRPr="00F933AF">
        <w:rPr>
          <w:rFonts w:cs="Calibri"/>
          <w:u w:val="single"/>
        </w:rPr>
        <w:t>was an important weapon of the state in the battle against ‘degeneracy’.</w:t>
      </w:r>
      <w:r w:rsidRPr="00F933AF">
        <w:rPr>
          <w:rFonts w:cs="Calibri"/>
          <w:sz w:val="12"/>
        </w:rPr>
        <w:t xml:space="preserve"> ‘Degeneracy’ was central to the rhetoric of late nineteenth/early twentieth-century ‘ideology of ablebodiedness’ (Siebers 2008); a deeply embedded post-Darwinian fear which suggested that the moral decline of civilisation was evident in the mass of botched and broken bodies that drained prosperity from modern urban, industrialised, spaces (Pick 1989). </w:t>
      </w:r>
      <w:r w:rsidRPr="00F933AF">
        <w:rPr>
          <w:rFonts w:cs="Calibri"/>
          <w:u w:val="single"/>
        </w:rPr>
        <w:t xml:space="preserve">Both the Immigration Act of 1891 and the New York statute are infused with semiotic potency. They combine representations of identities in ways that suggest nefarious intersections </w:t>
      </w:r>
      <w:r w:rsidRPr="00F933AF">
        <w:rPr>
          <w:rFonts w:cs="Calibri"/>
          <w:sz w:val="12"/>
        </w:rPr>
        <w:t xml:space="preserve">between, on the one hand, impairment categories (cripples and idiots) and, on the other, criminals and mendicants. </w:t>
      </w:r>
      <w:r w:rsidRPr="00F933AF">
        <w:rPr>
          <w:rFonts w:cs="Calibri"/>
          <w:u w:val="single"/>
        </w:rPr>
        <w:t xml:space="preserve">They </w:t>
      </w:r>
      <w:r w:rsidRPr="00F933AF">
        <w:rPr>
          <w:rFonts w:cs="Calibri"/>
          <w:b/>
          <w:u w:val="single"/>
        </w:rPr>
        <w:t>condense crooked bodies and crooked behaviour into a singular physiognomic frame of reference</w:t>
      </w:r>
      <w:r w:rsidRPr="00F933AF">
        <w:rPr>
          <w:rFonts w:cs="Calibri"/>
          <w:u w:val="single"/>
        </w:rPr>
        <w:t>.</w:t>
      </w:r>
      <w:r w:rsidRPr="00F933AF">
        <w:rPr>
          <w:rFonts w:cs="Calibri"/>
          <w:sz w:val="12"/>
        </w:rPr>
        <w:t xml:space="preserve"> The ‘folk devil’ is all the more efficacious in the production of social anxiety when it is made from combinations of moral dubiety. </w:t>
      </w:r>
      <w:r w:rsidRPr="00F933AF">
        <w:rPr>
          <w:rFonts w:cs="Calibri"/>
          <w:u w:val="single"/>
        </w:rPr>
        <w:t xml:space="preserve">By constructing a point of confluence at which </w:t>
      </w:r>
      <w:r w:rsidRPr="00F933AF">
        <w:rPr>
          <w:rFonts w:cs="Calibri"/>
          <w:b/>
          <w:u w:val="single"/>
        </w:rPr>
        <w:t>migrant and disabled identities mix with the moral contaminants of miscreant and vagrant identities</w:t>
      </w:r>
      <w:r w:rsidRPr="00F933AF">
        <w:rPr>
          <w:rFonts w:cs="Calibri"/>
          <w:u w:val="single"/>
        </w:rPr>
        <w:t>, the immigration regulations</w:t>
      </w:r>
      <w:r w:rsidRPr="00F933AF">
        <w:rPr>
          <w:rFonts w:cs="Calibri"/>
          <w:sz w:val="12"/>
        </w:rPr>
        <w:t xml:space="preserve"> – much like the Ugly Laws that operated contemporaneously with them – </w:t>
      </w:r>
      <w:r w:rsidRPr="00F933AF">
        <w:rPr>
          <w:rFonts w:cs="Calibri"/>
          <w:u w:val="single"/>
        </w:rPr>
        <w:t>aroused strong emotions of fear and disgust amongst the normate community</w:t>
      </w:r>
      <w:r w:rsidRPr="00F933AF">
        <w:rPr>
          <w:rFonts w:cs="Calibri"/>
          <w:sz w:val="12"/>
        </w:rPr>
        <w:t xml:space="preserve"> (Schweik 2009). </w:t>
      </w:r>
      <w:r w:rsidRPr="00F933AF">
        <w:rPr>
          <w:rFonts w:cs="Calibri"/>
          <w:u w:val="single"/>
        </w:rPr>
        <w:t>In successfully representing identities seeking to enter a body politic as constituting a potentially significant threat to the ‘moral economy’, it was relatively easy for legislators to point to the growing bands of unsightly, mutilated, urban mendicants</w:t>
      </w:r>
      <w:r w:rsidRPr="00F933AF">
        <w:rPr>
          <w:rFonts w:cs="Calibri"/>
          <w:sz w:val="12"/>
        </w:rPr>
        <w:t xml:space="preserve">, in order </w:t>
      </w:r>
      <w:r w:rsidRPr="00F933AF">
        <w:rPr>
          <w:rFonts w:cs="Calibri"/>
          <w:u w:val="single"/>
        </w:rPr>
        <w:t xml:space="preserve">to </w:t>
      </w:r>
      <w:r w:rsidRPr="00F933AF">
        <w:rPr>
          <w:rFonts w:cs="Calibri"/>
          <w:b/>
          <w:u w:val="single"/>
        </w:rPr>
        <w:t>legitimate</w:t>
      </w:r>
      <w:r w:rsidRPr="00F933AF">
        <w:rPr>
          <w:rFonts w:cs="Calibri"/>
          <w:sz w:val="12"/>
        </w:rPr>
        <w:t xml:space="preserve"> a policy of </w:t>
      </w:r>
      <w:r w:rsidRPr="00F933AF">
        <w:rPr>
          <w:rFonts w:cs="Calibri"/>
          <w:b/>
          <w:u w:val="single"/>
        </w:rPr>
        <w:t>deportation</w:t>
      </w:r>
      <w:r w:rsidRPr="00F933AF">
        <w:rPr>
          <w:rFonts w:cs="Calibri"/>
          <w:u w:val="single"/>
        </w:rPr>
        <w:t xml:space="preserve"> </w:t>
      </w:r>
      <w:r w:rsidRPr="00F933AF">
        <w:rPr>
          <w:rFonts w:cs="Calibri"/>
          <w:sz w:val="12"/>
        </w:rPr>
        <w:t xml:space="preserve">for those of similar embodied qualifications who presented themselves at the nation’s borders as candidates for citizenship. </w:t>
      </w:r>
      <w:r w:rsidRPr="00F933AF">
        <w:rPr>
          <w:rFonts w:cs="Calibri"/>
          <w:u w:val="single"/>
        </w:rPr>
        <w:t>The connection between criminality and disability was a central proposition of the ableist imaginary of the day. It was evident in the populist ‘pseudo-sciences’, including eugenics, physiognomy</w:t>
      </w:r>
      <w:r w:rsidRPr="00F933AF">
        <w:rPr>
          <w:rFonts w:cs="Calibri"/>
          <w:sz w:val="12"/>
        </w:rPr>
        <w:t xml:space="preserve"> and the new ‘scientific’ criminology promulgated by Lombroso (1835–1909). </w:t>
      </w:r>
      <w:r w:rsidRPr="00F933AF">
        <w:rPr>
          <w:rFonts w:cs="Calibri"/>
          <w:u w:val="single"/>
        </w:rPr>
        <w:t xml:space="preserve">These views suggested a </w:t>
      </w:r>
      <w:r w:rsidRPr="00F933AF">
        <w:rPr>
          <w:rFonts w:cs="Calibri"/>
          <w:b/>
          <w:u w:val="single"/>
        </w:rPr>
        <w:t>causal connection between deformity and criminality</w:t>
      </w:r>
      <w:r w:rsidRPr="00F933AF">
        <w:rPr>
          <w:rFonts w:cs="Calibri"/>
          <w:u w:val="single"/>
        </w:rPr>
        <w:t xml:space="preserve"> and between racial type and crooked character</w:t>
      </w:r>
      <w:r w:rsidRPr="00F933AF">
        <w:rPr>
          <w:rFonts w:cs="Calibri"/>
          <w:sz w:val="12"/>
        </w:rPr>
        <w:t xml:space="preserve">. The practice of medical examiners and Public Health Service officials at Ellis Island was strongly influenced by these contemporary ideas and they used them to identify and ‘isolate’ potentially degenerate and undesirable immigrants who would then be recommended for deportation (Dolmage 2014). Writing in 1905, Dr Allan McLaughlin of the US Public Health and Marine Hospital Service notes that he and his fellow officials at Ellis Island are practiced in the ‘arts’ of physiognomy: ‘The gait and general appearance suggest health or disease to the practiced eye, and aliens who do not appear normal are turned aside’. They were wise also to the 474 B. HUGHES legendry deceitfulness of disability: ‘The nonchalant individual with an overcoat on his arm is probably concealing an artificial arm; the child strapped to its mothers back, and who appears old enough to walk alone, may be unable to walk because of infantile paralysis’ (McLaughlin 1905, no page number). </w:t>
      </w:r>
      <w:r w:rsidRPr="00F933AF">
        <w:rPr>
          <w:rFonts w:cs="Calibri"/>
          <w:u w:val="single"/>
        </w:rPr>
        <w:t>The gaze is organised by pseudo-science to identify embodied signs of undesirability and to unmask its many disguises</w:t>
      </w:r>
      <w:r w:rsidRPr="00F933AF">
        <w:rPr>
          <w:rFonts w:cs="Calibri"/>
          <w:sz w:val="12"/>
        </w:rPr>
        <w:t xml:space="preserve">. Those not fit to contribute to the American dream are singled out and returned to their place of origin. As Ato Quayson (2007, 176) has argued, </w:t>
      </w:r>
      <w:r w:rsidRPr="00F933AF">
        <w:rPr>
          <w:rFonts w:cs="Calibri"/>
          <w:u w:val="single"/>
        </w:rPr>
        <w:t>representations of undesirability are fickle and eclectic, making brethren from</w:t>
      </w:r>
      <w:r w:rsidRPr="00F933AF">
        <w:rPr>
          <w:rFonts w:cs="Calibri"/>
          <w:sz w:val="12"/>
        </w:rPr>
        <w:t xml:space="preserve"> a number of, more or less, </w:t>
      </w:r>
      <w:r w:rsidRPr="00F933AF">
        <w:rPr>
          <w:rFonts w:cs="Calibri"/>
          <w:u w:val="single"/>
        </w:rPr>
        <w:t>nefarious moral characteristics including ‘illness, deformity, insanity and criminality’</w:t>
      </w:r>
      <w:r w:rsidRPr="00F933AF">
        <w:rPr>
          <w:rFonts w:cs="Calibri"/>
          <w:sz w:val="12"/>
        </w:rPr>
        <w:t xml:space="preserve">. Ethnicity is another marker of identity that is used to map an unstable ‘interface with otherness’ (2007, 52) that helps the racialised and ableist framework to add virtue to the reputation of dominant cultural groups. At ports of entry to the USA, the deeply held eugenic sensibilities of the day were drummed into the Public Health Service officials (Bateman-House and Fairchild 2008). This helped them to identify ‘degenerate identities’ and the intersecting scripts of abject subjects. </w:t>
      </w:r>
      <w:r w:rsidRPr="00F933AF">
        <w:rPr>
          <w:rFonts w:cs="Calibri"/>
          <w:u w:val="single"/>
        </w:rPr>
        <w:t>Public health discourse was alive to the threat of culturally strange ne’er-do-wells and the melting pot of undesirability that included not just criminals and disabled migrants but also people of colour</w:t>
      </w:r>
      <w:r w:rsidRPr="00F933AF">
        <w:rPr>
          <w:rFonts w:cs="Calibri"/>
          <w:sz w:val="12"/>
        </w:rPr>
        <w:t xml:space="preserve"> (Dolmage 2014; Snyder and Mitchell 2006). The cast of degeneracy conflated ‘feeblemindedness’ – a term invented in Ellis Island – with stereotypes of minority ethnic retardation. </w:t>
      </w:r>
      <w:r w:rsidRPr="00F933AF">
        <w:rPr>
          <w:rFonts w:cs="Calibri"/>
          <w:u w:val="single"/>
        </w:rPr>
        <w:t>Eugenics massaged the myth of an intersectional threat to the health and purity of the population:</w:t>
      </w:r>
      <w:r w:rsidRPr="00F933AF">
        <w:rPr>
          <w:rFonts w:cs="Calibri"/>
          <w:sz w:val="12"/>
        </w:rPr>
        <w:t xml:space="preserve"> ‘nonwhite races were routinely connected to people with disabilities, both of whom were depicted as evolutionary laggards or throwbacks’ (Baynton 2001, 36</w:t>
      </w:r>
      <w:r w:rsidRPr="00F933AF">
        <w:rPr>
          <w:rFonts w:cs="Calibri"/>
          <w:u w:val="single"/>
        </w:rPr>
        <w:t>). These groups – conflated beyond recognition into an undifferentiated identity of degeneracy – were consigned to the moral margins</w:t>
      </w:r>
      <w:r w:rsidRPr="00F933AF">
        <w:rPr>
          <w:rFonts w:cs="Calibri"/>
          <w:sz w:val="12"/>
        </w:rPr>
        <w:t xml:space="preserve">, helping simultaneously to sketch out both the vice of peripheral lives and the virtues of the normate core of citizenship and nationhood (Galusca 2009). Although often associated singularly with the irrationality of Nazism, eugenics was not only attractive to ‘racists and extremists’ but was ‘an implicit part of Western cultural assumptions’ (Marks 1999, 35). The movement attracted a widespread constituency and was deeply embedded in the scientific orthodoxy of the major Atlantic rim countries, where it became a ‘transnational ideology’ (Snyder and Mitchell 2006, 112–121) and a legitimate means of pointing the finger at the legions of ‘social detritus’ that impaired the route to a ‘better’ society and undermined the promise of progress. </w:t>
      </w:r>
      <w:r w:rsidRPr="00F933AF">
        <w:rPr>
          <w:rFonts w:cs="Calibri"/>
          <w:u w:val="single"/>
        </w:rPr>
        <w:t>Cleansed of the sources of moral degeneracy, society would be able to migrate towards a better tomorrow. Controlling ‘disability on the move’ was a central part of this transnational agenda</w:t>
      </w:r>
      <w:r w:rsidRPr="00F933AF">
        <w:rPr>
          <w:rFonts w:cs="Calibri"/>
          <w:sz w:val="12"/>
        </w:rPr>
        <w:t xml:space="preserve"> of which Ellis Island was a part. A similar logic of ableism and exclusion was applied to migrations internal to the USA – to, for example, the mass movement of people from the countryside to the growing industrial cities. Section 36034 of the Chicago Municipal Code – still in place until after the Second World War – read: DISABILITY &amp; SOCIETY 475 Any person who is diseased, maimed, mutilated or in any way deformed so as to be an unsightly or disgusting objects, or an improper person to be allowed in or on the streets, highways, thoroughfares or public spaces in this city, shall not therein or thereon expose himself to public view under the penalty of a fine of $1 for each offense. (Quoted in Schweik 2009, 1–2) Disability segregation was central to the ‘Ugly Laws’: laws that single out the same kind of ‘improper’ persons that were returned from Ellis Island to their homelands. They were ‘improper’ by virtue of being maimed, diseased or mutilated, ‘down-atheal’ beggars or putative criminals. It was assumed that they would constitute an economic cost. As Ellis Island officials put it, when invoking one of their categories for excluding candidates from entry they were ‘likely to become a public charge’ (Bateman-House and Fairchild 2008, 236). The same category was invoked in the twentieth century at the Mexican border to refuse entry to Latino migrants (Molina 2014, 91, 92). </w:t>
      </w:r>
      <w:r w:rsidRPr="00F933AF">
        <w:rPr>
          <w:rFonts w:cs="Calibri"/>
          <w:u w:val="single"/>
        </w:rPr>
        <w:t>Both disability and ethnicity were assumed to be potentially idle and burdensome and, therefore, not fit to contribute to American society</w:t>
      </w:r>
      <w:r w:rsidRPr="00F933AF">
        <w:rPr>
          <w:rFonts w:cs="Calibri"/>
          <w:sz w:val="12"/>
        </w:rPr>
        <w:t xml:space="preserve">. The idea that disabled people constituted a potential contaminant to the body politic is a theme that declined in importance when the Nazis gave eugenics a bad name in the middle of the twentieth century. Yet </w:t>
      </w:r>
      <w:r w:rsidRPr="00F933AF">
        <w:rPr>
          <w:rFonts w:cs="Calibri"/>
          <w:u w:val="single"/>
        </w:rPr>
        <w:t>the importance of the racist/ ableist doctrine of eugenics in the formation of ideals of US citizenship is central to the story of the policing of American immigration as well as its urban public spaces</w:t>
      </w:r>
      <w:r w:rsidRPr="00F933AF">
        <w:rPr>
          <w:rFonts w:cs="Calibri"/>
          <w:sz w:val="12"/>
        </w:rPr>
        <w:t>. The American dream is a dream of success and social mobility, but it is also based on an ‘imaginary nation’ of white, able-bodied citizens. The story of the policing and expulsion of disability at Ellis Island provides a case study of citizenship shaped by the intersection of discriminatory fantasies (Galusca 2009).</w:t>
      </w:r>
    </w:p>
    <w:p w:rsidR="00C10BAF" w:rsidRPr="00F933AF" w:rsidRDefault="00C10BAF" w:rsidP="00C10BAF">
      <w:pPr>
        <w:rPr>
          <w:rFonts w:cs="Calibri"/>
        </w:rPr>
      </w:pPr>
    </w:p>
    <w:p w:rsidR="00E5343F" w:rsidRPr="00F933AF" w:rsidRDefault="00E5343F" w:rsidP="00E5343F">
      <w:pPr>
        <w:rPr>
          <w:rFonts w:cs="Calibri"/>
        </w:rPr>
      </w:pPr>
    </w:p>
    <w:p w:rsidR="00E5343F" w:rsidRPr="00F933AF" w:rsidRDefault="00183BF2" w:rsidP="00EE31FC">
      <w:pPr>
        <w:pStyle w:val="Heading2"/>
      </w:pPr>
      <w:r>
        <w:t xml:space="preserve">AT: Util Good </w:t>
      </w:r>
    </w:p>
    <w:p w:rsidR="00E5343F" w:rsidRPr="00F933AF" w:rsidRDefault="00E5343F" w:rsidP="00E5343F">
      <w:pPr>
        <w:pStyle w:val="Heading4"/>
        <w:rPr>
          <w:rFonts w:cs="Calibri"/>
        </w:rPr>
      </w:pPr>
      <w:r w:rsidRPr="00F933AF">
        <w:rPr>
          <w:rFonts w:cs="Calibri"/>
        </w:rPr>
        <w:t xml:space="preserve">Utilitarian calculations are reductionist and rely on the medical model of disability to justify equitable distribution – this creates and justifies the ableist institutions that create and maintain the aff’s harms </w:t>
      </w:r>
    </w:p>
    <w:p w:rsidR="00E5343F" w:rsidRPr="00F933AF" w:rsidRDefault="00E5343F" w:rsidP="00E5343F">
      <w:pPr>
        <w:rPr>
          <w:rFonts w:cs="Calibri"/>
          <w:b/>
          <w:color w:val="000000" w:themeColor="text1"/>
          <w:sz w:val="16"/>
          <w:szCs w:val="16"/>
        </w:rPr>
      </w:pPr>
      <w:r w:rsidRPr="00F933AF">
        <w:rPr>
          <w:rStyle w:val="Style13ptBold"/>
          <w:rFonts w:cs="Calibri"/>
        </w:rPr>
        <w:t>Bickenbach 08</w:t>
      </w:r>
      <w:r w:rsidRPr="00F933AF">
        <w:rPr>
          <w:rStyle w:val="Style13ptBold"/>
          <w:rFonts w:cs="Calibri"/>
          <w:b w:val="0"/>
          <w:color w:val="000000" w:themeColor="text1"/>
          <w:sz w:val="16"/>
          <w:szCs w:val="16"/>
        </w:rPr>
        <w:t xml:space="preserve">, Jerome </w:t>
      </w:r>
      <w:r w:rsidRPr="00F933AF">
        <w:rPr>
          <w:rStyle w:val="Style13ptBold"/>
          <w:rFonts w:cs="Calibri"/>
          <w:color w:val="000000" w:themeColor="text1"/>
          <w:sz w:val="16"/>
          <w:szCs w:val="16"/>
        </w:rPr>
        <w:t xml:space="preserve">- </w:t>
      </w:r>
      <w:r w:rsidRPr="00F933AF">
        <w:rPr>
          <w:rFonts w:cs="Calibri"/>
          <w:color w:val="000000" w:themeColor="text1"/>
          <w:sz w:val="16"/>
          <w:szCs w:val="16"/>
          <w:shd w:val="clear" w:color="auto" w:fill="FFFFFF"/>
        </w:rPr>
        <w:t>Emeritus Professor and Queen's Research Chair. B.A. (San Jose), M.A., Ph.D. (Alberta), LLB (Toronto). Specialization: Bio-Ethics, Philosophy of Law, Disability Studies</w:t>
      </w:r>
      <w:r w:rsidRPr="00F933AF">
        <w:rPr>
          <w:rFonts w:cs="Calibri"/>
          <w:b/>
          <w:color w:val="000000" w:themeColor="text1"/>
          <w:sz w:val="16"/>
          <w:szCs w:val="16"/>
        </w:rPr>
        <w:t xml:space="preserve"> </w:t>
      </w:r>
      <w:r w:rsidRPr="00F933AF">
        <w:rPr>
          <w:rStyle w:val="Style13ptBold"/>
          <w:rFonts w:cs="Calibri"/>
          <w:b w:val="0"/>
          <w:color w:val="000000" w:themeColor="text1"/>
          <w:sz w:val="16"/>
          <w:szCs w:val="16"/>
        </w:rPr>
        <w:t xml:space="preserve"> “Mark S. Stein, Distributive Justice and Disability: Utilitarianism against Egalitarianism Social Theory and Practice vol. 34 no. 2 2008 p.300+ Expanded Academic </w:t>
      </w:r>
      <w:r w:rsidRPr="00F933AF">
        <w:rPr>
          <w:rFonts w:cs="Calibri"/>
          <w:color w:val="000000" w:themeColor="text1"/>
          <w:sz w:val="16"/>
          <w:szCs w:val="16"/>
        </w:rPr>
        <w:t>//mr</w:t>
      </w:r>
    </w:p>
    <w:p w:rsidR="00E5343F" w:rsidRPr="00F933AF" w:rsidRDefault="00E5343F" w:rsidP="00E5343F">
      <w:pPr>
        <w:shd w:val="clear" w:color="auto" w:fill="FFFFFF"/>
        <w:spacing w:before="100" w:beforeAutospacing="1" w:after="100" w:afterAutospacing="1"/>
        <w:rPr>
          <w:rFonts w:cs="Calibri"/>
          <w:color w:val="000000" w:themeColor="text1"/>
          <w:sz w:val="16"/>
          <w:szCs w:val="21"/>
        </w:rPr>
      </w:pPr>
      <w:r w:rsidRPr="00F933AF">
        <w:rPr>
          <w:rFonts w:cs="Calibri"/>
          <w:color w:val="000000" w:themeColor="text1"/>
          <w:sz w:val="16"/>
          <w:szCs w:val="21"/>
        </w:rPr>
        <w:t xml:space="preserve">At the end of the day, I want to suggest, </w:t>
      </w:r>
      <w:r w:rsidRPr="00F933AF">
        <w:rPr>
          <w:rFonts w:cs="Calibri"/>
          <w:color w:val="000000" w:themeColor="text1"/>
          <w:sz w:val="21"/>
          <w:szCs w:val="21"/>
          <w:u w:val="single"/>
        </w:rPr>
        <w:t>Stein has made his life much easier by systematically mischaracterizing</w:t>
      </w:r>
      <w:r w:rsidRPr="00F933AF">
        <w:rPr>
          <w:rFonts w:cs="Calibri"/>
          <w:color w:val="000000" w:themeColor="text1"/>
          <w:sz w:val="16"/>
          <w:szCs w:val="21"/>
        </w:rPr>
        <w:t xml:space="preserve"> the domain he focuses on, namely, </w:t>
      </w:r>
      <w:r w:rsidRPr="00F933AF">
        <w:rPr>
          <w:rFonts w:cs="Calibri"/>
          <w:color w:val="000000" w:themeColor="text1"/>
          <w:sz w:val="21"/>
          <w:szCs w:val="21"/>
          <w:u w:val="single"/>
        </w:rPr>
        <w:t>disability</w:t>
      </w:r>
      <w:r w:rsidRPr="00F933AF">
        <w:rPr>
          <w:rFonts w:cs="Calibri"/>
          <w:color w:val="000000" w:themeColor="text1"/>
          <w:sz w:val="16"/>
          <w:szCs w:val="21"/>
        </w:rPr>
        <w:t xml:space="preserve">. </w:t>
      </w:r>
      <w:r w:rsidRPr="00F933AF">
        <w:rPr>
          <w:rFonts w:cs="Calibri"/>
          <w:color w:val="000000" w:themeColor="text1"/>
          <w:sz w:val="21"/>
          <w:szCs w:val="21"/>
          <w:u w:val="single"/>
        </w:rPr>
        <w:t>He begins and ends with a conceptually anemic understanding of</w:t>
      </w:r>
      <w:r w:rsidRPr="00F933AF">
        <w:rPr>
          <w:rFonts w:cs="Calibri"/>
          <w:color w:val="000000" w:themeColor="text1"/>
          <w:sz w:val="16"/>
          <w:szCs w:val="21"/>
        </w:rPr>
        <w:t xml:space="preserve"> the concept of </w:t>
      </w:r>
      <w:r w:rsidRPr="00F933AF">
        <w:rPr>
          <w:rFonts w:cs="Calibri"/>
          <w:color w:val="000000" w:themeColor="text1"/>
          <w:sz w:val="21"/>
          <w:szCs w:val="21"/>
          <w:u w:val="single"/>
        </w:rPr>
        <w:t>disability that distorts both the logic of the notion and the lived experience of people with disabilities.</w:t>
      </w:r>
      <w:r w:rsidRPr="00F933AF">
        <w:rPr>
          <w:rFonts w:cs="Calibri"/>
          <w:color w:val="000000" w:themeColor="text1"/>
          <w:sz w:val="16"/>
          <w:szCs w:val="21"/>
        </w:rPr>
        <w:t xml:space="preserve"> In effect, </w:t>
      </w:r>
      <w:r w:rsidRPr="00F933AF">
        <w:rPr>
          <w:rFonts w:cs="Calibri"/>
          <w:color w:val="000000" w:themeColor="text1"/>
          <w:sz w:val="21"/>
          <w:szCs w:val="21"/>
          <w:u w:val="single"/>
        </w:rPr>
        <w:t>he is guilty of submerging the individual into disability, assuming that all questions of welfare can be answered once we have a good grasp of the person's health-resources requirements</w:t>
      </w:r>
      <w:r w:rsidRPr="00F933AF">
        <w:rPr>
          <w:rFonts w:cs="Calibri"/>
          <w:color w:val="000000" w:themeColor="text1"/>
          <w:sz w:val="16"/>
          <w:szCs w:val="21"/>
        </w:rPr>
        <w:t xml:space="preserve">. He is hardly alone in this, but in his case </w:t>
      </w:r>
      <w:r w:rsidRPr="00F933AF">
        <w:rPr>
          <w:rFonts w:cs="Calibri"/>
          <w:color w:val="000000" w:themeColor="text1"/>
          <w:sz w:val="21"/>
          <w:szCs w:val="21"/>
          <w:u w:val="single"/>
        </w:rPr>
        <w:t>the misconceptions make</w:t>
      </w:r>
      <w:r w:rsidRPr="00F933AF">
        <w:rPr>
          <w:rFonts w:cs="Calibri"/>
          <w:color w:val="000000" w:themeColor="text1"/>
          <w:sz w:val="16"/>
          <w:szCs w:val="21"/>
        </w:rPr>
        <w:t xml:space="preserve"> the enterprise of a head-to-head contrast between utilitarianism and (resource and welfare) egalitarianism far </w:t>
      </w:r>
      <w:r w:rsidRPr="00F933AF">
        <w:rPr>
          <w:rFonts w:cs="Calibri"/>
          <w:color w:val="000000" w:themeColor="text1"/>
          <w:sz w:val="21"/>
          <w:szCs w:val="21"/>
          <w:u w:val="single"/>
        </w:rPr>
        <w:t>less certain of a positive outcome for utilitarianism.</w:t>
      </w:r>
      <w:r w:rsidRPr="00F933AF">
        <w:rPr>
          <w:rFonts w:cs="Calibri"/>
          <w:color w:val="000000" w:themeColor="text1"/>
          <w:sz w:val="16"/>
          <w:szCs w:val="21"/>
        </w:rPr>
        <w:t xml:space="preserve"> 2. </w:t>
      </w:r>
      <w:r w:rsidRPr="00F933AF">
        <w:rPr>
          <w:rFonts w:cs="Calibri"/>
          <w:color w:val="000000" w:themeColor="text1"/>
          <w:sz w:val="21"/>
          <w:szCs w:val="21"/>
          <w:u w:val="single"/>
        </w:rPr>
        <w:t>Stein defines</w:t>
      </w:r>
      <w:r w:rsidRPr="00F933AF">
        <w:rPr>
          <w:rFonts w:cs="Calibri"/>
          <w:color w:val="000000" w:themeColor="text1"/>
          <w:sz w:val="16"/>
          <w:szCs w:val="21"/>
        </w:rPr>
        <w:t xml:space="preserve"> disabilities as "health-related conditions that might be expected to reduce welfare" (22). The fact that defining</w:t>
      </w:r>
      <w:r w:rsidRPr="00F933AF">
        <w:rPr>
          <w:rFonts w:cs="Calibri"/>
          <w:color w:val="000000" w:themeColor="text1"/>
          <w:sz w:val="21"/>
          <w:szCs w:val="21"/>
          <w:u w:val="single"/>
        </w:rPr>
        <w:t xml:space="preserve"> disability in terms of welfare reduction</w:t>
      </w:r>
      <w:r w:rsidRPr="00F933AF">
        <w:rPr>
          <w:rFonts w:cs="Calibri"/>
          <w:color w:val="000000" w:themeColor="text1"/>
          <w:sz w:val="16"/>
          <w:szCs w:val="21"/>
        </w:rPr>
        <w:t xml:space="preserve"> threatens to make resource egalitarianism implausible ab initio is an obvious but relatively minor problem. More importantly, </w:t>
      </w:r>
      <w:r w:rsidRPr="00F933AF">
        <w:rPr>
          <w:rFonts w:cs="Calibri"/>
          <w:b/>
          <w:color w:val="000000" w:themeColor="text1"/>
          <w:sz w:val="21"/>
          <w:szCs w:val="21"/>
          <w:u w:val="single"/>
        </w:rPr>
        <w:t>"disability" is a far more complex notion, and at best Stein is capturing one component of it, which goes by the name of "impairment."</w:t>
      </w:r>
      <w:r w:rsidRPr="00F933AF">
        <w:rPr>
          <w:rFonts w:cs="Calibri"/>
          <w:color w:val="000000" w:themeColor="text1"/>
          <w:sz w:val="16"/>
          <w:szCs w:val="21"/>
        </w:rPr>
        <w:t xml:space="preserve"> As Stein's other work shows, he is perfectly aware that </w:t>
      </w:r>
      <w:r w:rsidRPr="00F933AF">
        <w:rPr>
          <w:rFonts w:cs="Calibri"/>
          <w:color w:val="000000" w:themeColor="text1"/>
          <w:sz w:val="21"/>
          <w:szCs w:val="21"/>
          <w:u w:val="single"/>
        </w:rPr>
        <w:t>disability is</w:t>
      </w:r>
      <w:r w:rsidRPr="00F933AF">
        <w:rPr>
          <w:rFonts w:cs="Calibri"/>
          <w:color w:val="000000" w:themeColor="text1"/>
          <w:sz w:val="16"/>
          <w:szCs w:val="21"/>
        </w:rPr>
        <w:t xml:space="preserve"> more accurately conceptualized as </w:t>
      </w:r>
      <w:r w:rsidRPr="00F933AF">
        <w:rPr>
          <w:rFonts w:cs="Calibri"/>
          <w:color w:val="000000" w:themeColor="text1"/>
          <w:sz w:val="21"/>
          <w:szCs w:val="21"/>
          <w:u w:val="single"/>
        </w:rPr>
        <w:t>a multidimensional concept representing the outcome of interactions between impairments and health conditions,</w:t>
      </w:r>
      <w:r w:rsidRPr="00F933AF">
        <w:rPr>
          <w:rFonts w:cs="Calibri"/>
          <w:color w:val="000000" w:themeColor="text1"/>
          <w:sz w:val="16"/>
          <w:szCs w:val="21"/>
        </w:rPr>
        <w:t xml:space="preserve"> on the one hand, </w:t>
      </w:r>
      <w:r w:rsidRPr="00F933AF">
        <w:rPr>
          <w:rFonts w:cs="Calibri"/>
          <w:color w:val="000000" w:themeColor="text1"/>
          <w:sz w:val="21"/>
          <w:szCs w:val="21"/>
          <w:u w:val="single"/>
        </w:rPr>
        <w:t xml:space="preserve">and </w:t>
      </w:r>
      <w:r w:rsidRPr="00F933AF">
        <w:rPr>
          <w:rFonts w:cs="Calibri"/>
          <w:b/>
          <w:color w:val="000000" w:themeColor="text1"/>
          <w:sz w:val="21"/>
          <w:szCs w:val="21"/>
          <w:u w:val="single"/>
        </w:rPr>
        <w:t>a person's physical, attitudinal, and social environment</w:t>
      </w:r>
      <w:r w:rsidRPr="00F933AF">
        <w:rPr>
          <w:rFonts w:cs="Calibri"/>
          <w:color w:val="000000" w:themeColor="text1"/>
          <w:sz w:val="21"/>
          <w:szCs w:val="21"/>
          <w:u w:val="single"/>
        </w:rPr>
        <w:t xml:space="preserve"> on the other.</w:t>
      </w:r>
      <w:r w:rsidRPr="00F933AF">
        <w:rPr>
          <w:rFonts w:cs="Calibri"/>
          <w:color w:val="000000" w:themeColor="text1"/>
          <w:sz w:val="16"/>
          <w:szCs w:val="21"/>
        </w:rPr>
        <w:t xml:space="preserve"> By far the clearest, not to mention empirically tested, description of this model of disability can be found in the World Health Organization's International Classification of Functioning, Disability and Health, or ICF. (1) (From now on I will depart from Stein's usage and call the functional or health component "impairment" and the overall, interactive outcome "disability.") On this more robust, and considerably more plausible, understanding of disability, </w:t>
      </w:r>
      <w:r w:rsidRPr="00F933AF">
        <w:rPr>
          <w:rFonts w:cs="Calibri"/>
          <w:color w:val="000000" w:themeColor="text1"/>
          <w:sz w:val="21"/>
          <w:szCs w:val="21"/>
          <w:u w:val="single"/>
        </w:rPr>
        <w:t xml:space="preserve">the phenomenon is linked with a wide range of disadvantages, </w:t>
      </w:r>
      <w:r w:rsidRPr="00F933AF">
        <w:rPr>
          <w:rFonts w:cs="Calibri"/>
          <w:color w:val="000000" w:themeColor="text1"/>
          <w:sz w:val="16"/>
          <w:szCs w:val="21"/>
        </w:rPr>
        <w:t xml:space="preserve">only some of which have anything to do with the underlying impairment. As advocates for persons with disabilities have insisted for decades, </w:t>
      </w:r>
      <w:r w:rsidRPr="00F933AF">
        <w:rPr>
          <w:rFonts w:cs="Calibri"/>
          <w:b/>
          <w:color w:val="000000" w:themeColor="text1"/>
          <w:sz w:val="21"/>
          <w:szCs w:val="21"/>
          <w:u w:val="single"/>
        </w:rPr>
        <w:t>the bulk of what makes disability disadvantageous is produced by social attitudes that stigmatize and exclude, the built environment that restricts access to public places</w:t>
      </w:r>
      <w:r w:rsidRPr="00F933AF">
        <w:rPr>
          <w:rFonts w:cs="Calibri"/>
          <w:color w:val="000000" w:themeColor="text1"/>
          <w:sz w:val="21"/>
          <w:szCs w:val="21"/>
          <w:u w:val="single"/>
        </w:rPr>
        <w:t>, schools, and worksites, and social policies that ignore the real need for social inclusion</w:t>
      </w:r>
      <w:r w:rsidRPr="00F933AF">
        <w:rPr>
          <w:rFonts w:cs="Calibri"/>
          <w:color w:val="000000" w:themeColor="text1"/>
          <w:sz w:val="16"/>
          <w:szCs w:val="21"/>
        </w:rPr>
        <w:t xml:space="preserve"> and genuine participation in all aspects of society. </w:t>
      </w:r>
      <w:r w:rsidRPr="00F933AF">
        <w:rPr>
          <w:rFonts w:cs="Calibri"/>
          <w:color w:val="000000" w:themeColor="text1"/>
          <w:sz w:val="21"/>
          <w:szCs w:val="21"/>
          <w:u w:val="single"/>
        </w:rPr>
        <w:t xml:space="preserve">These disadvantages undoubtedly reduce a person's subjective well-being or welfare, but </w:t>
      </w:r>
      <w:r w:rsidRPr="00F933AF">
        <w:rPr>
          <w:rFonts w:cs="Calibri"/>
          <w:b/>
          <w:color w:val="000000" w:themeColor="text1"/>
          <w:sz w:val="21"/>
          <w:szCs w:val="21"/>
          <w:u w:val="single"/>
        </w:rPr>
        <w:t>medical resources are not going to improve things much</w:t>
      </w:r>
      <w:r w:rsidRPr="00F933AF">
        <w:rPr>
          <w:rFonts w:cs="Calibri"/>
          <w:color w:val="000000" w:themeColor="text1"/>
          <w:sz w:val="16"/>
          <w:szCs w:val="21"/>
        </w:rPr>
        <w:t xml:space="preserve">. People with disabilities are a diverse group, especially if, as is done in the ICF, </w:t>
      </w:r>
      <w:r w:rsidRPr="00F933AF">
        <w:rPr>
          <w:rFonts w:cs="Calibri"/>
          <w:color w:val="000000" w:themeColor="text1"/>
          <w:sz w:val="21"/>
          <w:szCs w:val="21"/>
          <w:u w:val="single"/>
        </w:rPr>
        <w:t>impairment is understood continuously rather than dichotomously. If we understand impairment as a functional decrement in some part of the body</w:t>
      </w:r>
      <w:r w:rsidRPr="00F933AF">
        <w:rPr>
          <w:rFonts w:cs="Calibri"/>
          <w:color w:val="000000" w:themeColor="text1"/>
          <w:sz w:val="16"/>
          <w:szCs w:val="21"/>
        </w:rPr>
        <w:t xml:space="preserve">, and one that ranges from mild to severe, then, epidemiologically speaking, </w:t>
      </w:r>
      <w:r w:rsidRPr="00F933AF">
        <w:rPr>
          <w:rFonts w:cs="Calibri"/>
          <w:color w:val="000000" w:themeColor="text1"/>
          <w:sz w:val="21"/>
          <w:szCs w:val="21"/>
          <w:u w:val="single"/>
        </w:rPr>
        <w:t xml:space="preserve">everyone has impairments </w:t>
      </w:r>
      <w:r w:rsidRPr="00F933AF">
        <w:rPr>
          <w:rFonts w:cs="Calibri"/>
          <w:color w:val="000000" w:themeColor="text1"/>
          <w:sz w:val="16"/>
          <w:szCs w:val="21"/>
        </w:rPr>
        <w:t xml:space="preserve">(or will have). </w:t>
      </w:r>
      <w:r w:rsidRPr="00F933AF">
        <w:rPr>
          <w:rFonts w:cs="Calibri"/>
          <w:color w:val="000000" w:themeColor="text1"/>
          <w:sz w:val="21"/>
          <w:szCs w:val="21"/>
          <w:u w:val="single"/>
        </w:rPr>
        <w:t>Some impairments certainly incur excessive medical</w:t>
      </w:r>
      <w:r w:rsidRPr="00F933AF">
        <w:rPr>
          <w:rFonts w:cs="Calibri"/>
          <w:color w:val="000000" w:themeColor="text1"/>
          <w:sz w:val="16"/>
          <w:szCs w:val="21"/>
        </w:rPr>
        <w:t xml:space="preserve">, or more broadly, health, </w:t>
      </w:r>
      <w:r w:rsidRPr="00F933AF">
        <w:rPr>
          <w:rFonts w:cs="Calibri"/>
          <w:color w:val="000000" w:themeColor="text1"/>
          <w:sz w:val="21"/>
          <w:szCs w:val="21"/>
          <w:u w:val="single"/>
        </w:rPr>
        <w:t>expenses</w:t>
      </w:r>
      <w:r w:rsidRPr="00F933AF">
        <w:rPr>
          <w:rFonts w:cs="Calibri"/>
          <w:color w:val="000000" w:themeColor="text1"/>
          <w:sz w:val="16"/>
          <w:szCs w:val="21"/>
        </w:rPr>
        <w:t xml:space="preserve">. These are usually associated with acute rather than chronic health states. Other impairments incur no special health costs whatsoever. A person who is congenitally blind will likely have no more need of health resources than anyone else. Although small-scale studies for specific impairments have suggested higher usage of the health care system, we simply have no evidence that this is true, across the full range of impairments. Assuming that this is true is convenient for Stein, but it still lacks any empirical substantiation. But the significant point here is that </w:t>
      </w:r>
      <w:r w:rsidRPr="00F933AF">
        <w:rPr>
          <w:rFonts w:cs="Calibri"/>
          <w:b/>
          <w:color w:val="000000" w:themeColor="text1"/>
          <w:sz w:val="21"/>
          <w:szCs w:val="21"/>
          <w:u w:val="single"/>
        </w:rPr>
        <w:t>the lived experience of having an impairment--the state of being disabled--is primarily burdened by a wide range of disadvantages that are caused by the physical and social environment, not the impairment.</w:t>
      </w:r>
      <w:r w:rsidRPr="00F933AF">
        <w:rPr>
          <w:rFonts w:cs="Calibri"/>
          <w:color w:val="000000" w:themeColor="text1"/>
          <w:sz w:val="16"/>
          <w:szCs w:val="21"/>
        </w:rPr>
        <w:t xml:space="preserve"> So, the first problem with </w:t>
      </w:r>
      <w:r w:rsidRPr="00F933AF">
        <w:rPr>
          <w:rFonts w:cs="Calibri"/>
          <w:color w:val="000000" w:themeColor="text1"/>
          <w:sz w:val="21"/>
          <w:szCs w:val="21"/>
          <w:u w:val="single"/>
        </w:rPr>
        <w:t>Stein's characterization of disability is that it focuses entirely on</w:t>
      </w:r>
      <w:r w:rsidRPr="00F933AF">
        <w:rPr>
          <w:rFonts w:cs="Calibri"/>
          <w:color w:val="000000" w:themeColor="text1"/>
          <w:sz w:val="16"/>
          <w:szCs w:val="21"/>
        </w:rPr>
        <w:t xml:space="preserve"> the distribution of health resources, when such a </w:t>
      </w:r>
      <w:r w:rsidRPr="00F933AF">
        <w:rPr>
          <w:rFonts w:cs="Calibri"/>
          <w:color w:val="000000" w:themeColor="text1"/>
          <w:sz w:val="21"/>
          <w:szCs w:val="21"/>
          <w:u w:val="single"/>
        </w:rPr>
        <w:t>redistribution</w:t>
      </w:r>
      <w:r w:rsidRPr="00F933AF">
        <w:rPr>
          <w:rFonts w:cs="Calibri"/>
          <w:color w:val="000000" w:themeColor="text1"/>
          <w:sz w:val="16"/>
          <w:szCs w:val="21"/>
        </w:rPr>
        <w:t xml:space="preserve">, although beneficial to people with impairments (as it would be for everyone) </w:t>
      </w:r>
      <w:r w:rsidRPr="00F933AF">
        <w:rPr>
          <w:rFonts w:cs="Calibri"/>
          <w:b/>
          <w:color w:val="000000" w:themeColor="text1"/>
          <w:sz w:val="21"/>
          <w:szCs w:val="21"/>
          <w:u w:val="single"/>
        </w:rPr>
        <w:t xml:space="preserve">would not deal with the true injustice of disability, namely, social exclusion and </w:t>
      </w:r>
      <w:hyperlink r:id="rId175" w:tooltip="Related articles for'Discrimination'" w:history="1">
        <w:r w:rsidRPr="00F933AF">
          <w:rPr>
            <w:rFonts w:cs="Calibri"/>
            <w:b/>
            <w:color w:val="000000" w:themeColor="text1"/>
            <w:sz w:val="21"/>
            <w:szCs w:val="21"/>
            <w:u w:val="single"/>
          </w:rPr>
          <w:t>discrimination</w:t>
        </w:r>
      </w:hyperlink>
      <w:r w:rsidRPr="00F933AF">
        <w:rPr>
          <w:rFonts w:cs="Calibri"/>
          <w:color w:val="000000" w:themeColor="text1"/>
          <w:sz w:val="16"/>
          <w:szCs w:val="21"/>
        </w:rPr>
        <w:t xml:space="preserve">. Ever on the ball, Stein recognizes and concedes this point (37), but in the end thinks it does not matter. "The key point is that welfare has been reduced, whether by disability or by social treatment, and that welfare can accordingly be increased by various forms of assistance." But throughout his book, Stein only speaks of the provision of health resources, relying on the intuitive plausibility of the claim that as a class, people with impairments will benefit more from the allocation of health care resources than the class of people without impairments. But </w:t>
      </w:r>
      <w:r w:rsidRPr="00F933AF">
        <w:rPr>
          <w:rFonts w:cs="Calibri"/>
          <w:color w:val="000000" w:themeColor="text1"/>
          <w:sz w:val="21"/>
          <w:szCs w:val="21"/>
          <w:u w:val="single"/>
        </w:rPr>
        <w:t>would not people with disabilities benefit more from the allocation of resources that address the disadvantages of disability than those without disabilities?</w:t>
      </w:r>
      <w:r w:rsidRPr="00F933AF">
        <w:rPr>
          <w:rFonts w:cs="Calibri"/>
          <w:color w:val="000000" w:themeColor="text1"/>
          <w:sz w:val="16"/>
          <w:szCs w:val="21"/>
        </w:rPr>
        <w:t xml:space="preserve"> More specifically, would people in wheelchairs benefit more from ramps than those not in wheelchairs; would people who are deaf benefit more from sign-language interpreters than those who are not deaf; and </w:t>
      </w:r>
      <w:r w:rsidRPr="00F933AF">
        <w:rPr>
          <w:rFonts w:cs="Calibri"/>
          <w:color w:val="000000" w:themeColor="text1"/>
          <w:sz w:val="21"/>
          <w:szCs w:val="21"/>
          <w:u w:val="single"/>
        </w:rPr>
        <w:t>would fully qualified disabled people denied employment because of irrational stigma benefit from antidiscrimination law more than those who are not in that situation? Well, obviously</w:t>
      </w:r>
      <w:r w:rsidRPr="00F933AF">
        <w:rPr>
          <w:rFonts w:cs="Calibri"/>
          <w:color w:val="000000" w:themeColor="text1"/>
          <w:sz w:val="16"/>
          <w:szCs w:val="21"/>
        </w:rPr>
        <w:t>. 3. Prima facie, then</w:t>
      </w:r>
      <w:r w:rsidRPr="00F933AF">
        <w:rPr>
          <w:rFonts w:cs="Calibri"/>
          <w:color w:val="000000" w:themeColor="text1"/>
          <w:sz w:val="21"/>
          <w:szCs w:val="21"/>
          <w:u w:val="single"/>
        </w:rPr>
        <w:t>, there is a glaring problem in</w:t>
      </w:r>
      <w:r w:rsidRPr="00F933AF">
        <w:rPr>
          <w:rFonts w:cs="Calibri"/>
          <w:color w:val="000000" w:themeColor="text1"/>
          <w:sz w:val="16"/>
          <w:szCs w:val="21"/>
        </w:rPr>
        <w:t xml:space="preserve"> Stein's case for </w:t>
      </w:r>
      <w:r w:rsidRPr="00F933AF">
        <w:rPr>
          <w:rFonts w:cs="Calibri"/>
          <w:color w:val="000000" w:themeColor="text1"/>
          <w:sz w:val="21"/>
          <w:szCs w:val="21"/>
          <w:u w:val="single"/>
        </w:rPr>
        <w:t>utilitarianism</w:t>
      </w:r>
      <w:r w:rsidRPr="00F933AF">
        <w:rPr>
          <w:rFonts w:cs="Calibri"/>
          <w:color w:val="000000" w:themeColor="text1"/>
          <w:sz w:val="16"/>
          <w:szCs w:val="21"/>
        </w:rPr>
        <w:t xml:space="preserve">. He fundamentally misconstrues the sources of the welfare deficit that people with disabilities, as a class, experience. </w:t>
      </w:r>
      <w:r w:rsidRPr="00F933AF">
        <w:rPr>
          <w:rFonts w:cs="Calibri"/>
          <w:color w:val="000000" w:themeColor="text1"/>
          <w:sz w:val="21"/>
          <w:szCs w:val="21"/>
          <w:u w:val="single"/>
        </w:rPr>
        <w:t>Which</w:t>
      </w:r>
      <w:r w:rsidRPr="00F933AF">
        <w:rPr>
          <w:rFonts w:cs="Calibri"/>
          <w:color w:val="000000" w:themeColor="text1"/>
          <w:sz w:val="16"/>
          <w:szCs w:val="21"/>
        </w:rPr>
        <w:t xml:space="preserve">, then, </w:t>
      </w:r>
      <w:r w:rsidRPr="00F933AF">
        <w:rPr>
          <w:rFonts w:cs="Calibri"/>
          <w:color w:val="000000" w:themeColor="text1"/>
          <w:sz w:val="21"/>
          <w:szCs w:val="21"/>
          <w:u w:val="single"/>
        </w:rPr>
        <w:t>is greater: the welfare deficit from lack of medical resources to deal with impairments, or that from the lack of other social resources to deal with disabilities?</w:t>
      </w:r>
      <w:r w:rsidRPr="00F933AF">
        <w:rPr>
          <w:rFonts w:cs="Calibri"/>
          <w:color w:val="000000" w:themeColor="text1"/>
          <w:sz w:val="16"/>
          <w:szCs w:val="21"/>
        </w:rPr>
        <w:t xml:space="preserve"> We can speculate, but again we have no hard evidence. Whatever the answer, though, </w:t>
      </w:r>
      <w:r w:rsidRPr="00F933AF">
        <w:rPr>
          <w:rFonts w:cs="Calibri"/>
          <w:b/>
          <w:color w:val="000000" w:themeColor="text1"/>
          <w:sz w:val="21"/>
          <w:szCs w:val="21"/>
          <w:u w:val="single"/>
        </w:rPr>
        <w:t>there is little doubt that a plausible utilitarian account needs to go far beyond health-resource redistribution if it plans to take disability seriously for distributive justice</w:t>
      </w:r>
      <w:r w:rsidRPr="00F933AF">
        <w:rPr>
          <w:rFonts w:cs="Calibri"/>
          <w:b/>
          <w:color w:val="000000" w:themeColor="text1"/>
          <w:sz w:val="16"/>
          <w:szCs w:val="21"/>
        </w:rPr>
        <w:t>.</w:t>
      </w:r>
      <w:r w:rsidRPr="00F933AF">
        <w:rPr>
          <w:rFonts w:cs="Calibri"/>
          <w:color w:val="000000" w:themeColor="text1"/>
          <w:sz w:val="16"/>
          <w:szCs w:val="21"/>
        </w:rPr>
        <w:t xml:space="preserve"> </w:t>
      </w:r>
    </w:p>
    <w:p w:rsidR="00E5343F" w:rsidRPr="00F933AF" w:rsidRDefault="00E5343F" w:rsidP="00E5343F">
      <w:pPr>
        <w:pStyle w:val="Heading4"/>
        <w:rPr>
          <w:rStyle w:val="Style13ptBold"/>
          <w:rFonts w:cs="Calibri"/>
          <w:b/>
        </w:rPr>
      </w:pPr>
      <w:r w:rsidRPr="00F933AF">
        <w:rPr>
          <w:rStyle w:val="Style13ptBold"/>
          <w:rFonts w:cs="Calibri"/>
          <w:b/>
        </w:rPr>
        <w:t xml:space="preserve">Utilitarian logics justifies the logic of eugenics – those who are deemed disabled aren’t taken into account by utilitarian authors </w:t>
      </w:r>
    </w:p>
    <w:p w:rsidR="00E5343F" w:rsidRPr="00F933AF" w:rsidRDefault="00E5343F" w:rsidP="00E5343F">
      <w:pPr>
        <w:rPr>
          <w:rFonts w:cs="Calibri"/>
          <w:color w:val="000000" w:themeColor="text1"/>
          <w:sz w:val="16"/>
          <w:szCs w:val="16"/>
        </w:rPr>
      </w:pPr>
      <w:r w:rsidRPr="00F933AF">
        <w:rPr>
          <w:rStyle w:val="Style13ptBold"/>
          <w:rFonts w:cs="Calibri"/>
        </w:rPr>
        <w:t>Stonestreet 17</w:t>
      </w:r>
      <w:r w:rsidRPr="00F933AF">
        <w:rPr>
          <w:rStyle w:val="Style13ptBold"/>
          <w:rFonts w:cs="Calibri"/>
          <w:b w:val="0"/>
          <w:color w:val="000000" w:themeColor="text1"/>
          <w:sz w:val="16"/>
          <w:szCs w:val="16"/>
        </w:rPr>
        <w:t>, John</w:t>
      </w:r>
      <w:r w:rsidRPr="00F933AF">
        <w:rPr>
          <w:rStyle w:val="Style13ptBold"/>
          <w:rFonts w:cs="Calibri"/>
          <w:color w:val="000000" w:themeColor="text1"/>
          <w:sz w:val="16"/>
          <w:szCs w:val="16"/>
        </w:rPr>
        <w:t xml:space="preserve"> - </w:t>
      </w:r>
      <w:r w:rsidRPr="00F933AF">
        <w:rPr>
          <w:rFonts w:cs="Calibri"/>
          <w:color w:val="000000" w:themeColor="text1"/>
          <w:sz w:val="16"/>
          <w:szCs w:val="16"/>
          <w:shd w:val="clear" w:color="auto" w:fill="FFFFFF"/>
        </w:rPr>
        <w:t xml:space="preserve">President of The Chuck Colson Center for Christian Worldview and BreakPoint co-host. </w:t>
      </w:r>
      <w:r w:rsidRPr="00F933AF">
        <w:rPr>
          <w:rFonts w:cs="Calibri"/>
          <w:color w:val="000000" w:themeColor="text1"/>
          <w:sz w:val="16"/>
          <w:szCs w:val="16"/>
        </w:rPr>
        <w:t>“The High Price of Utilitarian Thinking: Bad Ideas Have Victims” 19</w:t>
      </w:r>
      <w:r w:rsidRPr="00F933AF">
        <w:rPr>
          <w:rFonts w:cs="Calibri"/>
          <w:color w:val="000000" w:themeColor="text1"/>
          <w:sz w:val="16"/>
          <w:szCs w:val="16"/>
          <w:vertAlign w:val="superscript"/>
        </w:rPr>
        <w:t>th</w:t>
      </w:r>
      <w:r w:rsidRPr="00F933AF">
        <w:rPr>
          <w:rFonts w:cs="Calibri"/>
          <w:color w:val="000000" w:themeColor="text1"/>
          <w:sz w:val="16"/>
          <w:szCs w:val="16"/>
        </w:rPr>
        <w:t xml:space="preserve"> April 2017 CNS News https://www.cnsnews.com/commentary/john-stonestreet/high-price-utilitarian-thinking-bad-ideas-have-victims//mr</w:t>
      </w:r>
    </w:p>
    <w:p w:rsidR="00E5343F" w:rsidRPr="00F933AF" w:rsidRDefault="00E5343F" w:rsidP="00E5343F">
      <w:pPr>
        <w:pStyle w:val="NormalWeb"/>
        <w:shd w:val="clear" w:color="auto" w:fill="FFFFFF"/>
        <w:spacing w:before="0" w:beforeAutospacing="0" w:after="150" w:afterAutospacing="0"/>
        <w:rPr>
          <w:rFonts w:cs="Calibri"/>
          <w:color w:val="000000" w:themeColor="text1"/>
          <w:u w:val="single"/>
        </w:rPr>
      </w:pPr>
      <w:r w:rsidRPr="00F933AF">
        <w:rPr>
          <w:rFonts w:cs="Calibri"/>
          <w:color w:val="000000" w:themeColor="text1"/>
          <w:sz w:val="16"/>
        </w:rPr>
        <w:t xml:space="preserve">We say it often: </w:t>
      </w:r>
      <w:r w:rsidRPr="00F933AF">
        <w:rPr>
          <w:rFonts w:cs="Calibri"/>
          <w:color w:val="000000" w:themeColor="text1"/>
          <w:u w:val="single"/>
        </w:rPr>
        <w:t>ideas have consequences; bad ideas have victims</w:t>
      </w:r>
      <w:r w:rsidRPr="00F933AF">
        <w:rPr>
          <w:rFonts w:cs="Calibri"/>
          <w:color w:val="000000" w:themeColor="text1"/>
          <w:sz w:val="16"/>
        </w:rPr>
        <w:t xml:space="preserve">. And a certain, consistent Princeton bioethicist continues to show just how true that is. </w:t>
      </w:r>
      <w:r w:rsidRPr="00F933AF">
        <w:rPr>
          <w:rFonts w:cs="Calibri"/>
          <w:color w:val="000000" w:themeColor="text1"/>
          <w:u w:val="single"/>
        </w:rPr>
        <w:t>How do we know what’s right?</w:t>
      </w:r>
      <w:r w:rsidRPr="00F933AF">
        <w:rPr>
          <w:rFonts w:cs="Calibri"/>
          <w:color w:val="000000" w:themeColor="text1"/>
          <w:sz w:val="16"/>
        </w:rPr>
        <w:t xml:space="preserve"> Great minds have wrestled with that question for much of history. </w:t>
      </w:r>
      <w:r w:rsidRPr="00F933AF">
        <w:rPr>
          <w:rFonts w:cs="Calibri"/>
          <w:color w:val="000000" w:themeColor="text1"/>
          <w:u w:val="single"/>
        </w:rPr>
        <w:t>Is it doing our duty regardless of the consequences?</w:t>
      </w:r>
      <w:r w:rsidRPr="00F933AF">
        <w:rPr>
          <w:rFonts w:cs="Calibri"/>
          <w:color w:val="000000" w:themeColor="text1"/>
          <w:sz w:val="16"/>
        </w:rPr>
        <w:t xml:space="preserve"> Is it doing whatever a virtuous person would do? </w:t>
      </w:r>
      <w:r w:rsidRPr="00F933AF">
        <w:rPr>
          <w:rFonts w:cs="Calibri"/>
          <w:color w:val="000000" w:themeColor="text1"/>
          <w:u w:val="single"/>
        </w:rPr>
        <w:t>Is it doing what brings the most happiness to the most people? That last option—the greatest good for the greatest number—is the basic premise behind an ethical theory called “utilitarianism</w:t>
      </w:r>
      <w:r w:rsidRPr="00F933AF">
        <w:rPr>
          <w:rFonts w:cs="Calibri"/>
          <w:color w:val="000000" w:themeColor="text1"/>
          <w:sz w:val="16"/>
        </w:rPr>
        <w:t xml:space="preserve">,” </w:t>
      </w:r>
      <w:r w:rsidRPr="00F933AF">
        <w:rPr>
          <w:rFonts w:cs="Calibri"/>
          <w:color w:val="000000" w:themeColor="text1"/>
          <w:u w:val="single"/>
        </w:rPr>
        <w:t xml:space="preserve">whose main champion </w:t>
      </w:r>
      <w:r w:rsidRPr="00F933AF">
        <w:rPr>
          <w:rFonts w:cs="Calibri"/>
          <w:color w:val="000000" w:themeColor="text1"/>
          <w:sz w:val="16"/>
        </w:rPr>
        <w:t xml:space="preserve">today </w:t>
      </w:r>
      <w:r w:rsidRPr="00F933AF">
        <w:rPr>
          <w:rFonts w:cs="Calibri"/>
          <w:color w:val="000000" w:themeColor="text1"/>
          <w:u w:val="single"/>
        </w:rPr>
        <w:t>is</w:t>
      </w:r>
      <w:r w:rsidRPr="00F933AF">
        <w:rPr>
          <w:rFonts w:cs="Calibri"/>
          <w:color w:val="000000" w:themeColor="text1"/>
          <w:sz w:val="16"/>
        </w:rPr>
        <w:t xml:space="preserve"> Princeton Professor </w:t>
      </w:r>
      <w:r w:rsidRPr="00F933AF">
        <w:rPr>
          <w:rFonts w:cs="Calibri"/>
          <w:color w:val="000000" w:themeColor="text1"/>
          <w:u w:val="single"/>
        </w:rPr>
        <w:t>Peter Singer</w:t>
      </w:r>
      <w:r w:rsidRPr="00F933AF">
        <w:rPr>
          <w:rFonts w:cs="Calibri"/>
          <w:color w:val="000000" w:themeColor="text1"/>
          <w:sz w:val="16"/>
        </w:rPr>
        <w:t xml:space="preserve">. In his book, “Practical Ethics,” </w:t>
      </w:r>
      <w:r w:rsidRPr="00F933AF">
        <w:rPr>
          <w:rFonts w:cs="Calibri"/>
          <w:color w:val="000000" w:themeColor="text1"/>
          <w:u w:val="single"/>
        </w:rPr>
        <w:t>he presses</w:t>
      </w:r>
      <w:r w:rsidRPr="00F933AF">
        <w:rPr>
          <w:rFonts w:cs="Calibri"/>
          <w:color w:val="000000" w:themeColor="text1"/>
          <w:sz w:val="16"/>
        </w:rPr>
        <w:t xml:space="preserve"> this logic to chilling, yet consistent, conclusions, arguing, for example, that </w:t>
      </w:r>
      <w:r w:rsidRPr="00F933AF">
        <w:rPr>
          <w:rFonts w:cs="Calibri"/>
          <w:b/>
          <w:color w:val="000000" w:themeColor="text1"/>
          <w:u w:val="single"/>
        </w:rPr>
        <w:t>killing babies who are born disabled is not only acceptable, but may be morally necessary</w:t>
      </w:r>
      <w:r w:rsidRPr="00F933AF">
        <w:rPr>
          <w:rFonts w:cs="Calibri"/>
          <w:color w:val="000000" w:themeColor="text1"/>
          <w:sz w:val="16"/>
        </w:rPr>
        <w:t xml:space="preserve">. Why? </w:t>
      </w:r>
      <w:r w:rsidRPr="00F933AF">
        <w:rPr>
          <w:rFonts w:cs="Calibri"/>
          <w:color w:val="000000" w:themeColor="text1"/>
          <w:u w:val="single"/>
        </w:rPr>
        <w:t>Singer believes the happiness of able-bodied persons trumps the rights of those with disabilities. Such beliefs are horrifying</w:t>
      </w:r>
      <w:r w:rsidRPr="00F933AF">
        <w:rPr>
          <w:rFonts w:cs="Calibri"/>
          <w:color w:val="000000" w:themeColor="text1"/>
          <w:sz w:val="16"/>
        </w:rPr>
        <w:t xml:space="preserve"> enough in the classroom, but they rarely stay there. Enter Rutgers ethicist Anna Stubblefield, who, in 2015, was convicted of aggravated sexual assault and sentenced to twelve years in prison. Her victim, a thirty-year-old man with cerebral palsy, identified as “D.J.,” has never spoken a word in his life, and is dependent on caregivers for his basic needs. Using a controversial technique known as “facilitated communication,” Stubblefield claims she helped D.J. break his lifelong silence by supporting his hands as he typed on a keyboard. Eventually, D.J.’s family came to believe he had the mental capacity of an adult, and even enrolled him in college courses. Then Stubblefield made an announcement to D.J.’s family that changed everything: “We’re in love.” Believing she had received D.J.’s consent via facilitated communication, the married Stubblefield consummated a romantic relationship with this disabled man. A New Jersey jury decided that the act constituted sexual assault. In response, in </w:t>
      </w:r>
      <w:hyperlink r:id="rId176" w:history="1">
        <w:r w:rsidRPr="00F933AF">
          <w:rPr>
            <w:rFonts w:cs="Calibri"/>
            <w:color w:val="000000" w:themeColor="text1"/>
            <w:sz w:val="16"/>
          </w:rPr>
          <w:t>a recent op-ed</w:t>
        </w:r>
      </w:hyperlink>
      <w:r w:rsidRPr="00F933AF">
        <w:rPr>
          <w:rFonts w:cs="Calibri"/>
          <w:color w:val="000000" w:themeColor="text1"/>
          <w:sz w:val="16"/>
        </w:rPr>
        <w:t xml:space="preserve"> at the </w:t>
      </w:r>
      <w:r w:rsidRPr="00F933AF">
        <w:rPr>
          <w:rFonts w:cs="Calibri"/>
          <w:i/>
          <w:iCs/>
          <w:color w:val="000000" w:themeColor="text1"/>
          <w:sz w:val="16"/>
        </w:rPr>
        <w:t>New York Times</w:t>
      </w:r>
      <w:r w:rsidRPr="00F933AF">
        <w:rPr>
          <w:rFonts w:cs="Calibri"/>
          <w:color w:val="000000" w:themeColor="text1"/>
          <w:sz w:val="16"/>
        </w:rPr>
        <w:t>, Peter Singer and Jeff McMahan argue that Stubblefield’s 12-year sentence is too harsh and that D.J. was capable of more communication than the judge or jury give him credit for. But their next argument is truly horrifying. “</w:t>
      </w:r>
      <w:r w:rsidRPr="00F933AF">
        <w:rPr>
          <w:rFonts w:cs="Calibri"/>
          <w:color w:val="000000" w:themeColor="text1"/>
          <w:u w:val="single"/>
        </w:rPr>
        <w:t>If we assume,” they write, “that he is profoundly cognitively impaired, we should concede that he cannot understand the normal significance of</w:t>
      </w:r>
      <w:r w:rsidRPr="00F933AF">
        <w:rPr>
          <w:rFonts w:cs="Calibri"/>
          <w:color w:val="000000" w:themeColor="text1"/>
          <w:sz w:val="16"/>
        </w:rPr>
        <w:t xml:space="preserve"> sexual </w:t>
      </w:r>
      <w:r w:rsidRPr="00F933AF">
        <w:rPr>
          <w:rFonts w:cs="Calibri"/>
          <w:color w:val="000000" w:themeColor="text1"/>
          <w:u w:val="single"/>
        </w:rPr>
        <w:t>relations between persons</w:t>
      </w:r>
      <w:r w:rsidRPr="00F933AF">
        <w:rPr>
          <w:rFonts w:cs="Calibri"/>
          <w:color w:val="000000" w:themeColor="text1"/>
          <w:sz w:val="16"/>
        </w:rPr>
        <w:t xml:space="preserve"> or the meaning and significance of sexual violation. In that case, he is incapable of giving or withholding informed consent </w:t>
      </w:r>
      <w:proofErr w:type="gramStart"/>
      <w:r w:rsidRPr="00F933AF">
        <w:rPr>
          <w:rFonts w:cs="Calibri"/>
          <w:color w:val="000000" w:themeColor="text1"/>
          <w:sz w:val="16"/>
        </w:rPr>
        <w:t>… .”</w:t>
      </w:r>
      <w:proofErr w:type="gramEnd"/>
      <w:r w:rsidRPr="00F933AF">
        <w:rPr>
          <w:rFonts w:cs="Calibri"/>
          <w:color w:val="000000" w:themeColor="text1"/>
          <w:sz w:val="16"/>
        </w:rPr>
        <w:t xml:space="preserve"> They go on to claim that D.J. probably enjoyed the experience, so it wasn’t that monstrous of a crime. </w:t>
      </w:r>
      <w:r w:rsidRPr="00F933AF">
        <w:rPr>
          <w:rFonts w:cs="Calibri"/>
          <w:color w:val="000000" w:themeColor="text1"/>
          <w:u w:val="single"/>
        </w:rPr>
        <w:t>In other words, because those with profound disabilities can’t fully comprehend what’s happening, assaulting them isn’t the same as assaulting a person in possession of full mental faculties.</w:t>
      </w:r>
      <w:r w:rsidRPr="00F933AF">
        <w:rPr>
          <w:rFonts w:cs="Calibri"/>
          <w:color w:val="000000" w:themeColor="text1"/>
          <w:sz w:val="16"/>
        </w:rPr>
        <w:t xml:space="preserve"> Now, let me be clear: </w:t>
      </w:r>
      <w:r w:rsidRPr="00F933AF">
        <w:rPr>
          <w:rFonts w:cs="Calibri"/>
          <w:b/>
          <w:color w:val="000000" w:themeColor="text1"/>
          <w:u w:val="single"/>
        </w:rPr>
        <w:t>This reasoning is fully consistent with Singer’s utilitarian ethics, which teaches that net happiness—not objective concepts like human rights, dignity, or duty—is the standard of right and wrong</w:t>
      </w:r>
      <w:r w:rsidRPr="00F933AF">
        <w:rPr>
          <w:rFonts w:cs="Calibri"/>
          <w:color w:val="000000" w:themeColor="text1"/>
          <w:sz w:val="16"/>
        </w:rPr>
        <w:t xml:space="preserve">. And </w:t>
      </w:r>
      <w:r w:rsidRPr="00F933AF">
        <w:rPr>
          <w:rFonts w:cs="Calibri"/>
          <w:b/>
          <w:color w:val="000000" w:themeColor="text1"/>
          <w:u w:val="single"/>
        </w:rPr>
        <w:t>this story shows why ideas like this are so much more than academic debates.</w:t>
      </w:r>
      <w:r w:rsidRPr="00F933AF">
        <w:rPr>
          <w:rFonts w:cs="Calibri"/>
          <w:color w:val="000000" w:themeColor="text1"/>
          <w:u w:val="single"/>
        </w:rPr>
        <w:t xml:space="preserve"> </w:t>
      </w:r>
      <w:r w:rsidRPr="00F933AF">
        <w:rPr>
          <w:rFonts w:cs="Calibri"/>
          <w:b/>
          <w:color w:val="000000" w:themeColor="text1"/>
          <w:u w:val="single"/>
        </w:rPr>
        <w:t>Utilitarian reasoning justifies all numbers of atrocities</w:t>
      </w:r>
      <w:r w:rsidRPr="00F933AF">
        <w:rPr>
          <w:rFonts w:cs="Calibri"/>
          <w:color w:val="000000" w:themeColor="text1"/>
          <w:u w:val="single"/>
        </w:rPr>
        <w:t>, from experimenting on prisoners in order to advance medicine, to harvesting vulnerable people’s organs to help others</w:t>
      </w:r>
      <w:r w:rsidRPr="00F933AF">
        <w:rPr>
          <w:rFonts w:cs="Calibri"/>
          <w:color w:val="000000" w:themeColor="text1"/>
          <w:sz w:val="16"/>
        </w:rPr>
        <w:t xml:space="preserve">. In fact, </w:t>
      </w:r>
      <w:r w:rsidRPr="00F933AF">
        <w:rPr>
          <w:rFonts w:cs="Calibri"/>
          <w:b/>
          <w:color w:val="000000" w:themeColor="text1"/>
          <w:u w:val="single"/>
        </w:rPr>
        <w:t>this logic has been used to justify eugenics and forced sterilization</w:t>
      </w:r>
      <w:r w:rsidRPr="00F933AF">
        <w:rPr>
          <w:rFonts w:cs="Calibri"/>
          <w:color w:val="000000" w:themeColor="text1"/>
          <w:u w:val="single"/>
        </w:rPr>
        <w:t>, and is used today to defend abortion and euthanasia.</w:t>
      </w:r>
    </w:p>
    <w:p w:rsidR="00721D38" w:rsidRPr="00F933AF" w:rsidRDefault="00721D38" w:rsidP="00721D38">
      <w:pPr>
        <w:pStyle w:val="Heading4"/>
        <w:rPr>
          <w:rFonts w:cs="Calibri"/>
        </w:rPr>
      </w:pPr>
      <w:r w:rsidRPr="00F933AF">
        <w:rPr>
          <w:rFonts w:cs="Calibri"/>
        </w:rPr>
        <w:t>Util justifies valuing the disabled beneath others by equating them to animals and using abstract calculations of how to accord citizenship</w:t>
      </w:r>
    </w:p>
    <w:p w:rsidR="00721D38" w:rsidRPr="00F933AF" w:rsidRDefault="00721D38" w:rsidP="00721D38">
      <w:pPr>
        <w:rPr>
          <w:rFonts w:cs="Calibri"/>
        </w:rPr>
      </w:pPr>
      <w:r w:rsidRPr="00F933AF">
        <w:rPr>
          <w:rStyle w:val="Style13ptBold"/>
          <w:rFonts w:cs="Calibri"/>
        </w:rPr>
        <w:t>Lewiecki-Wilson 11</w:t>
      </w:r>
      <w:r w:rsidRPr="00F933AF">
        <w:rPr>
          <w:rFonts w:cs="Calibri"/>
        </w:rPr>
        <w:t xml:space="preserve"> (Cynthia Lewiecki-Wilson, PhD in English from the University of New Mexico, professor of English at Miami University, 2011, “Ableist Rhetorics, Nevertheless: Disability and Animal Rights in the Work of Peter Singer and Martha Nussbaum”, JAC, Vol. 31, No. 1/2, JSTOR)/CWB</w:t>
      </w:r>
    </w:p>
    <w:p w:rsidR="00721D38" w:rsidRPr="00F933AF" w:rsidRDefault="00721D38" w:rsidP="00721D38">
      <w:pPr>
        <w:rPr>
          <w:rFonts w:cs="Calibri"/>
          <w:sz w:val="16"/>
        </w:rPr>
      </w:pPr>
      <w:r w:rsidRPr="00F933AF">
        <w:rPr>
          <w:rStyle w:val="StyleUnderline"/>
          <w:rFonts w:cs="Calibri"/>
        </w:rPr>
        <w:t xml:space="preserve">Why </w:t>
      </w:r>
      <w:r w:rsidRPr="00F933AF">
        <w:rPr>
          <w:rStyle w:val="Emphasis"/>
          <w:rFonts w:cs="Calibri"/>
        </w:rPr>
        <w:t>read philosophy rhetorically</w:t>
      </w:r>
      <w:r w:rsidRPr="00F933AF">
        <w:rPr>
          <w:rStyle w:val="StyleUnderline"/>
          <w:rFonts w:cs="Calibri"/>
        </w:rPr>
        <w:t>? Not only because it can be read that way,</w:t>
      </w:r>
      <w:r w:rsidRPr="00F933AF">
        <w:rPr>
          <w:rFonts w:cs="Calibri"/>
          <w:sz w:val="16"/>
        </w:rPr>
        <w:t xml:space="preserve"> since all texts are rhetorically situated arguments, </w:t>
      </w:r>
      <w:r w:rsidRPr="00F933AF">
        <w:rPr>
          <w:rStyle w:val="StyleUnderline"/>
          <w:rFonts w:cs="Calibri"/>
        </w:rPr>
        <w:t xml:space="preserve">but because texts of political philosophy are fundamentally rhetorical </w:t>
      </w:r>
      <w:r w:rsidRPr="00F933AF">
        <w:rPr>
          <w:rFonts w:cs="Calibri"/>
          <w:sz w:val="16"/>
        </w:rPr>
        <w:t xml:space="preserve">in the classical sense of the term: </w:t>
      </w:r>
      <w:r w:rsidRPr="00F933AF">
        <w:rPr>
          <w:rStyle w:val="StyleUnderline"/>
          <w:rFonts w:cs="Calibri"/>
        </w:rPr>
        <w:t xml:space="preserve">they are </w:t>
      </w:r>
      <w:r w:rsidRPr="00F933AF">
        <w:rPr>
          <w:rStyle w:val="Emphasis"/>
          <w:rFonts w:cs="Calibri"/>
        </w:rPr>
        <w:t>arguments about how we ought to organize social life, accord citizenship, and make public decisions, based on probabilities.</w:t>
      </w:r>
      <w:r w:rsidRPr="00F933AF">
        <w:rPr>
          <w:rStyle w:val="StyleUnderline"/>
          <w:rFonts w:cs="Calibri"/>
        </w:rPr>
        <w:t xml:space="preserve">2 In an age of rationed health care and bioethics committees, </w:t>
      </w:r>
      <w:r w:rsidRPr="00F933AF">
        <w:rPr>
          <w:rStyle w:val="Emphasis"/>
          <w:rFonts w:cs="Calibri"/>
        </w:rPr>
        <w:t>we cannot allow decisions about who is considered fully human</w:t>
      </w:r>
      <w:r w:rsidRPr="00F933AF">
        <w:rPr>
          <w:rStyle w:val="StyleUnderline"/>
          <w:rFonts w:cs="Calibri"/>
        </w:rPr>
        <w:t xml:space="preserve"> or who has a right to live or die or who gets a needed transplant, home health care, a ventilator, or attendants </w:t>
      </w:r>
      <w:r w:rsidRPr="00F933AF">
        <w:rPr>
          <w:rStyle w:val="Emphasis"/>
          <w:rFonts w:cs="Calibri"/>
        </w:rPr>
        <w:t>to be formulated only by technical experts</w:t>
      </w:r>
      <w:r w:rsidRPr="00F933AF">
        <w:rPr>
          <w:rStyle w:val="StyleUnderline"/>
          <w:rFonts w:cs="Calibri"/>
        </w:rPr>
        <w:t xml:space="preserve">. </w:t>
      </w:r>
      <w:r w:rsidRPr="00F933AF">
        <w:rPr>
          <w:rFonts w:cs="Calibri"/>
          <w:sz w:val="16"/>
        </w:rPr>
        <w:t xml:space="preserve">All citizens need to reflect on and then speak publicly about these issues. As is apparent from these examples, my interest in </w:t>
      </w:r>
      <w:r w:rsidRPr="00F933AF">
        <w:rPr>
          <w:rStyle w:val="StyleUnderline"/>
          <w:rFonts w:cs="Calibri"/>
        </w:rPr>
        <w:t>Singer's and Nussbaum's work</w:t>
      </w:r>
      <w:r w:rsidRPr="00F933AF">
        <w:rPr>
          <w:rFonts w:cs="Calibri"/>
          <w:sz w:val="16"/>
        </w:rPr>
        <w:t xml:space="preserve"> is not primarily with their theories of animal rights, but in each philosopher's theory of disability rights and secondarily in the way they connect arguments about humans to animal rights. While the two treat the species boundary line differently and accord rights to the disabled and animals differently, both presume that there is some connection, in that they </w:t>
      </w:r>
      <w:r w:rsidRPr="00F933AF">
        <w:rPr>
          <w:rStyle w:val="Emphasis"/>
          <w:rFonts w:cs="Calibri"/>
        </w:rPr>
        <w:t>apply their systematic ethical frameworks</w:t>
      </w:r>
      <w:r w:rsidRPr="00F933AF">
        <w:rPr>
          <w:rFonts w:cs="Calibri"/>
          <w:sz w:val="16"/>
        </w:rPr>
        <w:t xml:space="preserve">. Singer calls his preference </w:t>
      </w:r>
      <w:r w:rsidRPr="00F933AF">
        <w:rPr>
          <w:rStyle w:val="Emphasis"/>
          <w:rFonts w:cs="Calibri"/>
        </w:rPr>
        <w:t xml:space="preserve">utilitarianism </w:t>
      </w:r>
      <w:r w:rsidRPr="00F933AF">
        <w:rPr>
          <w:rStyle w:val="StyleUnderline"/>
          <w:rFonts w:cs="Calibri"/>
        </w:rPr>
        <w:t>and</w:t>
      </w:r>
      <w:r w:rsidRPr="00F933AF">
        <w:rPr>
          <w:rFonts w:cs="Calibri"/>
          <w:sz w:val="16"/>
        </w:rPr>
        <w:t xml:space="preserve"> Nussbaum names hers </w:t>
      </w:r>
      <w:r w:rsidRPr="00F933AF">
        <w:rPr>
          <w:rStyle w:val="StyleUnderline"/>
          <w:rFonts w:cs="Calibri"/>
        </w:rPr>
        <w:t>the capabilities approach</w:t>
      </w:r>
      <w:r w:rsidRPr="00F933AF">
        <w:rPr>
          <w:rFonts w:cs="Calibri"/>
          <w:sz w:val="16"/>
        </w:rPr>
        <w:t xml:space="preserve"> to humans</w:t>
      </w:r>
      <w:r w:rsidRPr="00F933AF">
        <w:rPr>
          <w:rStyle w:val="StyleUnderline"/>
          <w:rFonts w:cs="Calibri"/>
        </w:rPr>
        <w:t xml:space="preserve"> </w:t>
      </w:r>
      <w:r w:rsidRPr="00F933AF">
        <w:rPr>
          <w:rStyle w:val="Emphasis"/>
          <w:rFonts w:cs="Calibri"/>
        </w:rPr>
        <w:t>with disabilities as well as to animals</w:t>
      </w:r>
      <w:r w:rsidRPr="00F933AF">
        <w:rPr>
          <w:rFonts w:cs="Calibri"/>
          <w:sz w:val="16"/>
        </w:rPr>
        <w:t xml:space="preserve">. "Happy Nevertheless" </w:t>
      </w:r>
      <w:r w:rsidRPr="00F933AF">
        <w:rPr>
          <w:rStyle w:val="StyleUnderline"/>
          <w:rFonts w:cs="Calibri"/>
        </w:rPr>
        <w:t>Peter Singer is infamous in disability activist circles for advocating that it is ethical to kill babies born with disabilities (even up to a few months old) and severely mentally incapacitated elders (even without their consent); that some animals have more sentient capacity and thereby more rights than infants;</w:t>
      </w:r>
      <w:r w:rsidRPr="00F933AF">
        <w:rPr>
          <w:rFonts w:cs="Calibri"/>
          <w:sz w:val="16"/>
        </w:rPr>
        <w:t xml:space="preserve"> for debating disability activist and lawyer Harriet McBryde Johnson on these issues; and for writing her obituary when she died in 2008. </w:t>
      </w:r>
      <w:r w:rsidRPr="00F933AF">
        <w:rPr>
          <w:rStyle w:val="StyleUnderline"/>
          <w:rFonts w:cs="Calibri"/>
        </w:rPr>
        <w:t xml:space="preserve">Singer </w:t>
      </w:r>
      <w:r w:rsidRPr="00F933AF">
        <w:rPr>
          <w:rStyle w:val="Emphasis"/>
          <w:rFonts w:cs="Calibri"/>
        </w:rPr>
        <w:t>argues that it is a common, universal human response to value living with disability negatively</w:t>
      </w:r>
      <w:r w:rsidRPr="00F933AF">
        <w:rPr>
          <w:rStyle w:val="StyleUnderline"/>
          <w:rFonts w:cs="Calibri"/>
        </w:rPr>
        <w:t>, an attitude conveyed by the "nevertheless" in the title of his obituary for Johnson, quoted above and cited in my title. He goes further, arguing that those with disabilities have fewer claims to rights than those without them. "I do not accept the view that all human life is equally to be protected"</w:t>
      </w:r>
      <w:r w:rsidRPr="00F933AF">
        <w:rPr>
          <w:rFonts w:cs="Calibri"/>
          <w:sz w:val="16"/>
        </w:rPr>
        <w:t xml:space="preserve"> ("Ethics and Disability" 131). Singer's preference </w:t>
      </w:r>
      <w:r w:rsidRPr="00F933AF">
        <w:rPr>
          <w:rStyle w:val="StyleUnderline"/>
          <w:rFonts w:cs="Calibri"/>
        </w:rPr>
        <w:t>utilitarianism</w:t>
      </w:r>
      <w:r w:rsidRPr="00F933AF">
        <w:rPr>
          <w:rFonts w:cs="Calibri"/>
          <w:sz w:val="16"/>
        </w:rPr>
        <w:t xml:space="preserve"> is a philosophy that </w:t>
      </w:r>
      <w:r w:rsidRPr="00F933AF">
        <w:rPr>
          <w:rStyle w:val="StyleUnderline"/>
          <w:rFonts w:cs="Calibri"/>
        </w:rPr>
        <w:t xml:space="preserve">defines the good as that which satisfies preferences and avoids pain. </w:t>
      </w:r>
      <w:r w:rsidRPr="00F933AF">
        <w:rPr>
          <w:rStyle w:val="Emphasis"/>
          <w:rFonts w:cs="Calibri"/>
        </w:rPr>
        <w:t>Determining</w:t>
      </w:r>
      <w:r w:rsidRPr="00F933AF">
        <w:rPr>
          <w:rStyle w:val="StyleUnderline"/>
          <w:rFonts w:cs="Calibri"/>
        </w:rPr>
        <w:t xml:space="preserve"> a single individual's </w:t>
      </w:r>
      <w:r w:rsidRPr="00F933AF">
        <w:rPr>
          <w:rStyle w:val="Emphasis"/>
          <w:rFonts w:cs="Calibri"/>
        </w:rPr>
        <w:t>preference</w:t>
      </w:r>
      <w:r w:rsidRPr="00F933AF">
        <w:rPr>
          <w:rStyle w:val="StyleUnderline"/>
          <w:rFonts w:cs="Calibri"/>
        </w:rPr>
        <w:t xml:space="preserve"> or pain </w:t>
      </w:r>
      <w:r w:rsidRPr="00F933AF">
        <w:rPr>
          <w:rStyle w:val="Emphasis"/>
          <w:rFonts w:cs="Calibri"/>
        </w:rPr>
        <w:t>is not the sole way to make an ethical decision</w:t>
      </w:r>
      <w:r w:rsidRPr="00F933AF">
        <w:rPr>
          <w:rStyle w:val="StyleUnderline"/>
          <w:rFonts w:cs="Calibri"/>
        </w:rPr>
        <w:t xml:space="preserve">, however. </w:t>
      </w:r>
      <w:r w:rsidRPr="00F933AF">
        <w:rPr>
          <w:rStyle w:val="Emphasis"/>
          <w:rFonts w:cs="Calibri"/>
        </w:rPr>
        <w:t>A wider level of calculation and universal abstraction is involved: a person imagines the consequences of a possible action "from the point of view of the universe" an abstract move away from self interest to include other humans and animals</w:t>
      </w:r>
      <w:r w:rsidRPr="00F933AF">
        <w:rPr>
          <w:rFonts w:cs="Calibri"/>
          <w:sz w:val="16"/>
        </w:rPr>
        <w:t xml:space="preserve"> (How Are 228-29); </w:t>
      </w:r>
      <w:r w:rsidRPr="00F933AF">
        <w:rPr>
          <w:rStyle w:val="Emphasis"/>
          <w:rFonts w:cs="Calibri"/>
        </w:rPr>
        <w:t>and then sum-ranks the results</w:t>
      </w:r>
      <w:r w:rsidRPr="00F933AF">
        <w:rPr>
          <w:rFonts w:cs="Calibri"/>
          <w:sz w:val="16"/>
        </w:rPr>
        <w:t xml:space="preserve">.3 </w:t>
      </w:r>
      <w:r w:rsidRPr="00F933AF">
        <w:rPr>
          <w:rStyle w:val="StyleUnderline"/>
          <w:rFonts w:cs="Calibri"/>
        </w:rPr>
        <w:t xml:space="preserve">An ethical choice could produce the most satisfaction and least pain for the greatest number, while inflicting harm on a minor number. </w:t>
      </w:r>
      <w:r w:rsidRPr="00F933AF">
        <w:rPr>
          <w:rStyle w:val="Emphasis"/>
          <w:rFonts w:cs="Calibri"/>
        </w:rPr>
        <w:t>In this way, individual humans are "fungible" swapping individual fates for the greater good can be justified</w:t>
      </w:r>
      <w:r w:rsidRPr="00F933AF">
        <w:rPr>
          <w:rStyle w:val="StyleUnderline"/>
          <w:rFonts w:cs="Calibri"/>
        </w:rPr>
        <w:t>.</w:t>
      </w:r>
      <w:r w:rsidRPr="00F933AF">
        <w:rPr>
          <w:rFonts w:cs="Calibri"/>
          <w:sz w:val="16"/>
        </w:rPr>
        <w:t xml:space="preserve"> Singer met Johnson in 2001 in Charleston, South Carolina, where she lived and practiced law. He was giving a lecture on his theory of the justifications for ending human life, and she was protesting his views, representing Not Dead Yet, a disability activist group opposed to legal suicide and the killing of the disabled.4 </w:t>
      </w:r>
      <w:proofErr w:type="gramStart"/>
      <w:r w:rsidRPr="00F933AF">
        <w:rPr>
          <w:rFonts w:cs="Calibri"/>
          <w:sz w:val="16"/>
        </w:rPr>
        <w:t>The</w:t>
      </w:r>
      <w:proofErr w:type="gramEnd"/>
      <w:r w:rsidRPr="00F933AF">
        <w:rPr>
          <w:rFonts w:cs="Calibri"/>
          <w:sz w:val="16"/>
        </w:rPr>
        <w:t xml:space="preserve"> two were introduced and briefly debated. A few months later, Singer invited her to Princeton to meet with his classes and continue their debate in a large public forum. A seasoned contender and skilled writer, </w:t>
      </w:r>
      <w:r w:rsidRPr="00F933AF">
        <w:rPr>
          <w:rStyle w:val="StyleUnderline"/>
          <w:rFonts w:cs="Calibri"/>
        </w:rPr>
        <w:t>Johnson published an account</w:t>
      </w:r>
      <w:r w:rsidRPr="00F933AF">
        <w:rPr>
          <w:rFonts w:cs="Calibri"/>
          <w:sz w:val="16"/>
        </w:rPr>
        <w:t xml:space="preserve"> of their 2002 Princeton debate, entitled "Unspeakable Conversations,"5 in The New York Times Magazine, opening with these lines: </w:t>
      </w:r>
      <w:r w:rsidRPr="00F933AF">
        <w:rPr>
          <w:rStyle w:val="StyleUnderline"/>
          <w:rFonts w:cs="Calibri"/>
        </w:rPr>
        <w:t>He insists he doesn't want to kill me. He simply thinks it would have been better, all things considered, to have given my parents the option of killing the baby I once was, and to let other parents kill similar babies as they come along, and thereby avoid the suffering that comes with lives like mine and satisfy the reasonable preferences of parents for a different kind of child.</w:t>
      </w:r>
      <w:r w:rsidRPr="00F933AF">
        <w:rPr>
          <w:rFonts w:cs="Calibri"/>
          <w:sz w:val="16"/>
        </w:rPr>
        <w:t xml:space="preserve"> (Too Late 201) In her lively account of their debate, Johnson presents many of the key positions of disability advocates: that </w:t>
      </w:r>
      <w:r w:rsidRPr="00F933AF">
        <w:rPr>
          <w:rStyle w:val="StyleUnderline"/>
          <w:rFonts w:cs="Calibri"/>
        </w:rPr>
        <w:t xml:space="preserve">when actual disabled people are polled, they report the same levels of satisfaction with their lives as non disabled people do with theirs; that lack of social supports and accommodations, or their provision, go a long way toward making life with disability miserable or enabling; that even if non-disability is a preference, humans are not fungible; and furthermore, that </w:t>
      </w:r>
      <w:r w:rsidRPr="00F933AF">
        <w:rPr>
          <w:rStyle w:val="Emphasis"/>
          <w:rFonts w:cs="Calibri"/>
        </w:rPr>
        <w:t xml:space="preserve">preferences aren't free and rational choices </w:t>
      </w:r>
      <w:r w:rsidRPr="00F933AF">
        <w:rPr>
          <w:rStyle w:val="StyleUnderline"/>
          <w:rFonts w:cs="Calibri"/>
        </w:rPr>
        <w:t xml:space="preserve">anyway. "Choices are structured by oppression," as Johnson writes and coerced by cultural biases. Currently, </w:t>
      </w:r>
      <w:r w:rsidRPr="00F933AF">
        <w:rPr>
          <w:rStyle w:val="Emphasis"/>
          <w:rFonts w:cs="Calibri"/>
        </w:rPr>
        <w:t xml:space="preserve">the disabled suffer under such biases </w:t>
      </w:r>
      <w:r w:rsidRPr="00F933AF">
        <w:rPr>
          <w:rStyle w:val="StyleUnderline"/>
          <w:rFonts w:cs="Calibri"/>
        </w:rPr>
        <w:t>(220).</w:t>
      </w:r>
    </w:p>
    <w:p w:rsidR="00721D38" w:rsidRPr="00F933AF" w:rsidRDefault="00721D38" w:rsidP="00721D38">
      <w:pPr>
        <w:pStyle w:val="Heading4"/>
        <w:rPr>
          <w:rFonts w:cs="Calibri"/>
        </w:rPr>
      </w:pPr>
      <w:r w:rsidRPr="00F933AF">
        <w:rPr>
          <w:rFonts w:cs="Calibri"/>
        </w:rPr>
        <w:t>Lewiecki-Wilson is correct- debates consistently undervalue disabled rights</w:t>
      </w:r>
    </w:p>
    <w:p w:rsidR="00721D38" w:rsidRPr="00F933AF" w:rsidRDefault="00721D38" w:rsidP="00721D38">
      <w:pPr>
        <w:rPr>
          <w:rFonts w:cs="Calibri"/>
        </w:rPr>
      </w:pPr>
      <w:r w:rsidRPr="00F933AF">
        <w:rPr>
          <w:rStyle w:val="Style13ptBold"/>
          <w:rFonts w:cs="Calibri"/>
        </w:rPr>
        <w:t>Johnson 12</w:t>
      </w:r>
      <w:r w:rsidRPr="00F933AF">
        <w:rPr>
          <w:rFonts w:cs="Calibri"/>
        </w:rPr>
        <w:t xml:space="preserve"> (Jenell Johnson, professor of communication arts and Disability Studies Initiative director at the University of Wisconsin-Madison, PhD from Pennsylvania State University, Mellon-Morgridge Professor of the Humanities, 2012, “Disability, Animals, and the Rhetorical Boundaries of Personhood”, JAC, Vol. 32, No. 1/2, JSTOR)/CWB</w:t>
      </w:r>
    </w:p>
    <w:p w:rsidR="00721D38" w:rsidRPr="00F933AF" w:rsidRDefault="00721D38" w:rsidP="00721D38">
      <w:pPr>
        <w:rPr>
          <w:rFonts w:cs="Calibri"/>
          <w:sz w:val="16"/>
        </w:rPr>
      </w:pPr>
      <w:r w:rsidRPr="00F933AF">
        <w:rPr>
          <w:rStyle w:val="StyleUnderline"/>
          <w:rFonts w:cs="Calibri"/>
        </w:rPr>
        <w:t>Humanity is neither an essence nor an end, but a continuous and precarious process of becoming human, a process that entails the inescapable recognition that our humanity is on loan from others, to precisely the extent that we acknowledge it in them.</w:t>
      </w:r>
      <w:r w:rsidRPr="00F933AF">
        <w:rPr>
          <w:rFonts w:cs="Calibri"/>
          <w:sz w:val="16"/>
        </w:rPr>
        <w:t xml:space="preserve"> - Tony Davies </w:t>
      </w:r>
      <w:r w:rsidRPr="00F933AF">
        <w:rPr>
          <w:rStyle w:val="StyleUnderline"/>
          <w:rFonts w:cs="Calibri"/>
        </w:rPr>
        <w:t>Cynthia Lewiecki-Wilson's essay "Ableist Rhetorics, Nevertheless" examines the rhetorical mobilization of the animal/human boundary in arguments for disability and animal rights in the work of Peter Singer and Martha Nussbaum. Singer, a utilitarian</w:t>
      </w:r>
      <w:r w:rsidRPr="00F933AF">
        <w:rPr>
          <w:rFonts w:cs="Calibri"/>
          <w:sz w:val="16"/>
        </w:rPr>
        <w:t xml:space="preserve"> bioethicist, is revered by many in animal rights circles for his efforts on behalf of sentient animals; he </w:t>
      </w:r>
      <w:r w:rsidRPr="00F933AF">
        <w:rPr>
          <w:rStyle w:val="StyleUnderline"/>
          <w:rFonts w:cs="Calibri"/>
        </w:rPr>
        <w:t>is</w:t>
      </w:r>
      <w:r w:rsidRPr="00F933AF">
        <w:rPr>
          <w:rFonts w:cs="Calibri"/>
          <w:sz w:val="16"/>
        </w:rPr>
        <w:t xml:space="preserve"> equally </w:t>
      </w:r>
      <w:r w:rsidRPr="00F933AF">
        <w:rPr>
          <w:rStyle w:val="StyleUnderline"/>
          <w:rFonts w:cs="Calibri"/>
        </w:rPr>
        <w:t>reviled by many in the disability community for his position that it is ethical to end the lives of humans with certain impairments</w:t>
      </w:r>
      <w:r w:rsidRPr="00F933AF">
        <w:rPr>
          <w:rFonts w:cs="Calibri"/>
          <w:sz w:val="16"/>
        </w:rPr>
        <w:t xml:space="preserve">. Although Singer has often claimed that he is misquoted on this latter point, passages like the following from Singer's Rethinking Life and Death speak for themselves: Both for the sake of 'our children', then, and for our own sake, we may not want a child to start on life's uncertain voyage if the prospects are clouded. When this can be known at a very early stage of the voyage we may still have a chance to make a fresh start. This means detaching ourselves from the infant who has been born, cutting ourselves free before the ties that have already begun to bind us to our child have become irresistible. (213) Disability also takes center stage in </w:t>
      </w:r>
      <w:r w:rsidRPr="00F933AF">
        <w:rPr>
          <w:rStyle w:val="StyleUnderline"/>
          <w:rFonts w:cs="Calibri"/>
        </w:rPr>
        <w:t>Martha Nussbaum</w:t>
      </w:r>
      <w:r w:rsidRPr="00F933AF">
        <w:rPr>
          <w:rFonts w:cs="Calibri"/>
          <w:sz w:val="16"/>
        </w:rPr>
        <w:t xml:space="preserve">'s Frontiers of Justice: Disability, Nationality, and Species Membership, which expands theories of justice to account for "three unresolved problems": people with disabilities, animals, and poor nations (1-2). Although she considers Nussbaum' s position on disability to be more "compassionate" than Singer's, Lewiecki-Wilson argues that because Nussbaum is committed to a </w:t>
      </w:r>
      <w:r w:rsidRPr="00F933AF">
        <w:rPr>
          <w:rStyle w:val="StyleUnderline"/>
          <w:rFonts w:cs="Calibri"/>
        </w:rPr>
        <w:t>rational, liberal tradition,</w:t>
      </w:r>
      <w:r w:rsidRPr="00F933AF">
        <w:rPr>
          <w:rFonts w:cs="Calibri"/>
          <w:sz w:val="16"/>
        </w:rPr>
        <w:t xml:space="preserve"> she and Singer </w:t>
      </w:r>
      <w:r w:rsidRPr="00F933AF">
        <w:rPr>
          <w:rStyle w:val="StyleUnderline"/>
          <w:rFonts w:cs="Calibri"/>
        </w:rPr>
        <w:t>share a strikingly similar perspective: both philosophers "center ability (as judged by 'normal' humans) as the basis of qualifying for rights" (88, 94). In place of this ability paradigm, Lewiecki-Wilson wonders if rights discourse might begin from "the perspective and paradigm of a complex ecology of situated, interconnected embodiment," which would shift our thinking about rights for people with disabilities and also redirect "public, civic debates and decisions on health care, the environment, and responsibilities to other countries and people" (94). I have no quarrel with Lewiecki-Wilson's analysis nor do I have anything but enthusiasm for her recommendations, which I hope will inspire future work on the topic of interdependence and its implications for rhetoric and composition studies.</w:t>
      </w:r>
      <w:r w:rsidRPr="00F933AF">
        <w:rPr>
          <w:rFonts w:cs="Calibri"/>
          <w:sz w:val="16"/>
        </w:rPr>
        <w:t xml:space="preserve">1 In what follows, </w:t>
      </w:r>
      <w:r w:rsidRPr="00F933AF">
        <w:rPr>
          <w:rStyle w:val="StyleUnderline"/>
          <w:rFonts w:cs="Calibri"/>
        </w:rPr>
        <w:t>I seek to extend Lewiecki-Wilson's argument by exploring the concept of personhood</w:t>
      </w:r>
      <w:r w:rsidRPr="00F933AF">
        <w:rPr>
          <w:rFonts w:cs="Calibri"/>
          <w:sz w:val="16"/>
        </w:rPr>
        <w:t>, a vital term in this debate that remains at the periphery of her essay.</w:t>
      </w:r>
    </w:p>
    <w:p w:rsidR="00721D38" w:rsidRPr="00F933AF" w:rsidRDefault="00721D38" w:rsidP="00721D38">
      <w:pPr>
        <w:pStyle w:val="Heading4"/>
        <w:rPr>
          <w:rFonts w:cs="Calibri"/>
        </w:rPr>
      </w:pPr>
      <w:r w:rsidRPr="00F933AF">
        <w:rPr>
          <w:rFonts w:cs="Calibri"/>
        </w:rPr>
        <w:t>Util and consequentialism exclude the disabled from the social contract and disregard need for welfare- reciprocity key</w:t>
      </w:r>
    </w:p>
    <w:p w:rsidR="00721D38" w:rsidRPr="00F933AF" w:rsidRDefault="00721D38" w:rsidP="00721D38">
      <w:pPr>
        <w:rPr>
          <w:rFonts w:cs="Calibri"/>
        </w:rPr>
      </w:pPr>
      <w:r w:rsidRPr="00F933AF">
        <w:rPr>
          <w:rStyle w:val="Style13ptBold"/>
          <w:rFonts w:cs="Calibri"/>
        </w:rPr>
        <w:t>Becker 5</w:t>
      </w:r>
      <w:r w:rsidRPr="00F933AF">
        <w:rPr>
          <w:rFonts w:cs="Calibri"/>
        </w:rPr>
        <w:t xml:space="preserve"> (Lawrence C. Becker, former professor of philosophy at Hollins University and the </w:t>
      </w:r>
      <w:hyperlink r:id="rId177" w:tooltip="College of William &amp; Mary" w:history="1">
        <w:r w:rsidRPr="00F933AF">
          <w:rPr>
            <w:rStyle w:val="Hyperlink"/>
            <w:rFonts w:cs="Calibri"/>
          </w:rPr>
          <w:t>College of William &amp; Mary</w:t>
        </w:r>
      </w:hyperlink>
      <w:r w:rsidRPr="00F933AF">
        <w:rPr>
          <w:rFonts w:cs="Calibri"/>
        </w:rPr>
        <w:t xml:space="preserve">, former president of </w:t>
      </w:r>
      <w:hyperlink r:id="rId178" w:tooltip="Post-Polio Health International" w:history="1">
        <w:r w:rsidRPr="00F933AF">
          <w:rPr>
            <w:rStyle w:val="Hyperlink"/>
            <w:rFonts w:cs="Calibri"/>
          </w:rPr>
          <w:t>Post-Polio Health International</w:t>
        </w:r>
      </w:hyperlink>
      <w:r w:rsidRPr="00F933AF">
        <w:rPr>
          <w:rFonts w:cs="Calibri"/>
        </w:rPr>
        <w:t>, former associate editor of the journal Ethics, October 2005, “Reciprocity, Justice, and Disability”, Ethics, Vol. 116, No. 1, Symposium on Disability, The University of Chicago Press, JSTOR)/CWB</w:t>
      </w:r>
    </w:p>
    <w:p w:rsidR="00721D38" w:rsidRPr="00F933AF" w:rsidRDefault="00721D38" w:rsidP="00721D38">
      <w:pPr>
        <w:rPr>
          <w:rStyle w:val="StyleUnderline"/>
          <w:rFonts w:cs="Calibri"/>
        </w:rPr>
      </w:pPr>
      <w:r w:rsidRPr="00F933AF">
        <w:rPr>
          <w:rStyle w:val="StyleUnderline"/>
          <w:rFonts w:cs="Calibri"/>
        </w:rPr>
        <w:t>The adequacy of a theory of distributive justice is now measured partly by its success in dealing with justice for the disabled.</w:t>
      </w:r>
      <w:r w:rsidRPr="00F933AF">
        <w:rPr>
          <w:rFonts w:cs="Calibri"/>
          <w:sz w:val="16"/>
        </w:rPr>
        <w:t xml:space="preserve"> It was not always so. Up to and including Rawls, no major theory of justice in the Western philosophical tradition made disability a prominent issue.1 No doubt that was partly due to the fact that until the last half of the twentieth century, the number of severely disabled people who had any reasonable hope of long-term survival was small, and until recent medical advances, the medical treatment and social arrangements that could help them were limited and relatively cheap. Thus, </w:t>
      </w:r>
      <w:r w:rsidRPr="00F933AF">
        <w:rPr>
          <w:rStyle w:val="StyleUnderline"/>
          <w:rFonts w:cs="Calibri"/>
        </w:rPr>
        <w:t>until recently it was probably plausible to think that a proper distribution of wealth could handle such matters without special philosophical attention to the extent and nature of people’s disabilities.2 Circumstances have changed. In affluent, developed, stable nations with good medical systems, many people with major physical and cognitive disabilities have life expectancies after onset that are 85 percent to 95 percent of that of the population as a whole</w:t>
      </w:r>
      <w:r w:rsidRPr="00F933AF">
        <w:rPr>
          <w:rFonts w:cs="Calibri"/>
          <w:sz w:val="16"/>
        </w:rPr>
        <w:t xml:space="preserve">.3 That is, the disabled have such life expectancies if substantial social resources are committed to them and if the necessary caregivers can be found. Under such circumstances, </w:t>
      </w:r>
      <w:r w:rsidRPr="00F933AF">
        <w:rPr>
          <w:rStyle w:val="StyleUnderline"/>
          <w:rFonts w:cs="Calibri"/>
        </w:rPr>
        <w:t>the number of people who live with major disabilities has increased dramatically</w:t>
      </w:r>
      <w:r w:rsidRPr="00F933AF">
        <w:rPr>
          <w:rFonts w:cs="Calibri"/>
          <w:sz w:val="16"/>
        </w:rPr>
        <w:t xml:space="preserve">, and, in the space of a few decades, </w:t>
      </w:r>
      <w:r w:rsidRPr="00F933AF">
        <w:rPr>
          <w:rStyle w:val="StyleUnderline"/>
          <w:rFonts w:cs="Calibri"/>
        </w:rPr>
        <w:t>it has become implausible to construct a theory of distributive justice that does not take this into account.4 Doing so however can be incendiary, at least if the effort is simply to extend standard utilitarian or contractarian theories of justice to cover disability.5 The current philosophical landscape does not make the issue easy.</w:t>
      </w:r>
      <w:r w:rsidRPr="00F933AF">
        <w:rPr>
          <w:rFonts w:cs="Calibri"/>
          <w:sz w:val="16"/>
        </w:rPr>
        <w:t xml:space="preserve"> On the one hand, there is the well-established</w:t>
      </w:r>
      <w:r w:rsidRPr="00F933AF">
        <w:rPr>
          <w:rStyle w:val="StyleUnderline"/>
          <w:rFonts w:cs="Calibri"/>
        </w:rPr>
        <w:t xml:space="preserve"> commitment to making justice a matter of fairness and equality for all human beings</w:t>
      </w:r>
      <w:r w:rsidRPr="00F933AF">
        <w:rPr>
          <w:rFonts w:cs="Calibri"/>
          <w:sz w:val="16"/>
        </w:rPr>
        <w:t xml:space="preserve">, plus the well-established lines of argument that </w:t>
      </w:r>
      <w:r w:rsidRPr="00F933AF">
        <w:rPr>
          <w:rStyle w:val="StyleUnderline"/>
          <w:rFonts w:cs="Calibri"/>
        </w:rPr>
        <w:t>urge us to extend theories of justice</w:t>
      </w:r>
      <w:r w:rsidRPr="00F933AF">
        <w:rPr>
          <w:rFonts w:cs="Calibri"/>
          <w:sz w:val="16"/>
        </w:rPr>
        <w:t xml:space="preserve"> to nonhuman animals and to the inanimate environment as well. </w:t>
      </w:r>
      <w:r w:rsidRPr="00F933AF">
        <w:rPr>
          <w:rStyle w:val="StyleUnderline"/>
          <w:rFonts w:cs="Calibri"/>
        </w:rPr>
        <w:t xml:space="preserve">On the other hand, we continue to build theories of justice out of notions of mutual advantage, aggregate welfare, </w:t>
      </w:r>
      <w:r w:rsidRPr="00F933AF">
        <w:rPr>
          <w:rFonts w:cs="Calibri"/>
          <w:sz w:val="16"/>
        </w:rPr>
        <w:t>moral agency, human flourishing,</w:t>
      </w:r>
      <w:r w:rsidRPr="00F933AF">
        <w:rPr>
          <w:rStyle w:val="StyleUnderline"/>
          <w:rFonts w:cs="Calibri"/>
        </w:rPr>
        <w:t xml:space="preserve"> membership in the</w:t>
      </w:r>
      <w:r w:rsidRPr="00F933AF">
        <w:rPr>
          <w:rFonts w:cs="Calibri"/>
          <w:sz w:val="16"/>
        </w:rPr>
        <w:t xml:space="preserve"> moral</w:t>
      </w:r>
      <w:r w:rsidRPr="00F933AF">
        <w:rPr>
          <w:rStyle w:val="StyleUnderline"/>
          <w:rFonts w:cs="Calibri"/>
        </w:rPr>
        <w:t xml:space="preserve"> community, and participation in </w:t>
      </w:r>
      <w:r w:rsidRPr="00F933AF">
        <w:rPr>
          <w:rFonts w:cs="Calibri"/>
          <w:sz w:val="16"/>
        </w:rPr>
        <w:t>social conventions and social</w:t>
      </w:r>
      <w:r w:rsidRPr="00F933AF">
        <w:rPr>
          <w:rStyle w:val="StyleUnderline"/>
          <w:rFonts w:cs="Calibri"/>
        </w:rPr>
        <w:t xml:space="preserve"> institutions. Those theory-building notions inevitably limit or at any rate focus attention on arrangements made by and for capable moral agents</w:t>
      </w:r>
      <w:r w:rsidRPr="00F933AF">
        <w:rPr>
          <w:rFonts w:cs="Calibri"/>
          <w:sz w:val="16"/>
        </w:rPr>
        <w:t xml:space="preserve"> who have much to gain and lose from the cooperative arrangements they make or fail to make with eachother.6 </w:t>
      </w:r>
      <w:r w:rsidRPr="00F933AF">
        <w:rPr>
          <w:rStyle w:val="StyleUnderline"/>
          <w:rFonts w:cs="Calibri"/>
        </w:rPr>
        <w:t>Any theory of justice founded on the notions of impartiality and individual well-being (whether consequentialist or perfectionist) threatens to discount the welfare of the disabled. Any theory of justice founded on the notions of self-interest and mutual advantage (whether consequentialist or contractarian) threatens to exclude some disabled people from social conventions or contracts altogether.7 To many disabled people</w:t>
      </w:r>
      <w:r w:rsidRPr="00F933AF">
        <w:rPr>
          <w:rFonts w:cs="Calibri"/>
          <w:sz w:val="16"/>
        </w:rPr>
        <w:t xml:space="preserve"> or their advocates, </w:t>
      </w:r>
      <w:r w:rsidRPr="00F933AF">
        <w:rPr>
          <w:rStyle w:val="StyleUnderline"/>
          <w:rFonts w:cs="Calibri"/>
        </w:rPr>
        <w:t>what seems to be wrong with standard theories of justice</w:t>
      </w:r>
      <w:r w:rsidRPr="00F933AF">
        <w:rPr>
          <w:rFonts w:cs="Calibri"/>
          <w:sz w:val="16"/>
        </w:rPr>
        <w:t xml:space="preserve">, at least in the case of profound cognitive disabilities, </w:t>
      </w:r>
      <w:r w:rsidRPr="00F933AF">
        <w:rPr>
          <w:rStyle w:val="StyleUnderline"/>
          <w:rFonts w:cs="Calibri"/>
        </w:rPr>
        <w:t>is that they do not adequately or securely locate entitlements in the interests, claims, or persons of the disabled individuals themselves.</w:t>
      </w:r>
      <w:r w:rsidRPr="00F933AF">
        <w:rPr>
          <w:rFonts w:cs="Calibri"/>
          <w:sz w:val="16"/>
        </w:rPr>
        <w:t xml:space="preserve"> Rather, in social contract theory for example, it seems that rational agents get together and make contracts among themselves which may or may not deal with the disabled in a derivative way, by proxy or through trustee arrangements. Moreover, in theories designed to maximize aggregate welfare, it seems that the interests of humans with profound cognitive disabilities are so heavily discounted that they are effectively uncounted in the aggregation procedure. For that reason, </w:t>
      </w:r>
      <w:r w:rsidRPr="00F933AF">
        <w:rPr>
          <w:rStyle w:val="StyleUnderline"/>
          <w:rFonts w:cs="Calibri"/>
        </w:rPr>
        <w:t xml:space="preserve">advocates for the disabled </w:t>
      </w:r>
      <w:r w:rsidRPr="00F933AF">
        <w:rPr>
          <w:rFonts w:cs="Calibri"/>
          <w:sz w:val="16"/>
        </w:rPr>
        <w:t xml:space="preserve">may initially be </w:t>
      </w:r>
      <w:r w:rsidRPr="00F933AF">
        <w:rPr>
          <w:rStyle w:val="StyleUnderline"/>
          <w:rFonts w:cs="Calibri"/>
        </w:rPr>
        <w:t>more comfortable with</w:t>
      </w:r>
      <w:r w:rsidRPr="00F933AF">
        <w:rPr>
          <w:rFonts w:cs="Calibri"/>
          <w:sz w:val="16"/>
        </w:rPr>
        <w:t xml:space="preserve"> a vaguely </w:t>
      </w:r>
      <w:r w:rsidRPr="00F933AF">
        <w:rPr>
          <w:rStyle w:val="StyleUnderline"/>
          <w:rFonts w:cs="Calibri"/>
        </w:rPr>
        <w:t>Kantian</w:t>
      </w:r>
      <w:r w:rsidRPr="00F933AF">
        <w:rPr>
          <w:rFonts w:cs="Calibri"/>
          <w:sz w:val="16"/>
        </w:rPr>
        <w:t xml:space="preserve"> or theological </w:t>
      </w:r>
      <w:r w:rsidRPr="00F933AF">
        <w:rPr>
          <w:rStyle w:val="StyleUnderline"/>
          <w:rFonts w:cs="Calibri"/>
        </w:rPr>
        <w:t>theory of justice</w:t>
      </w:r>
      <w:r w:rsidRPr="00F933AF">
        <w:rPr>
          <w:rFonts w:cs="Calibri"/>
          <w:sz w:val="16"/>
        </w:rPr>
        <w:t xml:space="preserve"> founded on the infinite moral worth or dignity of every human being, which concept of dignity is then often translated into a doctrine of inalienable human rights— rights not only to life, liberty, and property but also to health and habilitation. Even granting that such rights can be given a convincing philosophical foundation (a large grant to make), this leaves us with seemingly interminable arguments about positive versus negative rights, claim rights versus liberties, and conflicts of rights in situations of scarcity. In what follows I will take a different course. I will argue that </w:t>
      </w:r>
      <w:r w:rsidRPr="00F933AF">
        <w:rPr>
          <w:rStyle w:val="StyleUnderline"/>
          <w:rFonts w:cs="Calibri"/>
        </w:rPr>
        <w:t>an adequate conception of reciprocity goes a long way toward answering the challenge that disability poses to theories of justice.</w:t>
      </w:r>
    </w:p>
    <w:p w:rsidR="00D61738" w:rsidRDefault="00D61738" w:rsidP="00D61738">
      <w:pPr>
        <w:pStyle w:val="Heading4"/>
      </w:pPr>
      <w:r>
        <w:t>Utilitarianism cost-benefit analysis justifies the dehumanization of disabled bodies</w:t>
      </w:r>
    </w:p>
    <w:p w:rsidR="00D61738" w:rsidRPr="009031A2" w:rsidRDefault="00D61738" w:rsidP="00D61738">
      <w:pPr>
        <w:rPr>
          <w:rStyle w:val="Style13ptBold"/>
        </w:rPr>
      </w:pPr>
      <w:r>
        <w:rPr>
          <w:rStyle w:val="Style13ptBold"/>
        </w:rPr>
        <w:t xml:space="preserve">Jarman 14 </w:t>
      </w:r>
      <w:r w:rsidRPr="00690DB9">
        <w:t>(Michelle Jarman is Associate Professor of Disability Studies at the Wyoming Institute for Disabilities. She is also adjunct faculty in Gender and Women’s Studies. “Disability Studies Ethics: Theoretical Approaches for the Undergraduate Classroom,” Review of Disability Studies: An International Journal, Volume 4, No. 4, 2014, http://www.rdsjournal.org/index.php/journal/article/view/241)//SLiang</w:t>
      </w:r>
    </w:p>
    <w:p w:rsidR="00D61738" w:rsidRDefault="00D61738" w:rsidP="00D61738">
      <w:r w:rsidRPr="00C31A1E">
        <w:rPr>
          <w:u w:val="single"/>
        </w:rPr>
        <w:t xml:space="preserve">Utilitarianism takes as its guiding principle that everyone should act according to the greatest good for all concerned. </w:t>
      </w:r>
      <w:r w:rsidRPr="00C31A1E">
        <w:t>In other words, moral action is determined by evaluating potential ramifications, and moral agents are obligated to choose the optimal act, or the one determined to provide the best consequences</w:t>
      </w:r>
      <w:r>
        <w:t xml:space="preserve"> (Thiroux, 1998; Kagan, 1998). In practice, however, it is extremely difficult to predict the outcomes an action will have upon everyone involved. </w:t>
      </w:r>
      <w:r w:rsidRPr="00C31A1E">
        <w:rPr>
          <w:u w:val="single"/>
        </w:rPr>
        <w:t>More important to disability studies, the ideal of the greatest good for greatest number often devolves into cost-benefit debates where majority interests are pursued at minority groups’ expense.</w:t>
      </w:r>
      <w:r>
        <w:t xml:space="preserve"> </w:t>
      </w:r>
      <w:r w:rsidRPr="00C31A1E">
        <w:rPr>
          <w:rStyle w:val="Emphasis"/>
        </w:rPr>
        <w:t xml:space="preserve">The legacies of utilitarianism are evident in resource allocation debates in modern industrialized societies, in which providing civic access, medical support, and other resources to people with disabilities center </w:t>
      </w:r>
      <w:proofErr w:type="gramStart"/>
      <w:r w:rsidRPr="00C31A1E">
        <w:rPr>
          <w:rStyle w:val="Emphasis"/>
        </w:rPr>
        <w:t>around</w:t>
      </w:r>
      <w:proofErr w:type="gramEnd"/>
      <w:r w:rsidRPr="00C31A1E">
        <w:rPr>
          <w:rStyle w:val="Emphasis"/>
        </w:rPr>
        <w:t xml:space="preserve"> cost-benefit analyses</w:t>
      </w:r>
      <w:r>
        <w:t xml:space="preserve">. </w:t>
      </w:r>
      <w:r w:rsidRPr="00C31A1E">
        <w:rPr>
          <w:u w:val="single"/>
        </w:rPr>
        <w:t>Such models inevitably position those most in need of supports as least beneficial to the social fabric—</w:t>
      </w:r>
      <w:r w:rsidRPr="00C31A1E">
        <w:rPr>
          <w:rStyle w:val="Emphasis"/>
        </w:rPr>
        <w:t>assumptions built upon medical authority, which correlates increased impairment levels with decreased quality of life—a euphemism for lesser human worth</w:t>
      </w:r>
      <w:r>
        <w:t xml:space="preserve">. </w:t>
      </w:r>
      <w:r w:rsidRPr="00C31A1E">
        <w:rPr>
          <w:u w:val="single"/>
        </w:rPr>
        <w:t>These arbitrary judgments portray people with disabilities as tragic sufferers who should be pitied, not as potential contributors to cultural life—or the bottom line</w:t>
      </w:r>
      <w:r>
        <w:t>. As Wendell (1996) has argued, this limiting mindset continues to make it very difficult to allocate disability resources, “because most people still think of disability as a personal or family responsibility, and…because public aid to people with disabilities has long been characterized as pure charity, rather than as a social investment in ability and productivity” (p. 51). In effect, utilitarian and medical model assumptions inhere within social thought and political structures and function invisibly as natural practices.</w:t>
      </w:r>
      <w:r>
        <w:br/>
      </w:r>
    </w:p>
    <w:p w:rsidR="00D61738" w:rsidRDefault="00D61738" w:rsidP="00D61738">
      <w:pPr>
        <w:pStyle w:val="Heading4"/>
      </w:pPr>
      <w:r>
        <w:t>Rational, duty based ethics deny the disabled body agency and exclude them</w:t>
      </w:r>
    </w:p>
    <w:p w:rsidR="00D61738" w:rsidRPr="00690DB9" w:rsidRDefault="00D61738" w:rsidP="00D61738">
      <w:pPr>
        <w:rPr>
          <w:b/>
          <w:bCs/>
          <w:sz w:val="26"/>
        </w:rPr>
      </w:pPr>
      <w:r>
        <w:rPr>
          <w:rStyle w:val="Style13ptBold"/>
        </w:rPr>
        <w:t xml:space="preserve">Jarman 14 </w:t>
      </w:r>
      <w:r w:rsidRPr="00690DB9">
        <w:t>(Michelle Jarman is Associate Professor of Disability Studies at the Wyoming Institute for Disabilities. She is also adjunct faculty in Gender and Women’s Studies. “Disability Studies Ethics: Theoretical Approaches for the Undergraduate Classroom,” Review of Disability Studies: An International Journal, Volume 4, No. 4, 2014, http://www.rdsjournal.org/index.php/journal/article/view/241)//SLiang</w:t>
      </w:r>
    </w:p>
    <w:p w:rsidR="00D61738" w:rsidRDefault="00D61738" w:rsidP="00D61738">
      <w:r w:rsidRPr="00AE53EC">
        <w:rPr>
          <w:u w:val="single"/>
        </w:rPr>
        <w:t>In contrast, Kant’s duty ethics assumes that as people act from a sense of innate, rational duty, they will come to agree upon universal moral rules that will guide their actions—which, following such reasoning, will tend toward the good of everyone concerned. In this construct, moral decisions are determined through reason, and are assumed to be logically consistent (Furrow, 2006).</w:t>
      </w:r>
      <w:r>
        <w:t xml:space="preserve"> In critique of Kant’s enduring influence, Kittay (2002) has pointed out that his model connects human value and human dignity to pure rationality and moral duty: </w:t>
      </w:r>
      <w:r w:rsidRPr="00945314">
        <w:rPr>
          <w:u w:val="single"/>
        </w:rPr>
        <w:t>“The capacity that elevates humans to the status of moral agents, [Kant] thought, is the rationality by which we judge if we can universalize maxims we choose for our own actions. Rational agency, he maintained, not our mere species membership, gives us the dignity of moral beings”</w:t>
      </w:r>
      <w:r>
        <w:t xml:space="preserve"> (p. 262). </w:t>
      </w:r>
      <w:r w:rsidRPr="00945314">
        <w:rPr>
          <w:u w:val="single"/>
        </w:rPr>
        <w:t>This privileging of rational agency, which implies an individual subjectivity based upon independence and autonomy, inevitably excludes people with a variety of intellectual or communicative impairments</w:t>
      </w:r>
      <w:r>
        <w:t xml:space="preserve">. As we explore more modern theories of humanitarian ethics and social justice, students are encouraged to ask how definitions of personhood, citizenship, and moral agency continue to reflect such ableist assumptions. In order to trace the enduring nature of how the human is conceived through reason and competence, we consider the work of Rawls (1971), arguably one of the most influential modern social philosophers. Moving outside the boundaries of consequences and internal morality, Rawls (1971) focused upon developing a comprehensive theory of social justice by outlining the principles that should govern political structures. His goal was to determine what kind of social contract everyone could agree upon, taking into account the vast differences people hold about how to live. After looking at the basics of his theory of social justice, we consider some of the problems his philosophical framework presents to disabled people. In his theory, Rawls (1971) defined the negotiating or acting parties as competent adults, thereby constructing a boundary that could be used to expel many people with cognitive, communicative, or other impairments. I borrow Nussbaum’s (2002) critique of Rawls (1980), to extend the discussion of philosophical exclusions. </w:t>
      </w:r>
      <w:r w:rsidRPr="00E95DE0">
        <w:t xml:space="preserve">The following quote from Rawls (as cited in Nussbaum, 2002) illustrates to students the rational methods still used to justify exclusions of people with disabilities from social discourse, and by extension, society: </w:t>
      </w:r>
      <w:r w:rsidRPr="002D730D">
        <w:rPr>
          <w:u w:val="single"/>
        </w:rPr>
        <w:t>“So let’s add that all citizens are fully cooperating members of society over the course of a complete life</w:t>
      </w:r>
      <w:r w:rsidRPr="00E95DE0">
        <w:rPr>
          <w:u w:val="single"/>
        </w:rPr>
        <w:t xml:space="preserve">. This means that everyone has sufficient intellectual powers to play a normal part in society, and no one suffers from unusual needs that are especially difficult to fulfill, for example, unusual and costly medical requirements. Of course, care for those with such requirements is a pressing practical question. </w:t>
      </w:r>
      <w:r>
        <w:t xml:space="preserve">But at this initial stage, the fundamental problem of social justice arises between those who are full and active and morally conscientious participants in society…Therefore, it is sensible to lay aside certain difficult complications. If we can work out a theory that covers the fundamental case, we can try to extend it to other cases later” (as cited in Nussbaum, 2002, p. 190). </w:t>
      </w:r>
      <w:r w:rsidRPr="00E95DE0">
        <w:rPr>
          <w:rStyle w:val="Emphasis"/>
        </w:rPr>
        <w:t>As we consider this setting aside of so-called complications, we must ask how a theory of social justice can be built around the deliberate exclusion of people with dependencies. Also if such people are conceived of from the beginning as difficult and complicated, won’t their integration back into the social fabric be fraught with problems as well?</w:t>
      </w:r>
      <w:r>
        <w:t xml:space="preserve"> As students consider these questions in conjunction with disability studies values and ethical frameworks, they begin to see how the social structures we have inherited are very much a product of these philosophical constructs.</w:t>
      </w:r>
    </w:p>
    <w:p w:rsidR="00C10BAF" w:rsidRPr="00F933AF" w:rsidRDefault="00C10BAF" w:rsidP="00C10BAF">
      <w:pPr>
        <w:pStyle w:val="Heading4"/>
        <w:rPr>
          <w:rFonts w:cs="Calibri"/>
        </w:rPr>
      </w:pPr>
      <w:r w:rsidRPr="00F933AF">
        <w:rPr>
          <w:rFonts w:cs="Calibri"/>
        </w:rPr>
        <w:t xml:space="preserve">Yes util greater-beneift criterion favors the disabled </w:t>
      </w:r>
      <w:r w:rsidRPr="00F933AF">
        <w:rPr>
          <w:rFonts w:cs="Calibri"/>
          <w:u w:val="single"/>
        </w:rPr>
        <w:t xml:space="preserve">resource </w:t>
      </w:r>
      <w:r w:rsidRPr="00F933AF">
        <w:rPr>
          <w:rFonts w:cs="Calibri"/>
        </w:rPr>
        <w:t>distribution, but it prioritizes the abled in life</w:t>
      </w:r>
    </w:p>
    <w:p w:rsidR="00C10BAF" w:rsidRPr="00F933AF" w:rsidRDefault="00C10BAF" w:rsidP="00C10BAF">
      <w:pPr>
        <w:rPr>
          <w:rFonts w:cs="Calibri"/>
        </w:rPr>
      </w:pPr>
      <w:r w:rsidRPr="00F933AF">
        <w:rPr>
          <w:rStyle w:val="Style13ptBold"/>
          <w:rFonts w:cs="Calibri"/>
        </w:rPr>
        <w:t>Stein 1</w:t>
      </w:r>
      <w:r w:rsidRPr="00F933AF">
        <w:rPr>
          <w:rFonts w:cs="Calibri"/>
        </w:rPr>
        <w:t xml:space="preserve"> (Mark S. Stein, law degree from the University of Michigan, PhD in political science from Yale, former fellow at Harvard’s Petre-Flom Center, October 2001, “Utilitarianism and the Disabled: Distribution of Life”, Social Theory and Practice, Vol. 27, No. 4, Special Issue: Embodied Values: Philosophy and Disabilities, Florida State University Department of Philosophy, JSTOR)/CWB</w:t>
      </w:r>
    </w:p>
    <w:p w:rsidR="00C10BAF" w:rsidRPr="00F933AF" w:rsidRDefault="00C10BAF" w:rsidP="00C10BAF">
      <w:pPr>
        <w:rPr>
          <w:rFonts w:cs="Calibri"/>
          <w:sz w:val="16"/>
        </w:rPr>
      </w:pPr>
      <w:r w:rsidRPr="00F933AF">
        <w:rPr>
          <w:rStyle w:val="StyleUnderline"/>
          <w:rFonts w:cs="Calibri"/>
        </w:rPr>
        <w:t>The Utilitarian Greater-Benefit Criterion The first-order distributive principle of utilitarianism is to distribute resources to the people" who will most benefit from those resources, "benefit" being understood here as an increase in utility or welfare. Absent secondary considerations, the distribution of resources to the people who will most benefit from those resources will maximize welfare</w:t>
      </w:r>
      <w:r w:rsidRPr="00F933AF">
        <w:rPr>
          <w:rFonts w:cs="Calibri"/>
          <w:sz w:val="16"/>
        </w:rPr>
        <w:t xml:space="preserve">. I will refer to the principle that resources should be distributed to the people who would most benefit from them as the greater-benefit criterion. </w:t>
      </w:r>
      <w:r w:rsidRPr="00F933AF">
        <w:rPr>
          <w:rStyle w:val="StyleUnderline"/>
          <w:rFonts w:cs="Calibri"/>
        </w:rPr>
        <w:t>Harsanyi and Singer, among others, have stressed</w:t>
      </w:r>
      <w:r w:rsidRPr="00F933AF">
        <w:rPr>
          <w:rFonts w:cs="Calibri"/>
          <w:sz w:val="16"/>
        </w:rPr>
        <w:t xml:space="preserve"> the centrality to utilitarianism of the greater-benefit criterion.12 </w:t>
      </w:r>
      <w:proofErr w:type="gramStart"/>
      <w:r w:rsidRPr="00F933AF">
        <w:rPr>
          <w:rFonts w:cs="Calibri"/>
          <w:sz w:val="16"/>
        </w:rPr>
        <w:t>If</w:t>
      </w:r>
      <w:proofErr w:type="gramEnd"/>
      <w:r w:rsidRPr="00F933AF">
        <w:rPr>
          <w:rFonts w:cs="Calibri"/>
          <w:sz w:val="16"/>
        </w:rPr>
        <w:t xml:space="preserve"> the </w:t>
      </w:r>
      <w:r w:rsidRPr="00F933AF">
        <w:rPr>
          <w:rStyle w:val="StyleUnderline"/>
          <w:rFonts w:cs="Calibri"/>
        </w:rPr>
        <w:t>utilitarian greater-benefit criterion</w:t>
      </w:r>
      <w:r w:rsidRPr="00F933AF">
        <w:rPr>
          <w:rFonts w:cs="Calibri"/>
          <w:sz w:val="16"/>
        </w:rPr>
        <w:t xml:space="preserve"> is applied under the assumption of lower disabled welfare, it has implications for the distribution of non-life-saving resources that are actually rather favorable to the disabled. Often resources can be used to cure or ameliorate disability. The assumption of lower disabled welfare suggests that disabled people would derive considerable benefit from resources used to cure or ameliorate disability. For example, if paraplegia substantially reduces a per son's welfare, then curing that person's paraplegia will substantially increase his welfare. Even ameliorative measures that fall far short of a cure can substantially increase the welfare of the disabled. If one reason paraplegia reduces welfare is that it makes it difficult for people to get around, the provision of wheelchairs to paraplegics can substantially increase their welfare, as can modification of the environment. </w:t>
      </w:r>
      <w:r w:rsidRPr="00F933AF">
        <w:rPr>
          <w:rStyle w:val="StyleUnderline"/>
          <w:rFonts w:cs="Calibri"/>
        </w:rPr>
        <w:t>Accordingly, the disabled have a relatively strong claim on resources under utilitarianism</w:t>
      </w:r>
      <w:r w:rsidRPr="00F933AF">
        <w:rPr>
          <w:rFonts w:cs="Calibri"/>
          <w:sz w:val="16"/>
        </w:rPr>
        <w:t xml:space="preserve">—or so I have elsewhere argued.13 Of course, the distribution or redistribution of resources to the dis abled would not be unlimited under utilitarianism. </w:t>
      </w:r>
      <w:r w:rsidRPr="00F933AF">
        <w:rPr>
          <w:rStyle w:val="StyleUnderline"/>
          <w:rFonts w:cs="Calibri"/>
        </w:rPr>
        <w:t>In some cases</w:t>
      </w:r>
      <w:r w:rsidRPr="00F933AF">
        <w:rPr>
          <w:rFonts w:cs="Calibri"/>
          <w:sz w:val="16"/>
        </w:rPr>
        <w:t xml:space="preserve">, non disabled claimants for resources, </w:t>
      </w:r>
      <w:r w:rsidRPr="00F933AF">
        <w:rPr>
          <w:rStyle w:val="StyleUnderline"/>
          <w:rFonts w:cs="Calibri"/>
        </w:rPr>
        <w:t>such as the nondisabled poor</w:t>
      </w:r>
      <w:r w:rsidRPr="00F933AF">
        <w:rPr>
          <w:rFonts w:cs="Calibri"/>
          <w:sz w:val="16"/>
        </w:rPr>
        <w:t xml:space="preserve">, might benefit more from additional resources than disabled claimants. In such cases, the </w:t>
      </w:r>
      <w:r w:rsidRPr="00F933AF">
        <w:rPr>
          <w:rStyle w:val="StyleUnderline"/>
          <w:rFonts w:cs="Calibri"/>
        </w:rPr>
        <w:t>nondisabled claimants would have a stronger claim on resources than would disabled claimants</w:t>
      </w:r>
      <w:r w:rsidRPr="00F933AF">
        <w:rPr>
          <w:rFonts w:cs="Calibri"/>
          <w:sz w:val="16"/>
        </w:rPr>
        <w:t xml:space="preserve">. But this aspect of the greater benefit criterion, while perhaps difficult to apply, is not at all offensive. </w:t>
      </w:r>
      <w:r w:rsidRPr="00F933AF">
        <w:rPr>
          <w:rStyle w:val="StyleUnderline"/>
          <w:rFonts w:cs="Calibri"/>
        </w:rPr>
        <w:t>Just as it would seem unfair if society devoted no extra resources to the disabled, so it would also seem unfair if society embarked on a campaign of unlimited redistribution to the disabled</w:t>
      </w:r>
      <w:r w:rsidRPr="00F933AF">
        <w:rPr>
          <w:rFonts w:cs="Calibri"/>
          <w:sz w:val="16"/>
        </w:rPr>
        <w:t xml:space="preserve">. The utilitarian greater-benefit criterion seems to strike the correct balance in the distribution of re sources between disabled people and nondisabled people.14 Distribution of Life </w:t>
      </w:r>
      <w:r w:rsidRPr="00F933AF">
        <w:rPr>
          <w:rStyle w:val="StyleUnderline"/>
          <w:rFonts w:cs="Calibri"/>
        </w:rPr>
        <w:t>Unfortunately, the same sensitivity to relative benefit that makes utilitarianism an appealing approach to the distribution of resources appears to make utilitarianism a counterintuitive and unappealing approach to the distribution of life. If the disabled have on average less welfare than nondisabled people, it seems to follow that the disabled benefit less from continued life than do nondisabled people. Utilitarianism would therefore place a lower value on disabled life than on nondisabled life, and if a choice had to be made between saving the lives of disabled people and saving the lives of nondisabled people, utilitarianism would counsel us to give less preference to the disabled</w:t>
      </w:r>
      <w:r w:rsidRPr="00F933AF">
        <w:rPr>
          <w:rFonts w:cs="Calibri"/>
          <w:sz w:val="16"/>
        </w:rPr>
        <w:t xml:space="preserve">. So, for example, disabled people would receive less preference, in the distribution of life-saving organ transplants, than nondisabled people. Moreover, the utilitarian preference against disabled people in the distribution of life would appear to be exactly proportional to the utili tarian preference in favor of disabled people in the distribution of re sources. </w:t>
      </w:r>
      <w:r w:rsidRPr="00F933AF">
        <w:rPr>
          <w:rStyle w:val="StyleUnderline"/>
          <w:rFonts w:cs="Calibri"/>
        </w:rPr>
        <w:t>However morally urgent it might be to cure a given disabled person, increasing her welfare, it would seem that the same moral urgency must attach to a decision to preserve the life of a nondisabled person in preference to that disabled person, assuming that only one of them could survive.</w:t>
      </w:r>
      <w:r w:rsidRPr="00F933AF">
        <w:rPr>
          <w:rFonts w:cs="Calibri"/>
          <w:sz w:val="16"/>
        </w:rPr>
        <w:t xml:space="preserve"> This problematic seesaw also moves in the other direction. Suppose we say that </w:t>
      </w:r>
      <w:r w:rsidRPr="00F933AF">
        <w:rPr>
          <w:rStyle w:val="StyleUnderline"/>
          <w:rFonts w:cs="Calibri"/>
        </w:rPr>
        <w:t xml:space="preserve">the view </w:t>
      </w:r>
      <w:r w:rsidRPr="00F933AF">
        <w:rPr>
          <w:rFonts w:cs="Calibri"/>
          <w:sz w:val="16"/>
        </w:rPr>
        <w:t>of disabled people as miserable</w:t>
      </w:r>
      <w:r w:rsidRPr="00F933AF">
        <w:rPr>
          <w:rStyle w:val="StyleUnderline"/>
          <w:rFonts w:cs="Calibri"/>
        </w:rPr>
        <w:t xml:space="preserve"> is based on a superficial and discredited psychology</w:t>
      </w:r>
      <w:r w:rsidRPr="00F933AF">
        <w:rPr>
          <w:rFonts w:cs="Calibri"/>
          <w:sz w:val="16"/>
        </w:rPr>
        <w:t xml:space="preserve">. Many psychologists believe that people have a great capability for hedonic adaptation to adverse situations, including disability.15 Therefore, </w:t>
      </w:r>
      <w:r w:rsidRPr="00F933AF">
        <w:rPr>
          <w:rStyle w:val="StyleUnderline"/>
          <w:rFonts w:cs="Calibri"/>
        </w:rPr>
        <w:t>it would</w:t>
      </w:r>
      <w:r w:rsidRPr="00F933AF">
        <w:rPr>
          <w:rFonts w:cs="Calibri"/>
          <w:sz w:val="16"/>
        </w:rPr>
        <w:t xml:space="preserve"> arguably </w:t>
      </w:r>
      <w:r w:rsidRPr="00F933AF">
        <w:rPr>
          <w:rStyle w:val="StyleUnderline"/>
          <w:rFonts w:cs="Calibri"/>
        </w:rPr>
        <w:t>be a mistake to think</w:t>
      </w:r>
      <w:r w:rsidRPr="00F933AF">
        <w:rPr>
          <w:rFonts w:cs="Calibri"/>
          <w:sz w:val="16"/>
        </w:rPr>
        <w:t xml:space="preserve">, for example, </w:t>
      </w:r>
      <w:r w:rsidRPr="00F933AF">
        <w:rPr>
          <w:rStyle w:val="StyleUnderline"/>
          <w:rFonts w:cs="Calibri"/>
        </w:rPr>
        <w:t>that much welfare could be gained by preserving the life of an able-bodied person in preference to the life of a paraplegic.</w:t>
      </w:r>
      <w:r w:rsidRPr="00F933AF">
        <w:rPr>
          <w:rFonts w:cs="Calibri"/>
          <w:sz w:val="16"/>
        </w:rPr>
        <w:t xml:space="preserve"> All well and good, but the apparent implication of such an argument is also that a paraplegic would not achieve much of an increase in welfare if she were cured of paralysis—and that she would achieve an even smaller increase in welfare from ameliorative aid that benefited her less than would a complete cure. In their recent book The Allocation of Health Care Resources</w:t>
      </w:r>
      <w:proofErr w:type="gramStart"/>
      <w:r w:rsidRPr="00F933AF">
        <w:rPr>
          <w:rFonts w:cs="Calibri"/>
          <w:sz w:val="16"/>
        </w:rPr>
        <w:t>,16</w:t>
      </w:r>
      <w:proofErr w:type="gramEnd"/>
      <w:r w:rsidRPr="00F933AF">
        <w:rPr>
          <w:rFonts w:cs="Calibri"/>
          <w:sz w:val="16"/>
        </w:rPr>
        <w:t xml:space="preserve"> utilitarian bioethicists John McKie, Jeff Richardson, Peter Singer, and Helga Kuhse embrace the view that </w:t>
      </w:r>
      <w:r w:rsidRPr="00F933AF">
        <w:rPr>
          <w:rStyle w:val="StyleUnderline"/>
          <w:rFonts w:cs="Calibri"/>
        </w:rPr>
        <w:t>utilitarianism requires health care allocators to discriminate against the disabled in the distribution of life. McKie et al. defend such discrimination as a proper result of the health care allocation theory that seeks to maximize quality-adjusted life years (QALYs), and they support the QALY-maximization theory as an application of utilitarianism to the field of health care allocation</w:t>
      </w:r>
      <w:r w:rsidRPr="00F933AF">
        <w:rPr>
          <w:rFonts w:cs="Calibri"/>
          <w:sz w:val="16"/>
        </w:rPr>
        <w:t xml:space="preserve">. Somewhat surprisingly, </w:t>
      </w:r>
      <w:r w:rsidRPr="00F933AF">
        <w:rPr>
          <w:rStyle w:val="StyleUnderline"/>
          <w:rFonts w:cs="Calibri"/>
        </w:rPr>
        <w:t>discrimination against the disabled in the distribution of life was</w:t>
      </w:r>
      <w:r w:rsidRPr="00F933AF">
        <w:rPr>
          <w:rFonts w:cs="Calibri"/>
          <w:sz w:val="16"/>
        </w:rPr>
        <w:t xml:space="preserve"> also </w:t>
      </w:r>
      <w:r w:rsidRPr="00F933AF">
        <w:rPr>
          <w:rStyle w:val="StyleUnderline"/>
          <w:rFonts w:cs="Calibri"/>
        </w:rPr>
        <w:t>endorsed,</w:t>
      </w:r>
      <w:r w:rsidRPr="00F933AF">
        <w:rPr>
          <w:rFonts w:cs="Calibri"/>
          <w:sz w:val="16"/>
        </w:rPr>
        <w:t xml:space="preserve"> if gingerly, by the "Panel on Cost Effectiveness in Health and Medicine," convened </w:t>
      </w:r>
      <w:r w:rsidRPr="00F933AF">
        <w:rPr>
          <w:rStyle w:val="StyleUnderline"/>
          <w:rFonts w:cs="Calibri"/>
        </w:rPr>
        <w:t>by the U.S. Public Health Service</w:t>
      </w:r>
      <w:r w:rsidRPr="00F933AF">
        <w:rPr>
          <w:rFonts w:cs="Calibri"/>
          <w:sz w:val="16"/>
        </w:rPr>
        <w:t xml:space="preserve">. The Panel on Cost-Effectiveness did not endorse dis crimination against the disabled in the allocation of scarce life-saving medical treatment, such as organ transplants. However, it did gingerly endorse discrimination against the disabled in the allocation of funds to large-scale projects.17 Discrimination against the disabled in the distribution of life has been </w:t>
      </w:r>
      <w:r w:rsidRPr="00F933AF">
        <w:rPr>
          <w:rStyle w:val="StyleUnderline"/>
          <w:rFonts w:cs="Calibri"/>
        </w:rPr>
        <w:t>termed "double jeopardy."</w:t>
      </w:r>
      <w:r w:rsidRPr="00F933AF">
        <w:rPr>
          <w:rFonts w:cs="Calibri"/>
          <w:sz w:val="16"/>
        </w:rPr>
        <w:t xml:space="preserve">18 </w:t>
      </w:r>
    </w:p>
    <w:p w:rsidR="00E5343F" w:rsidRPr="00F933AF" w:rsidRDefault="00E5343F" w:rsidP="00E5343F">
      <w:pPr>
        <w:rPr>
          <w:rFonts w:cs="Calibri"/>
        </w:rPr>
      </w:pPr>
    </w:p>
    <w:p w:rsidR="00675770" w:rsidRDefault="00675770" w:rsidP="00EE31FC">
      <w:pPr>
        <w:pStyle w:val="Heading2"/>
      </w:pPr>
      <w:r>
        <w:t>Framing – Social Model</w:t>
      </w:r>
    </w:p>
    <w:p w:rsidR="00675770" w:rsidRPr="00F933AF" w:rsidRDefault="00675770" w:rsidP="00675770">
      <w:pPr>
        <w:pStyle w:val="Heading4"/>
        <w:rPr>
          <w:rFonts w:cs="Calibri"/>
        </w:rPr>
      </w:pPr>
      <w:r w:rsidRPr="00F933AF">
        <w:rPr>
          <w:rFonts w:cs="Calibri"/>
        </w:rPr>
        <w:t xml:space="preserve">The public charge provision dovetails with the medical model and politics of eugenics that shape ableism in society </w:t>
      </w:r>
    </w:p>
    <w:p w:rsidR="00675770" w:rsidRPr="00F933AF" w:rsidRDefault="00675770" w:rsidP="00675770">
      <w:pPr>
        <w:rPr>
          <w:rStyle w:val="Style13ptBold"/>
          <w:rFonts w:cs="Calibri"/>
          <w:b w:val="0"/>
          <w:sz w:val="24"/>
        </w:rPr>
      </w:pPr>
      <w:r w:rsidRPr="00F933AF">
        <w:rPr>
          <w:rStyle w:val="Style13ptBold"/>
          <w:rFonts w:cs="Calibri"/>
        </w:rPr>
        <w:t>Weber 04</w:t>
      </w:r>
      <w:r w:rsidRPr="00F933AF">
        <w:rPr>
          <w:rStyle w:val="Style13ptBold"/>
          <w:rFonts w:cs="Calibri"/>
          <w:b w:val="0"/>
          <w:color w:val="000000" w:themeColor="text1"/>
          <w:sz w:val="16"/>
          <w:szCs w:val="16"/>
        </w:rPr>
        <w:t xml:space="preserve"> (Mark C. - </w:t>
      </w:r>
      <w:r w:rsidRPr="00F933AF">
        <w:rPr>
          <w:rFonts w:cs="Calibri"/>
          <w:color w:val="000000" w:themeColor="text1"/>
          <w:sz w:val="16"/>
          <w:szCs w:val="16"/>
          <w:shd w:val="clear" w:color="auto" w:fill="FFFFFF"/>
        </w:rPr>
        <w:t>main professional interests are disability rights and complex tort litigation. He is the author of </w:t>
      </w:r>
      <w:r w:rsidRPr="00F933AF">
        <w:rPr>
          <w:rFonts w:cs="Calibri"/>
          <w:i/>
          <w:iCs/>
          <w:color w:val="000000" w:themeColor="text1"/>
          <w:sz w:val="16"/>
          <w:szCs w:val="16"/>
          <w:shd w:val="clear" w:color="auto" w:fill="FFFFFF"/>
        </w:rPr>
        <w:t>Disability Harassment </w:t>
      </w:r>
      <w:r w:rsidRPr="00F933AF">
        <w:rPr>
          <w:rFonts w:cs="Calibri"/>
          <w:color w:val="000000" w:themeColor="text1"/>
          <w:sz w:val="16"/>
          <w:szCs w:val="16"/>
          <w:shd w:val="clear" w:color="auto" w:fill="FFFFFF"/>
        </w:rPr>
        <w:t>(NYU Press), </w:t>
      </w:r>
      <w:r w:rsidRPr="00F933AF">
        <w:rPr>
          <w:rFonts w:cs="Calibri"/>
          <w:i/>
          <w:iCs/>
          <w:color w:val="000000" w:themeColor="text1"/>
          <w:sz w:val="16"/>
          <w:szCs w:val="16"/>
          <w:shd w:val="clear" w:color="auto" w:fill="FFFFFF"/>
        </w:rPr>
        <w:t>Understanding Disability Law</w:t>
      </w:r>
      <w:r w:rsidRPr="00F933AF">
        <w:rPr>
          <w:rFonts w:cs="Calibri"/>
          <w:color w:val="000000" w:themeColor="text1"/>
          <w:sz w:val="16"/>
          <w:szCs w:val="16"/>
          <w:shd w:val="clear" w:color="auto" w:fill="FFFFFF"/>
        </w:rPr>
        <w:t xml:space="preserve">, </w:t>
      </w:r>
      <w:r w:rsidRPr="00F933AF">
        <w:rPr>
          <w:rFonts w:cs="Calibri"/>
          <w:i/>
          <w:iCs/>
          <w:color w:val="000000" w:themeColor="text1"/>
          <w:sz w:val="16"/>
          <w:szCs w:val="16"/>
          <w:shd w:val="clear" w:color="auto" w:fill="FFFFFF"/>
        </w:rPr>
        <w:t>Special Education Law Cases and Material</w:t>
      </w:r>
      <w:r w:rsidRPr="00F933AF">
        <w:rPr>
          <w:rStyle w:val="Style13ptBold"/>
          <w:rFonts w:cs="Calibri"/>
          <w:color w:val="000000" w:themeColor="text1"/>
          <w:sz w:val="16"/>
          <w:szCs w:val="16"/>
        </w:rPr>
        <w:t xml:space="preserve"> </w:t>
      </w:r>
      <w:r w:rsidRPr="00F933AF">
        <w:rPr>
          <w:rFonts w:cs="Calibri"/>
          <w:color w:val="000000" w:themeColor="text1"/>
          <w:sz w:val="16"/>
          <w:szCs w:val="16"/>
          <w:shd w:val="clear" w:color="auto" w:fill="FFFFFF"/>
        </w:rPr>
        <w:t>“Opening the golden door: Disability and the law of immigration.”</w:t>
      </w:r>
      <w:r w:rsidRPr="00F933AF">
        <w:rPr>
          <w:rFonts w:cs="Calibri"/>
          <w:i/>
          <w:iCs/>
          <w:color w:val="000000" w:themeColor="text1"/>
          <w:sz w:val="16"/>
          <w:szCs w:val="16"/>
          <w:shd w:val="clear" w:color="auto" w:fill="FFFFFF"/>
        </w:rPr>
        <w:t> The Journal of Gender, Race, and Justice, 8</w:t>
      </w:r>
      <w:r w:rsidRPr="00F933AF">
        <w:rPr>
          <w:rFonts w:cs="Calibri"/>
          <w:color w:val="000000" w:themeColor="text1"/>
          <w:sz w:val="16"/>
          <w:szCs w:val="16"/>
          <w:shd w:val="clear" w:color="auto" w:fill="FFFFFF"/>
        </w:rPr>
        <w:t>(1), 153-175</w:t>
      </w:r>
      <w:proofErr w:type="gramStart"/>
      <w:r w:rsidRPr="00F933AF">
        <w:rPr>
          <w:rFonts w:cs="Calibri"/>
          <w:color w:val="000000" w:themeColor="text1"/>
          <w:sz w:val="16"/>
          <w:szCs w:val="16"/>
          <w:shd w:val="clear" w:color="auto" w:fill="FFFFFF"/>
        </w:rPr>
        <w:t>)mr</w:t>
      </w:r>
      <w:proofErr w:type="gramEnd"/>
    </w:p>
    <w:p w:rsidR="00675770" w:rsidRDefault="00675770" w:rsidP="00675770">
      <w:pPr>
        <w:shd w:val="clear" w:color="auto" w:fill="FFFFFF"/>
        <w:spacing w:after="255"/>
        <w:rPr>
          <w:rFonts w:cs="Calibri"/>
          <w:color w:val="000000" w:themeColor="text1"/>
          <w:sz w:val="16"/>
          <w:szCs w:val="21"/>
        </w:rPr>
      </w:pPr>
      <w:r w:rsidRPr="00F933AF">
        <w:rPr>
          <w:rFonts w:cs="Calibri"/>
          <w:color w:val="000000" w:themeColor="text1"/>
          <w:sz w:val="21"/>
          <w:szCs w:val="21"/>
          <w:u w:val="single"/>
        </w:rPr>
        <w:t>At one time, the borders of the United States stood open to all immigrants</w:t>
      </w:r>
      <w:r w:rsidRPr="00F933AF">
        <w:rPr>
          <w:rFonts w:cs="Calibri"/>
          <w:color w:val="000000" w:themeColor="text1"/>
          <w:sz w:val="16"/>
          <w:szCs w:val="21"/>
        </w:rPr>
        <w:t>. States and localities exercised sporadic inspection and control</w:t>
      </w:r>
      <w:proofErr w:type="gramStart"/>
      <w:r w:rsidRPr="00F933AF">
        <w:rPr>
          <w:rFonts w:cs="Calibri"/>
          <w:color w:val="000000" w:themeColor="text1"/>
          <w:sz w:val="16"/>
          <w:szCs w:val="21"/>
        </w:rPr>
        <w:t>,6</w:t>
      </w:r>
      <w:proofErr w:type="gramEnd"/>
      <w:r w:rsidRPr="00F933AF">
        <w:rPr>
          <w:rFonts w:cs="Calibri"/>
          <w:color w:val="000000" w:themeColor="text1"/>
          <w:sz w:val="16"/>
          <w:szCs w:val="21"/>
        </w:rPr>
        <w:t xml:space="preserve"> but the federal government did not generally restrict immigration.</w:t>
      </w:r>
      <w:r w:rsidRPr="00F933AF">
        <w:rPr>
          <w:rFonts w:cs="Calibri"/>
          <w:color w:val="000000" w:themeColor="text1"/>
          <w:sz w:val="21"/>
          <w:szCs w:val="21"/>
          <w:u w:val="single"/>
        </w:rPr>
        <w:t>7 When the federal government asserted its power over immigration in the late nineteenth century, it enacted a system of exclusion and inspection that rejected many immigrants on the basis of traits associated with disability</w:t>
      </w:r>
      <w:r w:rsidRPr="00F933AF">
        <w:rPr>
          <w:rFonts w:cs="Calibri"/>
          <w:color w:val="000000" w:themeColor="text1"/>
          <w:sz w:val="16"/>
          <w:szCs w:val="21"/>
        </w:rPr>
        <w:t xml:space="preserve">. The exclusions had their origin in, on the one hand, fear of disability itself and the effect that hereditary disability would have on the native stock. On the other hand, labor policy also determined exclusionary choices.8 </w:t>
      </w:r>
      <w:proofErr w:type="gramStart"/>
      <w:r w:rsidRPr="00F933AF">
        <w:rPr>
          <w:rFonts w:cs="Calibri"/>
          <w:color w:val="000000" w:themeColor="text1"/>
          <w:sz w:val="16"/>
          <w:szCs w:val="21"/>
        </w:rPr>
        <w:t>The</w:t>
      </w:r>
      <w:proofErr w:type="gramEnd"/>
      <w:r w:rsidRPr="00F933AF">
        <w:rPr>
          <w:rFonts w:cs="Calibri"/>
          <w:color w:val="000000" w:themeColor="text1"/>
          <w:sz w:val="16"/>
          <w:szCs w:val="21"/>
        </w:rPr>
        <w:t xml:space="preserve"> country needed workers for industrial expansion; </w:t>
      </w:r>
      <w:r w:rsidRPr="00F933AF">
        <w:rPr>
          <w:rFonts w:cs="Calibri"/>
          <w:color w:val="000000" w:themeColor="text1"/>
          <w:sz w:val="21"/>
          <w:szCs w:val="21"/>
          <w:u w:val="single"/>
        </w:rPr>
        <w:t>the government excluded individuals who appeared unable to contribute to that effort and who seemed likely to become dependent on the state</w:t>
      </w:r>
      <w:r w:rsidRPr="00F933AF">
        <w:rPr>
          <w:rFonts w:cs="Calibri"/>
          <w:color w:val="000000" w:themeColor="text1"/>
          <w:sz w:val="16"/>
          <w:szCs w:val="21"/>
        </w:rPr>
        <w:t xml:space="preserve">. A. Legal Standards and Administrative Operation of Disability-Based Exclusions At the beginning of the twentieth century, </w:t>
      </w:r>
      <w:r w:rsidRPr="00F933AF">
        <w:rPr>
          <w:rFonts w:cs="Calibri"/>
          <w:color w:val="000000" w:themeColor="text1"/>
          <w:sz w:val="21"/>
          <w:szCs w:val="21"/>
          <w:u w:val="single"/>
        </w:rPr>
        <w:t>federal law explicitly excluded</w:t>
      </w:r>
      <w:r w:rsidRPr="00F933AF">
        <w:rPr>
          <w:rFonts w:cs="Calibri"/>
          <w:color w:val="000000" w:themeColor="text1"/>
          <w:sz w:val="16"/>
          <w:szCs w:val="21"/>
        </w:rPr>
        <w:t xml:space="preserve"> "pauper[s]" as well as </w:t>
      </w:r>
      <w:r w:rsidRPr="00F933AF">
        <w:rPr>
          <w:rFonts w:cs="Calibri"/>
          <w:color w:val="000000" w:themeColor="text1"/>
          <w:sz w:val="21"/>
          <w:szCs w:val="21"/>
          <w:u w:val="single"/>
        </w:rPr>
        <w:t>any "lunatic, idiot, or any person unable to take care of himself or herself without becoming a public charge.</w:t>
      </w:r>
      <w:r w:rsidRPr="00F933AF">
        <w:rPr>
          <w:rFonts w:cs="Calibri"/>
          <w:color w:val="000000" w:themeColor="text1"/>
          <w:sz w:val="16"/>
          <w:szCs w:val="21"/>
        </w:rPr>
        <w:t xml:space="preserve">"9 Of course, nearly everyone traveling steerage was impoverished, but the courts generally ruled that poverty alone did not justify exclusion, at least if the immigrant was capable of work.10 Disability, however, did. In United States ex rel. Barlin v. Rodgers,11 the court sustained the exclusion of three impoverished immigrants, the first because he had a "rudimentary right hand," the second because of "poor appearance" and stammering, and the third because he was "undersized."12 United States ex rel. Canfora v. Williams13 ruled that an amputated leg was sufficient to justify the exclusion of a sixty-year-old, though the man had grown children able and willing to support him.14 </w:t>
      </w:r>
      <w:r w:rsidRPr="00F933AF">
        <w:rPr>
          <w:rFonts w:cs="Calibri"/>
          <w:color w:val="000000" w:themeColor="text1"/>
          <w:sz w:val="21"/>
          <w:szCs w:val="21"/>
          <w:u w:val="single"/>
        </w:rPr>
        <w:t>Immigration officers excluded a person at the point of arrival in the United States if the immigrant appeared to them to have disabilities.</w:t>
      </w:r>
      <w:r w:rsidRPr="00F933AF">
        <w:rPr>
          <w:rFonts w:cs="Calibri"/>
          <w:color w:val="000000" w:themeColor="text1"/>
          <w:sz w:val="16"/>
          <w:szCs w:val="21"/>
        </w:rPr>
        <w:t xml:space="preserve">15 Inspectors looked for any of a long list of diseases and abnormalities, including arthritis, asthma, deafness, the loss of an eye or a limb, deformities, poor vision, underdevelopment, and dementia.16 Moreover, steamship lines were responsible for paying the cost of the return passage for those immigrants rejected upon arrival in the United States by the official inspectors, so they instituted their own screening systems;17 some foreign governments also made inspections of immigrants from other countries who crossed their borders to use their ports.18 A study of thirteen months of these systems estimated that they barred 50,000 individuals during that time, in comparison to about 14,000 barred by United States inspectors upon arrival at American ports.19 B. Relation to Eugenic Ideology </w:t>
      </w:r>
      <w:r w:rsidRPr="00F933AF">
        <w:rPr>
          <w:rFonts w:cs="Calibri"/>
          <w:color w:val="000000" w:themeColor="text1"/>
          <w:sz w:val="21"/>
          <w:szCs w:val="21"/>
          <w:u w:val="single"/>
        </w:rPr>
        <w:t>The eagerness to exclude immigrants with disabilities dovetailed with the contemporary ideology of eugenics, a pseudo-science that promoted the breeding of an optimal human race.</w:t>
      </w:r>
      <w:r w:rsidRPr="00F933AF">
        <w:rPr>
          <w:rFonts w:cs="Calibri"/>
          <w:color w:val="000000" w:themeColor="text1"/>
          <w:sz w:val="16"/>
          <w:szCs w:val="21"/>
        </w:rPr>
        <w:t xml:space="preserve">20 Early in the twentieth century, eugenics was used to justify the exclusion of people with disabilities from social life. Courts influenced by this ideology ordered the involuntary sterilization of individuals on the unproven charge that they would pass their disabilities on to their children.21 </w:t>
      </w:r>
      <w:proofErr w:type="gramStart"/>
      <w:r w:rsidRPr="00F933AF">
        <w:rPr>
          <w:rFonts w:cs="Calibri"/>
          <w:color w:val="000000" w:themeColor="text1"/>
          <w:sz w:val="16"/>
          <w:szCs w:val="21"/>
        </w:rPr>
        <w:t>Before</w:t>
      </w:r>
      <w:proofErr w:type="gramEnd"/>
      <w:r w:rsidRPr="00F933AF">
        <w:rPr>
          <w:rFonts w:cs="Calibri"/>
          <w:color w:val="000000" w:themeColor="text1"/>
          <w:sz w:val="16"/>
          <w:szCs w:val="21"/>
        </w:rPr>
        <w:t xml:space="preserve"> the turn of the twentieth century, public officials established policies to keep people with disabilities apart from others, promoting their placement in institutions.22 Even more extreme measures were imposed in some other countries. During the 1930s, Germany initiated a program of killing individuals with disabilities and continued the program through World War II.23 In the United States, infants with disabilities were denied medical care and left to die.24 Even into the 1940s, some American doctors defended killing people with disabling conditions.25 Justice Marshall discussed the legacy of eugenics in his partial dissent in City of Cleburne v. Cleburne Living Center.26 He began by noting that the disability of mental retardation was not always viewed in a negative light: [</w:t>
      </w:r>
      <w:r w:rsidRPr="00F933AF">
        <w:rPr>
          <w:rFonts w:cs="Calibri"/>
          <w:color w:val="000000" w:themeColor="text1"/>
          <w:sz w:val="21"/>
          <w:szCs w:val="21"/>
          <w:u w:val="single"/>
        </w:rPr>
        <w:t>T]he mentally retarded have been subject to a 'lengthy and tragic history' of segregation and discrimination that can only be called grotesque.</w:t>
      </w:r>
      <w:r w:rsidRPr="00F933AF">
        <w:rPr>
          <w:rFonts w:cs="Calibri"/>
          <w:color w:val="000000" w:themeColor="text1"/>
          <w:sz w:val="16"/>
          <w:szCs w:val="21"/>
        </w:rPr>
        <w:t xml:space="preserve"> During much of the 19th century, mental retardation was viewed as neither curable nor dangerous and the retarded were largely left to their own devices.27 But eugenics led to a public policy of segregating people who have disabling conditions: By the latter part of the century and during the first decades of the new one, however, social views of the retarded underwent a radical transformation. Fueled by the rising tide of Social Darwinism, the 'science' of eugenics, and the extreme xenophobia of those years, leading medical authorities and others began to portray the 'feeble-minded' as a 'menace to society and civilization . . . responsible in a large degree for many, if not all, of our social problems.'28 </w:t>
      </w:r>
      <w:r w:rsidRPr="00F933AF">
        <w:rPr>
          <w:rFonts w:cs="Calibri"/>
          <w:color w:val="000000" w:themeColor="text1"/>
          <w:sz w:val="21"/>
          <w:szCs w:val="21"/>
          <w:u w:val="single"/>
        </w:rPr>
        <w:t>This ideology played out into general public policy and promoted the legal exclusion of people with disabilities from society</w:t>
      </w:r>
      <w:r w:rsidRPr="00F933AF">
        <w:rPr>
          <w:rFonts w:cs="Calibri"/>
          <w:color w:val="000000" w:themeColor="text1"/>
          <w:sz w:val="16"/>
          <w:szCs w:val="21"/>
        </w:rPr>
        <w:t xml:space="preserve">, even from public view: A regime of state-mandated segregation and degradation soon emerged that in its virulence and bigotry rivaled, and indeed paralleled, the worst excesses of Jim Crow. Massive custodial institutions were built to warehouse the retarded for life; the aim was to halt reproduction of the retarded and 'nearly extinguish their race.' Retarded children were categorically excluded from public schools, based on the false stereotype that all were ineducable and on the purported need to protect nonretarded children from them. </w:t>
      </w:r>
      <w:r w:rsidRPr="00F933AF">
        <w:rPr>
          <w:rFonts w:cs="Calibri"/>
          <w:color w:val="000000" w:themeColor="text1"/>
          <w:sz w:val="21"/>
          <w:szCs w:val="21"/>
          <w:u w:val="single"/>
        </w:rPr>
        <w:t>State laws deemed those with disabilities 'unfit for citizenship.'</w:t>
      </w:r>
      <w:r w:rsidRPr="00F933AF">
        <w:rPr>
          <w:rFonts w:cs="Calibri"/>
          <w:color w:val="000000" w:themeColor="text1"/>
          <w:sz w:val="16"/>
          <w:szCs w:val="21"/>
        </w:rPr>
        <w:t xml:space="preserve">29 </w:t>
      </w:r>
      <w:r w:rsidRPr="00F933AF">
        <w:rPr>
          <w:rFonts w:cs="Calibri"/>
          <w:color w:val="000000" w:themeColor="text1"/>
          <w:sz w:val="21"/>
          <w:szCs w:val="21"/>
          <w:u w:val="single"/>
        </w:rPr>
        <w:t>Eugenics had a profound influence on immigration law at the turn of the century, as lawmakers gradually made the language of the public charge exclusion stricter and tied it more closely to mental and physical disability</w:t>
      </w:r>
      <w:r w:rsidRPr="00F933AF">
        <w:rPr>
          <w:rFonts w:cs="Calibri"/>
          <w:color w:val="000000" w:themeColor="text1"/>
          <w:sz w:val="16"/>
          <w:szCs w:val="21"/>
        </w:rPr>
        <w:t xml:space="preserve">. </w:t>
      </w:r>
      <w:r w:rsidRPr="00F933AF">
        <w:rPr>
          <w:rFonts w:cs="Calibri"/>
          <w:color w:val="000000" w:themeColor="text1"/>
          <w:sz w:val="21"/>
          <w:szCs w:val="21"/>
          <w:u w:val="single"/>
        </w:rPr>
        <w:t>The exclusion</w:t>
      </w:r>
      <w:r w:rsidRPr="00F933AF">
        <w:rPr>
          <w:rFonts w:cs="Calibri"/>
          <w:color w:val="000000" w:themeColor="text1"/>
          <w:sz w:val="16"/>
          <w:szCs w:val="21"/>
        </w:rPr>
        <w:t xml:space="preserve"> that began as that of any person "unable to take care of himself or herself without becoming a public charge," </w:t>
      </w:r>
      <w:r w:rsidRPr="00F933AF">
        <w:rPr>
          <w:rFonts w:cs="Calibri"/>
          <w:color w:val="000000" w:themeColor="text1"/>
          <w:sz w:val="21"/>
          <w:szCs w:val="21"/>
          <w:u w:val="single"/>
        </w:rPr>
        <w:t>became that of those "likely to become a public charge"</w:t>
      </w:r>
      <w:r w:rsidRPr="00F933AF">
        <w:rPr>
          <w:rFonts w:cs="Calibri"/>
          <w:color w:val="000000" w:themeColor="text1"/>
          <w:sz w:val="16"/>
          <w:szCs w:val="21"/>
        </w:rPr>
        <w:t xml:space="preserve"> in 1891, and then in 1907, transmuted into the elimination of anyone "mentally or physically defective, such mental or physical defect being of a nature which may affect the ability of such alien to earn a living."30 Language aimed at excluding those with mental illness became more inclusive over the same period.31 Policymakers were frightened of degeneracy, as the Commissioner of Ellis Island declared in 1912: The fact that mentally defective immigrants may become a burden on the taxpayer is a relatively unimportant consideration. What is vitally important is that such persons contribute largely to the criminal classes and that they may leave feeble minded descendants and so start vicious strains leading to misery and loss in future generations and influencing unfavorably the character and lives of hundreds of persons.32 John Higham summarizes: </w:t>
      </w:r>
      <w:r w:rsidRPr="00F933AF">
        <w:rPr>
          <w:rFonts w:cs="Calibri"/>
          <w:color w:val="000000" w:themeColor="text1"/>
          <w:sz w:val="21"/>
          <w:szCs w:val="21"/>
          <w:u w:val="single"/>
        </w:rPr>
        <w:t>From the eugenicists' point of view, the immigration question was at heart a biological one, and to them admitting "degenerate breeding stock" seemed one of the worst sins the nation could commit against itself</w:t>
      </w:r>
      <w:r w:rsidRPr="00F933AF">
        <w:rPr>
          <w:rFonts w:cs="Calibri"/>
          <w:color w:val="000000" w:themeColor="text1"/>
          <w:sz w:val="16"/>
          <w:szCs w:val="21"/>
        </w:rPr>
        <w:t>. It was axiomatic to these naive Mendelians that environment could never modify an immigrant's germ plasm and that only a rigid selection of the best immigrant stock could improve rather than pollute endless generations to come.33 Eugenics' impact on immigration policy as a whole was limited only because the eugenicists could not persuasively tie degeneracy to specific ethnic groups until racism gained widespread respectability (outside the South) in the 1910s and 1920s.34 Prior to that time, the impact of the movement was felt specifically by the persons with disabilities rather than generally by whole ethnic classes of supposedly inferior human beings.</w:t>
      </w:r>
    </w:p>
    <w:p w:rsidR="00675770" w:rsidRPr="00F933AF" w:rsidRDefault="00675770" w:rsidP="00675770">
      <w:pPr>
        <w:pStyle w:val="Heading4"/>
        <w:rPr>
          <w:rStyle w:val="Style13ptBold"/>
          <w:rFonts w:cs="Calibri"/>
          <w:b/>
        </w:rPr>
      </w:pPr>
      <w:r w:rsidRPr="00F933AF">
        <w:rPr>
          <w:rStyle w:val="Style13ptBold"/>
          <w:rFonts w:cs="Calibri"/>
          <w:b/>
        </w:rPr>
        <w:t xml:space="preserve">The medical model of disability is justification for societal oppression – even if </w:t>
      </w:r>
      <w:r w:rsidR="00654D92">
        <w:rPr>
          <w:rStyle w:val="Style13ptBold"/>
          <w:rFonts w:cs="Calibri"/>
          <w:b/>
        </w:rPr>
        <w:t>the social model’s</w:t>
      </w:r>
      <w:r w:rsidRPr="00F933AF">
        <w:rPr>
          <w:rStyle w:val="Style13ptBold"/>
          <w:rFonts w:cs="Calibri"/>
          <w:b/>
        </w:rPr>
        <w:t xml:space="preserve"> premise isn’t 100% correct, it is necessary to transform government policy </w:t>
      </w:r>
    </w:p>
    <w:p w:rsidR="00675770" w:rsidRPr="00F933AF" w:rsidRDefault="00675770" w:rsidP="00675770">
      <w:pPr>
        <w:rPr>
          <w:rStyle w:val="Style13ptBold"/>
          <w:rFonts w:cs="Calibri"/>
          <w:b w:val="0"/>
          <w:sz w:val="24"/>
        </w:rPr>
      </w:pPr>
      <w:r w:rsidRPr="00F933AF">
        <w:rPr>
          <w:rStyle w:val="Style13ptBold"/>
          <w:rFonts w:cs="Calibri"/>
        </w:rPr>
        <w:t>Crane 15</w:t>
      </w:r>
      <w:r w:rsidRPr="00F933AF">
        <w:rPr>
          <w:rStyle w:val="Style13ptBold"/>
          <w:rFonts w:cs="Calibri"/>
          <w:b w:val="0"/>
          <w:sz w:val="16"/>
          <w:szCs w:val="16"/>
        </w:rPr>
        <w:t>, Sarah Elizabeth Rachel -</w:t>
      </w:r>
      <w:r w:rsidRPr="00F933AF">
        <w:rPr>
          <w:rStyle w:val="Style13ptBold"/>
          <w:rFonts w:cs="Calibri"/>
          <w:sz w:val="16"/>
          <w:szCs w:val="16"/>
        </w:rPr>
        <w:t xml:space="preserve"> </w:t>
      </w:r>
      <w:r w:rsidRPr="00F933AF">
        <w:rPr>
          <w:rFonts w:cs="Calibri"/>
          <w:sz w:val="16"/>
          <w:szCs w:val="16"/>
        </w:rPr>
        <w:t>LEWIS &amp; CLARK Graduate School of Education and Counseling; dissertation submitted in partial fulfillment of the requirements for the degree of Doctor of Education in Leadership “Foucault, Disability Studies, and Mental Health Diagnosis in Children: An Analysis of Discourse and the Social Construction of Disability” 2015//mr</w:t>
      </w:r>
    </w:p>
    <w:p w:rsidR="00675770" w:rsidRPr="00EE31FC" w:rsidRDefault="00675770" w:rsidP="00675770">
      <w:pPr>
        <w:rPr>
          <w:rFonts w:cs="Calibri"/>
          <w:sz w:val="16"/>
        </w:rPr>
      </w:pPr>
      <w:r w:rsidRPr="00F933AF">
        <w:rPr>
          <w:rFonts w:cs="Calibri"/>
          <w:u w:val="single"/>
        </w:rPr>
        <w:t xml:space="preserve">In our society, we use a medical, deficit model of disability, which leads us to believe that disability is wrong and should be fixed </w:t>
      </w:r>
      <w:r w:rsidRPr="00F933AF">
        <w:rPr>
          <w:rFonts w:cs="Calibri"/>
          <w:sz w:val="16"/>
        </w:rPr>
        <w:t xml:space="preserve">(Hughes, 2005). This is precisely where Disability Studies steps in. Disabilities Studies researchers believe we have a history of discriminating against people with difference. </w:t>
      </w:r>
      <w:r w:rsidRPr="00F933AF">
        <w:rPr>
          <w:rFonts w:cs="Calibri"/>
          <w:u w:val="single"/>
        </w:rPr>
        <w:t>Limiting one’s options because one has a disability is no different than limiting one’s options because one is black, female, gay, or queer. People with disabilities have been oppressed, separated, and even used, but their plight received less attention than other marginalized groups</w:t>
      </w:r>
      <w:r w:rsidRPr="00F933AF">
        <w:rPr>
          <w:rFonts w:cs="Calibri"/>
          <w:sz w:val="16"/>
        </w:rPr>
        <w:t xml:space="preserve"> until Disability Studies came into the picture (Baglieri, Valle, Connor, &amp; Gallagher, 2011). It is important to note </w:t>
      </w:r>
      <w:r w:rsidRPr="00F933AF">
        <w:rPr>
          <w:rFonts w:cs="Calibri"/>
          <w:u w:val="single"/>
        </w:rPr>
        <w:t>our history of using disability as a way to further discriminate against people in marginalized groups. Labels of disability found through testing, have</w:t>
      </w:r>
      <w:r w:rsidRPr="00F933AF">
        <w:rPr>
          <w:rFonts w:cs="Calibri"/>
          <w:sz w:val="16"/>
        </w:rPr>
        <w:t xml:space="preserve">, at different times in our history, </w:t>
      </w:r>
      <w:r w:rsidRPr="00F933AF">
        <w:rPr>
          <w:rFonts w:cs="Calibri"/>
          <w:u w:val="single"/>
        </w:rPr>
        <w:t>been used to suggest a generalized disability and lack of worth of people of color, women, and people of Jewish decent</w:t>
      </w:r>
      <w:r w:rsidRPr="00F933AF">
        <w:rPr>
          <w:rFonts w:cs="Calibri"/>
          <w:sz w:val="16"/>
        </w:rPr>
        <w:t xml:space="preserve"> (Baynton, 2001). Understanding societies’ discomfort and fear of disability leads to great self-reflection. </w:t>
      </w:r>
      <w:r w:rsidRPr="00F933AF">
        <w:rPr>
          <w:rFonts w:cs="Calibri"/>
          <w:u w:val="single"/>
        </w:rPr>
        <w:t>Do we believe people with disabilities are worth less? While most people would answer “no,” our traditions, agencies, and societal treatment would suggest people with disabilities have to fight to show their worth</w:t>
      </w:r>
      <w:r w:rsidRPr="00F933AF">
        <w:rPr>
          <w:rFonts w:cs="Calibri"/>
          <w:sz w:val="16"/>
        </w:rPr>
        <w:t xml:space="preserve"> (Hughes, 2005). Research continually suggests there is a preference toward people who are normal (Adler &amp; Wahl, 1998; Snyder-Grant, 2001; Thomas, 2000). A person with a difference in mental well-being is particularly stigmatized and seen as abnormal (Charlton, 1998; Tringo, 1970). </w:t>
      </w:r>
      <w:r w:rsidRPr="00F933AF">
        <w:rPr>
          <w:rFonts w:cs="Calibri"/>
          <w:u w:val="single"/>
        </w:rPr>
        <w:t>Regardless of whether a difference is real or perceived, normative culture does not tolerate such diversity, but instead seeks conformity</w:t>
      </w:r>
      <w:r w:rsidRPr="00F933AF">
        <w:rPr>
          <w:rFonts w:cs="Calibri"/>
          <w:sz w:val="16"/>
        </w:rPr>
        <w:t xml:space="preserve"> (Hinshaw &amp; Cicchetti, 2000). Social Construction </w:t>
      </w:r>
      <w:proofErr w:type="gramStart"/>
      <w:r w:rsidRPr="00F933AF">
        <w:rPr>
          <w:rFonts w:cs="Calibri"/>
          <w:sz w:val="16"/>
        </w:rPr>
        <w:t>To</w:t>
      </w:r>
      <w:proofErr w:type="gramEnd"/>
      <w:r w:rsidRPr="00F933AF">
        <w:rPr>
          <w:rFonts w:cs="Calibri"/>
          <w:sz w:val="16"/>
        </w:rPr>
        <w:t xml:space="preserve"> socially construct something is to create reality through social interactions and discourse. According to Disability Studies scholars, the social construction of disability leads to the social reproduction of a belief that something is wrong and needs to be fixed within the individual. In contrast, Disability Studies locates the problem of difference within society and the environment (Siebers, 2008). Changes in the environment are necessary for children with mental health diagnoses. Disability Studies scholars suggest our </w:t>
      </w:r>
      <w:r w:rsidRPr="00F933AF">
        <w:rPr>
          <w:rFonts w:cs="Calibri"/>
          <w:u w:val="single"/>
        </w:rPr>
        <w:t>society should accept and expect difference; policies which point out differences through naming them are actually the problem, not the solution</w:t>
      </w:r>
      <w:r w:rsidRPr="00F933AF">
        <w:rPr>
          <w:rFonts w:cs="Calibri"/>
          <w:sz w:val="16"/>
        </w:rPr>
        <w:t xml:space="preserve"> (Campbell, 2005). Instead, policies and laws should require inclusive, accessible environments across our society.</w:t>
      </w:r>
    </w:p>
    <w:p w:rsidR="00675770" w:rsidRPr="00F933AF" w:rsidRDefault="00675770" w:rsidP="00675770">
      <w:pPr>
        <w:pStyle w:val="Heading4"/>
        <w:rPr>
          <w:rFonts w:cs="Calibri"/>
        </w:rPr>
      </w:pPr>
      <w:r w:rsidRPr="00F933AF">
        <w:rPr>
          <w:rFonts w:cs="Calibri"/>
        </w:rPr>
        <w:t>Despite its failure to acknowledge the biological and cultural constitution of the body, the social model is net better than the medical model—confining impairment to nature internalizes the corresponding apolitical, medical agenda which perpetuates ableist segregation from the public domain</w:t>
      </w:r>
    </w:p>
    <w:p w:rsidR="00675770" w:rsidRPr="00F933AF" w:rsidRDefault="00675770" w:rsidP="00675770">
      <w:pPr>
        <w:rPr>
          <w:rFonts w:cs="Calibri"/>
          <w:sz w:val="18"/>
          <w:szCs w:val="18"/>
        </w:rPr>
      </w:pPr>
      <w:r w:rsidRPr="00F933AF">
        <w:rPr>
          <w:rFonts w:cs="Calibri"/>
          <w:b/>
        </w:rPr>
        <w:t xml:space="preserve">Hughes 2000 </w:t>
      </w:r>
      <w:r w:rsidRPr="00F933AF">
        <w:rPr>
          <w:rFonts w:cs="Calibri"/>
          <w:sz w:val="18"/>
          <w:szCs w:val="18"/>
        </w:rPr>
        <w:t>(Bill Hughes, Taylor &amp; Francis Online, Medicine and the Aesthetic Invalidation of Disabled People,” Disability &amp; Society, Vol. 15, No. 4, pg. 555-557, 2000)//jy</w:t>
      </w:r>
    </w:p>
    <w:p w:rsidR="00675770" w:rsidRPr="00F933AF" w:rsidRDefault="00675770" w:rsidP="00675770">
      <w:pPr>
        <w:rPr>
          <w:rFonts w:cs="Calibri"/>
          <w:b/>
          <w:u w:val="single"/>
        </w:rPr>
      </w:pPr>
      <w:r w:rsidRPr="00F933AF">
        <w:rPr>
          <w:rFonts w:cs="Calibri"/>
          <w:sz w:val="12"/>
        </w:rPr>
        <w:t xml:space="preserve">Throughout modernity, until very recently, the dominant framework for understanding disability has been </w:t>
      </w:r>
      <w:r w:rsidRPr="00F933AF">
        <w:rPr>
          <w:rFonts w:cs="Calibri"/>
          <w:u w:val="single"/>
        </w:rPr>
        <w:t>the medical model</w:t>
      </w:r>
      <w:r w:rsidRPr="00F933AF">
        <w:rPr>
          <w:rFonts w:cs="Calibri"/>
          <w:sz w:val="12"/>
        </w:rPr>
        <w:t xml:space="preserve">. This model </w:t>
      </w:r>
      <w:r w:rsidRPr="00F933AF">
        <w:rPr>
          <w:rFonts w:cs="Calibri"/>
          <w:u w:val="single"/>
        </w:rPr>
        <w:t>is far from socially benign</w:t>
      </w:r>
      <w:r w:rsidRPr="00F933AF">
        <w:rPr>
          <w:rFonts w:cs="Calibri"/>
          <w:sz w:val="12"/>
        </w:rPr>
        <w:t xml:space="preserve">, since for disabled people, </w:t>
      </w:r>
      <w:r w:rsidRPr="00F933AF">
        <w:rPr>
          <w:rFonts w:cs="Calibri"/>
          <w:u w:val="single"/>
        </w:rPr>
        <w:t>it is based on the disabling extrapolation that bio-physical ‘maladaptation’</w:t>
      </w:r>
      <w:r w:rsidRPr="00F933AF">
        <w:rPr>
          <w:rFonts w:cs="Calibri"/>
          <w:sz w:val="12"/>
        </w:rPr>
        <w:t xml:space="preserve">—to use the ubiquitous evolutionary terminology— </w:t>
      </w:r>
      <w:r w:rsidRPr="00F933AF">
        <w:rPr>
          <w:rFonts w:cs="Calibri"/>
          <w:u w:val="single"/>
        </w:rPr>
        <w:t>leads to social maladaptation</w:t>
      </w:r>
      <w:r w:rsidRPr="00F933AF">
        <w:rPr>
          <w:rFonts w:cs="Calibri"/>
          <w:sz w:val="12"/>
        </w:rPr>
        <w:t xml:space="preserve">. </w:t>
      </w:r>
      <w:r w:rsidRPr="00F933AF">
        <w:rPr>
          <w:rFonts w:cs="Calibri"/>
          <w:u w:val="single"/>
        </w:rPr>
        <w:t>The premise contained</w:t>
      </w:r>
      <w:r w:rsidRPr="00F933AF">
        <w:rPr>
          <w:rFonts w:cs="Calibri"/>
          <w:sz w:val="12"/>
        </w:rPr>
        <w:t xml:space="preserve"> in the extrapolation, namely, </w:t>
      </w:r>
      <w:r w:rsidRPr="00F933AF">
        <w:rPr>
          <w:rFonts w:cs="Calibri"/>
          <w:u w:val="single"/>
        </w:rPr>
        <w:t>that the biological determines the social is both far from fact and politically conservative: ‘To define abnormality in terms of social maladaptation is’</w:t>
      </w:r>
      <w:r w:rsidRPr="00F933AF">
        <w:rPr>
          <w:rFonts w:cs="Calibri"/>
          <w:sz w:val="12"/>
        </w:rPr>
        <w:t xml:space="preserve"> wrote Georges Canguilhem (1991, p. 283) ‘more or less </w:t>
      </w:r>
      <w:r w:rsidRPr="00F933AF">
        <w:rPr>
          <w:rFonts w:cs="Calibri"/>
          <w:u w:val="single"/>
        </w:rPr>
        <w:t>to accept the idea that the individual must subscribe to the fact of such a society, hence must accommodate himself to it as a reality which is at the same time a good</w:t>
      </w:r>
      <w:r w:rsidRPr="00F933AF">
        <w:rPr>
          <w:rFonts w:cs="Calibri"/>
          <w:sz w:val="12"/>
        </w:rPr>
        <w:t xml:space="preserve">.’ This philosophical rebuttal of the view that the wisdom of the body lies in its acquiescence to the social status quo (thts e rather wet dream of sociobiologists, functionalists and positivists of a conservative persuasion) contains the critical seed which led to the germination the social model of disability. </w:t>
      </w:r>
      <w:r w:rsidRPr="00F933AF">
        <w:rPr>
          <w:rFonts w:cs="Calibri"/>
          <w:u w:val="single"/>
        </w:rPr>
        <w:t>While the medical model demands that disabled people adapt to society, the social model demands changes in social structure that will reflect the needs of disabled people. The social model emphasises the collective, structural, and social—as opposed to the individual, personal and medical—origins of disability</w:t>
      </w:r>
      <w:r w:rsidRPr="00F933AF">
        <w:rPr>
          <w:rFonts w:cs="Calibri"/>
          <w:sz w:val="12"/>
        </w:rPr>
        <w:t xml:space="preserve"> (Oliver, 1990). As disabled people began—in the wake of the radicalism of the 1960s—to develop autonomous organisations and an emancipatory political agenda, the medical management of disability came under fire from disabled people who had experienced medical patronage as unhelpful or demeaning. Cure—despite medical rhetoric to the contrary—was not on offer, and </w:t>
      </w:r>
      <w:r w:rsidRPr="00F933AF">
        <w:rPr>
          <w:rFonts w:cs="Calibri"/>
          <w:u w:val="single"/>
        </w:rPr>
        <w:t>while care and rehabilitation did much for the reputation of the medical profession, for disabled people, such practices served, primarily, to sustain the myth that they were sick and dependent</w:t>
      </w:r>
      <w:r w:rsidRPr="00F933AF">
        <w:rPr>
          <w:rFonts w:cs="Calibri"/>
          <w:sz w:val="12"/>
        </w:rPr>
        <w:t xml:space="preserve"> (Oliver et al., 1988). Even medical sociology which embraced a social model of health participated in the discourse which reduced disability to invalidism: ‘</w:t>
      </w:r>
      <w:r w:rsidRPr="00F933AF">
        <w:rPr>
          <w:rFonts w:cs="Calibri"/>
          <w:u w:val="single"/>
        </w:rPr>
        <w:t>medical sociology has tended to investigate all impairments … from an illness perspective’</w:t>
      </w:r>
      <w:r w:rsidRPr="00F933AF">
        <w:rPr>
          <w:rFonts w:cs="Calibri"/>
          <w:sz w:val="12"/>
        </w:rPr>
        <w:t xml:space="preserve"> (Barnes &amp; Mercer, 1996, p. 5). Disabled people were both defined and confined by medical jurisdiction. </w:t>
      </w:r>
      <w:r w:rsidRPr="00F933AF">
        <w:rPr>
          <w:rFonts w:cs="Calibri"/>
          <w:u w:val="single"/>
        </w:rPr>
        <w:t>The identities of disabled people were reduced to medical categories and their scope for social participation was limited either by segregation in medically managed spaces or by problems of access to the public domain</w:t>
      </w:r>
      <w:r w:rsidRPr="00F933AF">
        <w:rPr>
          <w:rFonts w:cs="Calibri"/>
          <w:sz w:val="12"/>
        </w:rPr>
        <w:t xml:space="preserve">, most notably, mainstream education, transport and the labour market (Barnes, 1991). </w:t>
      </w:r>
      <w:r w:rsidRPr="00F933AF">
        <w:rPr>
          <w:rFonts w:cs="Calibri"/>
          <w:u w:val="single"/>
        </w:rPr>
        <w:t>By mapping out the social origins of disability, disability activists had produced a radical model which set an agenda for social change as opposed to medical intervention</w:t>
      </w:r>
      <w:r w:rsidRPr="00F933AF">
        <w:rPr>
          <w:rFonts w:cs="Calibri"/>
          <w:sz w:val="12"/>
        </w:rPr>
        <w:t xml:space="preserve"> (Finkelstein, 1980; Oliver, 1990). This position entailed a sharp distinction between disability and impairment which became the theoretical bedrock of the social model. </w:t>
      </w:r>
      <w:r w:rsidRPr="00F933AF">
        <w:rPr>
          <w:rFonts w:cs="Calibri"/>
          <w:u w:val="single"/>
        </w:rPr>
        <w:t>It focused its attention upon socially produced disablement and its elimination to the neglect of a sociological account of impairment</w:t>
      </w:r>
      <w:r w:rsidRPr="00F933AF">
        <w:rPr>
          <w:rFonts w:cs="Calibri"/>
          <w:sz w:val="12"/>
        </w:rPr>
        <w:t xml:space="preserve">. The latter was regarded as a facet of the domain of nature, as a pre-social bodily disposition (Hughes &amp; Paterson, 1997). </w:t>
      </w:r>
      <w:r w:rsidRPr="00F933AF">
        <w:rPr>
          <w:rFonts w:cs="Calibri"/>
          <w:u w:val="single"/>
        </w:rPr>
        <w:t>Whilst this had huge political advantages for the youthful disability movement, it has become much clearer</w:t>
      </w:r>
      <w:r w:rsidRPr="00F933AF">
        <w:rPr>
          <w:rFonts w:cs="Calibri"/>
          <w:sz w:val="12"/>
        </w:rPr>
        <w:t xml:space="preserve"> in recent years </w:t>
      </w:r>
      <w:r w:rsidRPr="00F933AF">
        <w:rPr>
          <w:rFonts w:cs="Calibri"/>
          <w:u w:val="single"/>
        </w:rPr>
        <w:t>that</w:t>
      </w:r>
      <w:r w:rsidRPr="00F933AF">
        <w:rPr>
          <w:rFonts w:cs="Calibri"/>
          <w:sz w:val="12"/>
        </w:rPr>
        <w:t xml:space="preserve"> in a ‘somatic society’ (Turner, 1996) </w:t>
      </w:r>
      <w:r w:rsidRPr="00F933AF">
        <w:rPr>
          <w:rFonts w:cs="Calibri"/>
          <w:u w:val="single"/>
        </w:rPr>
        <w:t>the body is at the heart of social life, and that its constitution is both biological and cultural. The contemporary intellectual and political climate is no longer convinced by the dualisms of modernity or the binary oppositions of structuralism</w:t>
      </w:r>
      <w:r w:rsidRPr="00F933AF">
        <w:rPr>
          <w:rFonts w:cs="Calibri"/>
          <w:sz w:val="12"/>
        </w:rPr>
        <w:t>. Recognition of the social nature of impairment within disability studies began to register (Abberley, 1987; Shakespeare and Watson, 1995 a</w:t>
      </w:r>
      <w:proofErr w:type="gramStart"/>
      <w:r w:rsidRPr="00F933AF">
        <w:rPr>
          <w:rFonts w:cs="Calibri"/>
          <w:sz w:val="12"/>
        </w:rPr>
        <w:t>,b</w:t>
      </w:r>
      <w:proofErr w:type="gramEnd"/>
      <w:r w:rsidRPr="00F933AF">
        <w:rPr>
          <w:rFonts w:cs="Calibri"/>
          <w:sz w:val="12"/>
        </w:rPr>
        <w:t xml:space="preserve">), </w:t>
      </w:r>
      <w:r w:rsidRPr="00F933AF">
        <w:rPr>
          <w:rFonts w:cs="Calibri"/>
          <w:u w:val="single"/>
        </w:rPr>
        <w:t>but it sat uneasily alongside the concern that it implied a return to the much maligned medical model and the reactionary politics of disability that its hegemony had fostered.</w:t>
      </w:r>
      <w:r w:rsidRPr="00F933AF">
        <w:rPr>
          <w:rFonts w:cs="Calibri"/>
          <w:sz w:val="12"/>
        </w:rPr>
        <w:t xml:space="preserve"> Strong and understandable reservations have been expressed about the need for a ‘sociology’ or ‘social model’ of impairment (Oliver, 1996). </w:t>
      </w:r>
      <w:r w:rsidRPr="00F933AF">
        <w:rPr>
          <w:rFonts w:cs="Calibri"/>
          <w:u w:val="single"/>
        </w:rPr>
        <w:t>Nevertheless, it can be argued that confining impairment to the domain of nature</w:t>
      </w:r>
      <w:r w:rsidRPr="00F933AF">
        <w:rPr>
          <w:rFonts w:cs="Calibri"/>
          <w:sz w:val="12"/>
        </w:rPr>
        <w:t xml:space="preserve"> (which medical discourse claims as its object) </w:t>
      </w:r>
      <w:r w:rsidRPr="00F933AF">
        <w:rPr>
          <w:rFonts w:cs="Calibri"/>
          <w:u w:val="single"/>
        </w:rPr>
        <w:t>is to accept, without question, medical jurisdiction over matters of the body and to concede to an apolitical, medical agenda with respect to it</w:t>
      </w:r>
      <w:r w:rsidRPr="00F933AF">
        <w:rPr>
          <w:rFonts w:cs="Calibri"/>
          <w:sz w:val="12"/>
        </w:rPr>
        <w:t xml:space="preserve"> (Hughes &amp; Paterson, 1997). My contention is that </w:t>
      </w:r>
      <w:r w:rsidRPr="00F933AF">
        <w:rPr>
          <w:rFonts w:cs="Calibri"/>
          <w:u w:val="single"/>
        </w:rPr>
        <w:t>a sociology or social model of impairment can deepen</w:t>
      </w:r>
      <w:r w:rsidRPr="00F933AF">
        <w:rPr>
          <w:rFonts w:cs="Calibri"/>
          <w:sz w:val="12"/>
        </w:rPr>
        <w:t>—rather than damage—</w:t>
      </w:r>
      <w:r w:rsidRPr="00F933AF">
        <w:rPr>
          <w:rFonts w:cs="Calibri"/>
          <w:u w:val="single"/>
        </w:rPr>
        <w:t>the critique of the medical model of disability, partly because it is better placed</w:t>
      </w:r>
      <w:r w:rsidRPr="00F933AF">
        <w:rPr>
          <w:rFonts w:cs="Calibri"/>
          <w:sz w:val="12"/>
        </w:rPr>
        <w:t>—than an unreconstructed social model of disability—</w:t>
      </w:r>
      <w:r w:rsidRPr="00F933AF">
        <w:rPr>
          <w:rFonts w:cs="Calibri"/>
          <w:u w:val="single"/>
        </w:rPr>
        <w:t>to attend to a critique of medicine as culture.</w:t>
      </w:r>
      <w:r w:rsidRPr="00F933AF">
        <w:rPr>
          <w:rFonts w:cs="Calibri"/>
          <w:sz w:val="12"/>
        </w:rPr>
        <w:t xml:space="preserve"> Elsewhere, I have argued that the oppression and alterity of disabled people is closely connected to the negative perceptual constitution of impairment in the visual culture of post-modernity and that </w:t>
      </w:r>
      <w:r w:rsidRPr="00F933AF">
        <w:rPr>
          <w:rFonts w:cs="Calibri"/>
          <w:u w:val="single"/>
        </w:rPr>
        <w:t xml:space="preserve">the medical gaze has been a key player in invalidating bodies that do not conform to its ideal discursive constructs </w:t>
      </w:r>
      <w:r w:rsidRPr="00F933AF">
        <w:rPr>
          <w:rFonts w:cs="Calibri"/>
          <w:sz w:val="12"/>
        </w:rPr>
        <w:t>(Hughes, 1999). What I wish to propose in this paper is, that a challenge to the aesthetic of oppression is also a challenge to medicine and the medical model of disability. In drawing out the links between the aestheticisation and medicalisation (speci cally the ‘geneticisation’) 1 of contemporary life, I want to suggest that these partner processes—particularly in the ways in which they interact in the new genetics—play an important role in reinforcing the alterity and exclusion of people with impairments.</w:t>
      </w:r>
    </w:p>
    <w:p w:rsidR="00675770" w:rsidRDefault="00675770" w:rsidP="00675770">
      <w:pPr>
        <w:pStyle w:val="Heading4"/>
      </w:pPr>
      <w:r>
        <w:t>The social model enables political organization, collective identity, and promotes individual self-worth</w:t>
      </w:r>
    </w:p>
    <w:p w:rsidR="00675770" w:rsidRPr="00A418F0" w:rsidRDefault="00675770" w:rsidP="00675770">
      <w:r>
        <w:rPr>
          <w:b/>
        </w:rPr>
        <w:t xml:space="preserve">Goering 15 </w:t>
      </w:r>
      <w:r w:rsidRPr="00627336">
        <w:rPr>
          <w:sz w:val="18"/>
          <w:szCs w:val="18"/>
        </w:rPr>
        <w:t>(Sara Goering, “Rethinking disability: the social model of disability and chronic disease,” Vol. 8, Issue 2, Current Reviews in Musculoskeletal Medicine, pg. 134-135, 4/11/15)//jy</w:t>
      </w:r>
    </w:p>
    <w:p w:rsidR="00675770" w:rsidRDefault="00675770" w:rsidP="00675770">
      <w:pPr>
        <w:rPr>
          <w:sz w:val="12"/>
        </w:rPr>
      </w:pPr>
      <w:r w:rsidRPr="00566880">
        <w:rPr>
          <w:u w:val="single"/>
        </w:rPr>
        <w:t>One result of the common medical understanding of disability is that people with disabilities</w:t>
      </w:r>
      <w:r w:rsidRPr="00204899">
        <w:rPr>
          <w:sz w:val="12"/>
        </w:rPr>
        <w:t xml:space="preserve"> often </w:t>
      </w:r>
      <w:r w:rsidRPr="00566880">
        <w:rPr>
          <w:u w:val="single"/>
        </w:rPr>
        <w:t>report feeling excluded, undervalued, pressured to fit a questionable norm, and/or treated as if they were globally incapacitated</w:t>
      </w:r>
      <w:r w:rsidRPr="00204899">
        <w:rPr>
          <w:sz w:val="12"/>
        </w:rPr>
        <w:t xml:space="preserve">. People with disabilities often express frustration when they are met with pitying attitudes or incredulity if they speak about anything positive related to living with their conditions. Many memoirs and books now attest to this common experience (e.g., Encounters with Strangers [3], Waist-High in the World [4], Moving Violations [5], </w:t>
      </w:r>
      <w:proofErr w:type="gramStart"/>
      <w:r w:rsidRPr="00204899">
        <w:rPr>
          <w:sz w:val="12"/>
        </w:rPr>
        <w:t>The</w:t>
      </w:r>
      <w:proofErr w:type="gramEnd"/>
      <w:r w:rsidRPr="00204899">
        <w:rPr>
          <w:sz w:val="12"/>
        </w:rPr>
        <w:t xml:space="preserve"> Rejected Body [6]). </w:t>
      </w:r>
      <w:r w:rsidRPr="00566880">
        <w:rPr>
          <w:u w:val="single"/>
        </w:rPr>
        <w:t>For many people with disabilities, the main disadvantage they experience does not stem directly from their bodies, but rather from their unwelcome reception in the world, in terms of how physical structures, institutional norms, and social attitudes exclude and/or denigrate them</w:t>
      </w:r>
      <w:r w:rsidRPr="00204899">
        <w:rPr>
          <w:sz w:val="12"/>
        </w:rPr>
        <w:t>. As Lois Keith remarks, Doing disability all day long can be an exhausting process. I don’t mean having an impairment, in my own case not being able to walk. Like most disabled people I can deal with this. I mean having to spend a significant part of each day dealing with a physical world which is historically designed to exclude me and, even more tiring, dealing with other people’s preconceptions and misconceptions about me</w:t>
      </w:r>
      <w:proofErr w:type="gramStart"/>
      <w:r w:rsidRPr="00204899">
        <w:rPr>
          <w:sz w:val="12"/>
        </w:rPr>
        <w:t>.^</w:t>
      </w:r>
      <w:proofErr w:type="gramEnd"/>
      <w:r w:rsidRPr="00204899">
        <w:rPr>
          <w:sz w:val="12"/>
        </w:rPr>
        <w:t xml:space="preserve"> [7] The social model of disability </w:t>
      </w:r>
      <w:r w:rsidRPr="00566880">
        <w:rPr>
          <w:u w:val="single"/>
        </w:rPr>
        <w:t>In response to the traditional medical model of disability, disability activists and scholars have offered a social model of disability</w:t>
      </w:r>
      <w:r w:rsidRPr="00204899">
        <w:rPr>
          <w:sz w:val="12"/>
        </w:rPr>
        <w:t xml:space="preserve"> [8], </w:t>
      </w:r>
      <w:r w:rsidRPr="00892F05">
        <w:rPr>
          <w:u w:val="single"/>
        </w:rPr>
        <w:t>which relies on a relatively sharp distinction between impairment and disability.</w:t>
      </w:r>
      <w:r w:rsidRPr="00566880">
        <w:rPr>
          <w:u w:val="single"/>
        </w:rPr>
        <w:t xml:space="preserve"> Within the social model, impairment is understood as a state of the body that is nonstandard</w:t>
      </w:r>
      <w:r w:rsidRPr="00204899">
        <w:rPr>
          <w:sz w:val="12"/>
        </w:rPr>
        <w:t xml:space="preserve">, defined as lacking part of or all of a limb, or having a defective limb, organ or mechanism of the body^ ([8], p. 22). </w:t>
      </w:r>
      <w:r w:rsidRPr="00566880">
        <w:rPr>
          <w:u w:val="single"/>
        </w:rPr>
        <w:t>As such, impairment may or may not be met with a negative evaluation by its possessor [</w:t>
      </w:r>
      <w:r w:rsidRPr="00204899">
        <w:rPr>
          <w:sz w:val="12"/>
        </w:rPr>
        <w:t>9]. People who are blind from birth, for instance, often understand their blindness as a neutral way of being, rather than as a deficit or a problem. Consider Deborah Kent, who reports that B…from my point of view, I wasn’t like a normal child – I was normal. From the beginning I learned to deal with the world as a blind person. I didn’t long for sight any more than I yearned for a pair of wings…I premised my life on the conviction that blindness was a neutral characteristic^ ([10], p. 57–58). Similarly, and even in regard to acquired impairment, Oliver notes that</w:t>
      </w:r>
      <w:r w:rsidRPr="00892F05">
        <w:rPr>
          <w:u w:val="single"/>
        </w:rPr>
        <w:t xml:space="preserve"> impairment is, in fact, nothing less than a description of the physical body</w:t>
      </w:r>
      <w:proofErr w:type="gramStart"/>
      <w:r w:rsidRPr="00204899">
        <w:rPr>
          <w:sz w:val="12"/>
        </w:rPr>
        <w:t>.^</w:t>
      </w:r>
      <w:proofErr w:type="gramEnd"/>
      <w:r w:rsidRPr="00204899">
        <w:rPr>
          <w:sz w:val="12"/>
        </w:rPr>
        <w:t xml:space="preserve"> ([8], p. 35) </w:t>
      </w:r>
      <w:r w:rsidRPr="00892F05">
        <w:rPr>
          <w:u w:val="single"/>
        </w:rPr>
        <w:t>Disability, by contrast, is the disadvantage or restriction of activity caused by a contemporary social organization which takes no or little account of people who have physical impairments and thus excludes them from participation in the mainstream of social activities</w:t>
      </w:r>
      <w:r w:rsidRPr="00204899">
        <w:rPr>
          <w:sz w:val="12"/>
        </w:rPr>
        <w:t xml:space="preserve">^ ([8], p. 22). The point of making and </w:t>
      </w:r>
      <w:r w:rsidRPr="00892F05">
        <w:rPr>
          <w:u w:val="single"/>
        </w:rPr>
        <w:t>emphasizing this distinction</w:t>
      </w:r>
      <w:r w:rsidRPr="00204899">
        <w:rPr>
          <w:sz w:val="12"/>
        </w:rPr>
        <w:t xml:space="preserve"> is to </w:t>
      </w:r>
      <w:r w:rsidRPr="00892F05">
        <w:rPr>
          <w:u w:val="single"/>
        </w:rPr>
        <w:t>show how much and sometimes all of what is disabling for individuals who have impaired bodies has to do with physical and/or social arrangements and institutional norms that are themselves alterable</w:t>
      </w:r>
      <w:r w:rsidRPr="00204899">
        <w:rPr>
          <w:sz w:val="12"/>
        </w:rPr>
        <w:t xml:space="preserve"> (e.g., stairs vs. ramps; presentation of data using only auditory means vs. universal design for communication, restrictive definitions of job requirements vs. expansive accommodations for different modes of performing work, etc.). </w:t>
      </w:r>
      <w:r w:rsidRPr="00892F05">
        <w:rPr>
          <w:u w:val="single"/>
        </w:rPr>
        <w:t>People with impairments</w:t>
      </w:r>
      <w:r w:rsidRPr="00204899">
        <w:rPr>
          <w:sz w:val="12"/>
        </w:rPr>
        <w:t xml:space="preserve"> of a particular kind may be in a minority [11], but they are typically not thereby rendered incapable of work and social relationships. They </w:t>
      </w:r>
      <w:r w:rsidRPr="00892F05">
        <w:rPr>
          <w:u w:val="single"/>
        </w:rPr>
        <w:t>need a more inclusive framework in which to participate</w:t>
      </w:r>
      <w:r w:rsidRPr="00204899">
        <w:rPr>
          <w:sz w:val="12"/>
        </w:rPr>
        <w:t xml:space="preserve">. In addition to pointing to the tangible environmental and structural changes that could be made to be more inclusive for people of differing body types, </w:t>
      </w:r>
      <w:r w:rsidRPr="00892F05">
        <w:rPr>
          <w:u w:val="single"/>
        </w:rPr>
        <w:t>the social model of disability focuses attention on the attitudinal obstacles faced by people with non-standard bodies. Other people’s expectations about</w:t>
      </w:r>
      <w:r w:rsidRPr="00204899">
        <w:rPr>
          <w:sz w:val="12"/>
        </w:rPr>
        <w:t xml:space="preserve"> quality of life, ability to work, etc. for </w:t>
      </w:r>
      <w:r w:rsidRPr="00892F05">
        <w:rPr>
          <w:u w:val="single"/>
        </w:rPr>
        <w:t>a person with a disability not only affect the ways in which physical structures and institutional norms are made and sustained</w:t>
      </w:r>
      <w:r w:rsidRPr="00204899">
        <w:rPr>
          <w:sz w:val="12"/>
        </w:rPr>
        <w:t xml:space="preserve"> (based on presumptions about inability to perform), </w:t>
      </w:r>
      <w:r w:rsidRPr="00892F05">
        <w:rPr>
          <w:u w:val="single"/>
        </w:rPr>
        <w:t>but also can create additional disability by making it harder for such individuals to feel good about themselves</w:t>
      </w:r>
      <w:r w:rsidRPr="00204899">
        <w:rPr>
          <w:sz w:val="12"/>
        </w:rPr>
        <w:t xml:space="preserve">. For instance, Jenny Morris raises concerns about how Ball the undermining messages, which we receive every day of our lives from the nondisabled world which surrounds us, become part of our way of thinking about ourselves^ [quoted in 7, p. 22]. </w:t>
      </w:r>
      <w:r w:rsidRPr="00892F05">
        <w:rPr>
          <w:u w:val="single"/>
        </w:rPr>
        <w:t>The impairment/disability distinction is powerful in lending support to people with disabilities who face unjust treatment and the tendency to medicalize their problems</w:t>
      </w:r>
      <w:r w:rsidRPr="00204899">
        <w:rPr>
          <w:sz w:val="12"/>
        </w:rPr>
        <w:t xml:space="preserve">. In the words of one disability activist, it tells us that </w:t>
      </w:r>
      <w:r w:rsidRPr="00892F05">
        <w:rPr>
          <w:u w:val="single"/>
        </w:rPr>
        <w:t>ableism needs the cure, not our bodies</w:t>
      </w:r>
      <w:proofErr w:type="gramStart"/>
      <w:r w:rsidRPr="00204899">
        <w:rPr>
          <w:sz w:val="12"/>
        </w:rPr>
        <w:t>.^</w:t>
      </w:r>
      <w:proofErr w:type="gramEnd"/>
      <w:r w:rsidRPr="00204899">
        <w:rPr>
          <w:sz w:val="12"/>
        </w:rPr>
        <w:t xml:space="preserve"> [quoted in 12, p. 18]. Indeed, as Crow acknowledges, </w:t>
      </w:r>
      <w:r w:rsidRPr="00892F05">
        <w:rPr>
          <w:u w:val="single"/>
        </w:rPr>
        <w:t xml:space="preserve">the social model has done wonders for the disability rights movement. </w:t>
      </w:r>
      <w:r w:rsidRPr="008F050A">
        <w:rPr>
          <w:u w:val="single"/>
        </w:rPr>
        <w:t>It has enabled a vision of ourselves free from the constraints of disability</w:t>
      </w:r>
      <w:r w:rsidRPr="00204899">
        <w:rPr>
          <w:sz w:val="12"/>
        </w:rPr>
        <w:t xml:space="preserve"> (oppression) </w:t>
      </w:r>
      <w:r w:rsidRPr="008F050A">
        <w:rPr>
          <w:u w:val="single"/>
        </w:rPr>
        <w:t>and provided a direction for our commitment to social change. It has played a central role in promoting disabled people’s individual self-worth, collective identity, and political organization.</w:t>
      </w:r>
      <w:r w:rsidRPr="00204899">
        <w:rPr>
          <w:sz w:val="12"/>
        </w:rPr>
        <w:t xml:space="preserve"> I don’t think it is an exaggeration to say that </w:t>
      </w:r>
      <w:r w:rsidRPr="008F050A">
        <w:rPr>
          <w:u w:val="single"/>
        </w:rPr>
        <w:t>the social model has saved lives</w:t>
      </w:r>
      <w:r w:rsidRPr="00204899">
        <w:rPr>
          <w:sz w:val="12"/>
        </w:rPr>
        <w:t xml:space="preserve">^ ([2], p. 207). </w:t>
      </w:r>
      <w:r w:rsidRPr="00204899">
        <w:rPr>
          <w:u w:val="single"/>
        </w:rPr>
        <w:t>We should not, however, lose sight of the fact that people living with impairments can experience negative effects tied more directly to their bodily conditions. People with impairments</w:t>
      </w:r>
      <w:r w:rsidRPr="00204899">
        <w:rPr>
          <w:sz w:val="12"/>
        </w:rPr>
        <w:t xml:space="preserve"> that involve, for example, fatigue, pain, depression, or chronic illness </w:t>
      </w:r>
      <w:r w:rsidRPr="00204899">
        <w:rPr>
          <w:u w:val="single"/>
        </w:rPr>
        <w:t>may want both to overcome social barriers and discrimination that oppress all people with disabilities, and to voice their desire to remove</w:t>
      </w:r>
      <w:r w:rsidRPr="00204899">
        <w:rPr>
          <w:sz w:val="12"/>
        </w:rPr>
        <w:t xml:space="preserve"> or address </w:t>
      </w:r>
      <w:r w:rsidRPr="00204899">
        <w:rPr>
          <w:u w:val="single"/>
        </w:rPr>
        <w:t>the troubling accompaniments of their impairments,</w:t>
      </w:r>
      <w:r w:rsidRPr="00204899">
        <w:rPr>
          <w:sz w:val="12"/>
        </w:rPr>
        <w:t xml:space="preserve"> through medical or other means. They may want attention to what have been called impairment effects^ [13]. No doubt, many medical professionals who might be sympathetic to the disability rights movement in general also see the downside of impairment effects and aim to address them with their medical expertise.</w:t>
      </w:r>
    </w:p>
    <w:p w:rsidR="00675770" w:rsidRPr="00F933AF" w:rsidRDefault="00675770" w:rsidP="00675770">
      <w:pPr>
        <w:rPr>
          <w:rFonts w:cs="Calibri"/>
        </w:rPr>
      </w:pPr>
    </w:p>
    <w:p w:rsidR="009F7A23" w:rsidRPr="00F933AF" w:rsidRDefault="009F7A23" w:rsidP="009F7A23">
      <w:pPr>
        <w:rPr>
          <w:rFonts w:cs="Calibri"/>
        </w:rPr>
      </w:pPr>
    </w:p>
    <w:p w:rsidR="00FD2128" w:rsidRDefault="006D59F7" w:rsidP="00EE31FC">
      <w:pPr>
        <w:pStyle w:val="Heading2"/>
      </w:pPr>
      <w:r>
        <w:t xml:space="preserve">Framing - </w:t>
      </w:r>
      <w:r w:rsidR="00FD2128">
        <w:t>Posthumanism</w:t>
      </w:r>
    </w:p>
    <w:p w:rsidR="00FD2128" w:rsidRDefault="00FD2128" w:rsidP="00FD2128">
      <w:pPr>
        <w:pStyle w:val="Heading4"/>
      </w:pPr>
      <w:r>
        <w:t>In the context of disability, frame your impacts through a posthumanist lens</w:t>
      </w:r>
    </w:p>
    <w:p w:rsidR="00FD2128" w:rsidRPr="00F30085" w:rsidRDefault="00FD2128" w:rsidP="00FD2128">
      <w:r w:rsidRPr="00F30085">
        <w:rPr>
          <w:rStyle w:val="Style13ptBold"/>
        </w:rPr>
        <w:t>Goodley 14</w:t>
      </w:r>
      <w:r>
        <w:t xml:space="preserve"> (Dan Goodley, Rebecca Lawthom</w:t>
      </w:r>
      <w:r w:rsidRPr="00F30085">
        <w:t xml:space="preserve"> and Katherine Runswick Cole,</w:t>
      </w:r>
      <w:r>
        <w:t xml:space="preserve"> Dan Goodley is Professor of Disability Studies and Education at the University of Sheffield. Recent texts include Dis/ability Studies (Routledge, 2014) and Disability Studies (Sage, 2011). His work engages critical studies of ableism and disablism to interrogate the gains and losses of those working at the dis/ability complex. Rebecca Lawthom is Professor of Community Psychology at Manchester Metropolitan University. Her work engages at the intersections of feminism, disability and migration. Publications include Community Psychology (Wiley Blackwell, 2011, with Kagan, Burton and Duckett) and Qualitative Methods in Psychology: A research guide (Open University Press, 2012, with Banister, Bunn, Burman, Daniels, Duckett, Parker, Runswick Cole, Sixsmith and Goodley). Katherine Runswick-Cole is Senior Research Fellow in Disability Studies and Psychology at Manchester Metropolitan University, UK. Her research and publications focus on the lives of disabled children and their families, this includes Disabled Children’s Childhood Studies (2013, Palgrave, edited with Tillie Curran) and Approaching disability: Critical issues and perspectives (2014, Routledge, with Mallett).</w:t>
      </w:r>
      <w:r w:rsidRPr="00F30085">
        <w:t xml:space="preserve"> " Posthuman disability studies", </w:t>
      </w:r>
      <w:r>
        <w:t>2014</w:t>
      </w:r>
      <w:r w:rsidRPr="00F30085">
        <w:t xml:space="preserve">, </w:t>
      </w:r>
      <w:r>
        <w:t>Subjectivity</w:t>
      </w:r>
      <w:r w:rsidRPr="00F30085">
        <w:t xml:space="preserve">, </w:t>
      </w:r>
      <w:hyperlink r:id="rId179" w:history="1">
        <w:r w:rsidRPr="00DF34A6">
          <w:rPr>
            <w:rStyle w:val="Hyperlink"/>
          </w:rPr>
          <w:t>https://e-space.mmu.ac.uk/618995/1/Posthuman_disability_studies_paper_for_Subjectivity-libre%20(2).pdf</w:t>
        </w:r>
      </w:hyperlink>
      <w:r>
        <w:t>)//AO</w:t>
      </w:r>
    </w:p>
    <w:p w:rsidR="00FD2128" w:rsidRPr="004F74D7" w:rsidRDefault="00FD2128" w:rsidP="00FD2128">
      <w:pPr>
        <w:rPr>
          <w:sz w:val="10"/>
          <w:szCs w:val="16"/>
        </w:rPr>
      </w:pPr>
      <w:r w:rsidRPr="004F74D7">
        <w:rPr>
          <w:sz w:val="10"/>
        </w:rPr>
        <w:t xml:space="preserve">(2) The posthuman condition </w:t>
      </w:r>
      <w:r w:rsidRPr="00506A03">
        <w:rPr>
          <w:u w:val="single"/>
        </w:rPr>
        <w:t>[T]he proper study of the posthuman condition is the posthuman itself. This new</w:t>
      </w:r>
      <w:r>
        <w:rPr>
          <w:u w:val="single"/>
        </w:rPr>
        <w:t xml:space="preserve"> </w:t>
      </w:r>
      <w:r w:rsidRPr="00506A03">
        <w:rPr>
          <w:u w:val="single"/>
        </w:rPr>
        <w:t>knowing subject is a complex assemblage of human and non-human, planetary and</w:t>
      </w:r>
      <w:r>
        <w:rPr>
          <w:u w:val="single"/>
        </w:rPr>
        <w:t xml:space="preserve"> </w:t>
      </w:r>
      <w:r w:rsidRPr="00506A03">
        <w:rPr>
          <w:u w:val="single"/>
        </w:rPr>
        <w:t>cosmic, given and manufactured, which requires major re-adjustments in our way of</w:t>
      </w:r>
      <w:r>
        <w:rPr>
          <w:u w:val="single"/>
        </w:rPr>
        <w:t xml:space="preserve"> </w:t>
      </w:r>
      <w:r w:rsidRPr="00506A03">
        <w:rPr>
          <w:u w:val="single"/>
        </w:rPr>
        <w:t>thinking</w:t>
      </w:r>
      <w:r w:rsidRPr="004F74D7">
        <w:rPr>
          <w:sz w:val="10"/>
        </w:rPr>
        <w:t xml:space="preserve"> (Braidotti, 2013: 159) Were one to take a glance across Braidotti’s body of work (1994, 2002, 2003, 2006, 2013) a discernable philosophical contribution to social theory and activism resides in her willingness to remain upbeat and imaginative about a future post-human. The crisis of humanism (the realisation, as we see it, that we all fail to dance to the beat of the ableist drum associated with ideal/ised ‘big Subject of Man’) means that ‘structural others of the modernist humanistic subject re-emerge with a vengeance’ (Braidotti, 2013: 37). The great ‘emancipatory movements of postmodernity’ (Ibid: 37) have their ‘fires stoked by structural others such as the pro-environment, anti-nuclear, anti-globalisation’ and, we would add, disability movements. Each has the potential to engage in ‘a radical estrangement from notions like moral rationality, unitary identity, transcendent consciousness or innate and universal moral value’ (Ibid: 92). Let us now introduce three key theoretical moves of Braidotti’s 2013 The Posthuman. The first relates to life beyond the self and the need for a new theory of the human subject that ‘takes stock of the posthuman turn and hence acknowledges the decline of Humanism’ (Ibid: 51). This decline should be celebrated because it opens up the self as an extended, distributed, interconnected and relational entity ‘embodied and embedded’ (Ibid: 51). </w:t>
      </w:r>
      <w:r w:rsidRPr="00506A03">
        <w:rPr>
          <w:u w:val="single"/>
        </w:rPr>
        <w:t>A</w:t>
      </w:r>
      <w:r>
        <w:rPr>
          <w:u w:val="single"/>
        </w:rPr>
        <w:t xml:space="preserve"> </w:t>
      </w:r>
      <w:r w:rsidRPr="00506A03">
        <w:rPr>
          <w:u w:val="single"/>
        </w:rPr>
        <w:t>posthuman subject embraces ‘affirmative politics’ which combine ‘critique with creativity’ in</w:t>
      </w:r>
      <w:r>
        <w:rPr>
          <w:u w:val="single"/>
        </w:rPr>
        <w:t xml:space="preserve"> </w:t>
      </w:r>
      <w:r w:rsidRPr="00506A03">
        <w:rPr>
          <w:u w:val="single"/>
        </w:rPr>
        <w:t>the pursuit of alternative ways of living with one another</w:t>
      </w:r>
      <w:r w:rsidRPr="004F74D7">
        <w:rPr>
          <w:sz w:val="10"/>
        </w:rPr>
        <w:t xml:space="preserve">. Continental philosophy of the late 20th Century is characterised by Braidotti as creating valued and othered versions of the self. The time is ripe for refiguring and reconfiguring the self. What it means to be a reflexive self seeks to end a ‘parochial’ notion of the self (born and bred in Western European and North American, White Anglo Saxon Protestant contexts) and embrace ‘renewed claims to community and belonging by singular subjects who have taken the critical distance from humanist individualism’ (Ibid; 39). In emerging out of the confines of anti/humanism, </w:t>
      </w:r>
      <w:r w:rsidRPr="00506A03">
        <w:rPr>
          <w:u w:val="single"/>
        </w:rPr>
        <w:t>Braidotti (2006, 2013) offers a process-oriented political ontology. Rather than conceptualising</w:t>
      </w:r>
      <w:r>
        <w:rPr>
          <w:u w:val="single"/>
        </w:rPr>
        <w:t xml:space="preserve"> </w:t>
      </w:r>
      <w:r w:rsidRPr="00506A03">
        <w:rPr>
          <w:u w:val="single"/>
        </w:rPr>
        <w:t>ontology as an internalised phenomenon of an individual subject, we are asked to think of</w:t>
      </w:r>
      <w:r>
        <w:rPr>
          <w:u w:val="single"/>
        </w:rPr>
        <w:t xml:space="preserve"> </w:t>
      </w:r>
      <w:r w:rsidRPr="00506A03">
        <w:rPr>
          <w:u w:val="single"/>
        </w:rPr>
        <w:t>the kinds of connection between and within one another. Hence, the posthuman turn is a</w:t>
      </w:r>
      <w:r>
        <w:rPr>
          <w:u w:val="single"/>
        </w:rPr>
        <w:t xml:space="preserve"> </w:t>
      </w:r>
      <w:r w:rsidRPr="00506A03">
        <w:rPr>
          <w:u w:val="single"/>
        </w:rPr>
        <w:t xml:space="preserve">move ‘beyond lethal boundaries’ (Ibid: 37). </w:t>
      </w:r>
      <w:r w:rsidRPr="004F74D7">
        <w:rPr>
          <w:sz w:val="10"/>
        </w:rPr>
        <w:t xml:space="preserve">Here ‘the crisis of humanism means that the structural others of the modern humanistic subject re-emerge with a vengeance’ (Ibid: 37), creating ‘other visions of the self’ (Ibid: 38), ‘experimenting with new models of the self’, devising ‘renewed claims to community and belonging by singular subjects who have taken critical distance from humanist individualism’ (Ibid: 39), stressing a ‘radical relationality, nonunitary identities and multiple allegiances’ (Ibid: 144). This is a self beyond its traditional fixed moorings; a posthuman self. The second, </w:t>
      </w:r>
      <w:r w:rsidRPr="00506A03">
        <w:rPr>
          <w:u w:val="single"/>
        </w:rPr>
        <w:t>life beyond the species, directly contests anthropocentrism that puts humanist man</w:t>
      </w:r>
      <w:r>
        <w:rPr>
          <w:u w:val="single"/>
        </w:rPr>
        <w:t xml:space="preserve"> </w:t>
      </w:r>
      <w:r w:rsidRPr="00506A03">
        <w:rPr>
          <w:u w:val="single"/>
        </w:rPr>
        <w:t>(anthropos) before other species and the environment</w:t>
      </w:r>
      <w:r w:rsidRPr="004F74D7">
        <w:rPr>
          <w:sz w:val="10"/>
        </w:rPr>
        <w:t xml:space="preserve"> (as an egocentrism). Humanism situates anthropos as elite species, occupying a sovereign position. A posthuman turn challenges such elitism, reminding us that </w:t>
      </w:r>
      <w:r w:rsidRPr="00506A03">
        <w:rPr>
          <w:u w:val="single"/>
        </w:rPr>
        <w:t>the superior human ideal is of course only that; a</w:t>
      </w:r>
      <w:r>
        <w:rPr>
          <w:u w:val="single"/>
        </w:rPr>
        <w:t xml:space="preserve"> </w:t>
      </w:r>
      <w:r w:rsidRPr="00506A03">
        <w:rPr>
          <w:u w:val="single"/>
        </w:rPr>
        <w:t>utopian ideal. Moreover, the pure organic entity that was anthropos has now been</w:t>
      </w:r>
      <w:r>
        <w:rPr>
          <w:u w:val="single"/>
        </w:rPr>
        <w:t xml:space="preserve"> </w:t>
      </w:r>
      <w:r w:rsidRPr="00506A03">
        <w:rPr>
          <w:u w:val="single"/>
        </w:rPr>
        <w:t xml:space="preserve">‘technological mediated to an unprecedented order’ </w:t>
      </w:r>
      <w:r w:rsidRPr="004F74D7">
        <w:rPr>
          <w:sz w:val="10"/>
        </w:rPr>
        <w:t>(Ibid: 57</w:t>
      </w:r>
      <w:r w:rsidRPr="00506A03">
        <w:rPr>
          <w:u w:val="single"/>
        </w:rPr>
        <w:t>) subjected to ‘the four</w:t>
      </w:r>
      <w:r>
        <w:rPr>
          <w:u w:val="single"/>
        </w:rPr>
        <w:t xml:space="preserve"> </w:t>
      </w:r>
      <w:r w:rsidRPr="00506A03">
        <w:rPr>
          <w:u w:val="single"/>
        </w:rPr>
        <w:t>horsemen of the posthuman apocalypse: nanotechnology, biotechnology, information</w:t>
      </w:r>
      <w:r>
        <w:rPr>
          <w:u w:val="single"/>
        </w:rPr>
        <w:t xml:space="preserve"> </w:t>
      </w:r>
      <w:r w:rsidRPr="00506A03">
        <w:rPr>
          <w:u w:val="single"/>
        </w:rPr>
        <w:t xml:space="preserve">technology and cognitive science’ </w:t>
      </w:r>
      <w:r w:rsidRPr="004F74D7">
        <w:rPr>
          <w:sz w:val="10"/>
        </w:rPr>
        <w:t>(Ibid: 59). The human species has become expanded, meaning that ‘</w:t>
      </w:r>
      <w:r w:rsidRPr="00506A03">
        <w:rPr>
          <w:u w:val="single"/>
        </w:rPr>
        <w:t>the boundaries between ‘Man’ and his others go tumbling down</w:t>
      </w:r>
      <w:r w:rsidRPr="004F74D7">
        <w:rPr>
          <w:sz w:val="10"/>
        </w:rPr>
        <w:t xml:space="preserve">, in a cascade effect that opens up unexpected perspective …. </w:t>
      </w:r>
      <w:proofErr w:type="gramStart"/>
      <w:r w:rsidRPr="004F74D7">
        <w:rPr>
          <w:sz w:val="10"/>
        </w:rPr>
        <w:t>relinquishing</w:t>
      </w:r>
      <w:proofErr w:type="gramEnd"/>
      <w:r w:rsidRPr="004F74D7">
        <w:rPr>
          <w:sz w:val="10"/>
        </w:rPr>
        <w:t xml:space="preserve"> the demonic forces of the naturalised others’ (Ibid: 66-67). These others include animals, insects, plants, environment and the cosmos as a whole. For Braidotti, </w:t>
      </w:r>
      <w:r w:rsidRPr="00506A03">
        <w:rPr>
          <w:u w:val="single"/>
        </w:rPr>
        <w:t>posthumanity moves beyond the species</w:t>
      </w:r>
      <w:r w:rsidRPr="004F74D7">
        <w:rPr>
          <w:sz w:val="10"/>
        </w:rPr>
        <w:t xml:space="preserve"> (and the speciesism or anthropomorphism of humanism), </w:t>
      </w:r>
      <w:r w:rsidRPr="00506A03">
        <w:rPr>
          <w:u w:val="single"/>
        </w:rPr>
        <w:t>freeing up solidarities with non-humans</w:t>
      </w:r>
      <w:r>
        <w:rPr>
          <w:u w:val="single"/>
        </w:rPr>
        <w:t xml:space="preserve"> </w:t>
      </w:r>
      <w:r w:rsidRPr="00506A03">
        <w:rPr>
          <w:u w:val="single"/>
        </w:rPr>
        <w:t>including animals and the wider natural environment. Post-anthropocentricism is the</w:t>
      </w:r>
      <w:r>
        <w:rPr>
          <w:u w:val="single"/>
        </w:rPr>
        <w:t xml:space="preserve"> </w:t>
      </w:r>
      <w:r w:rsidRPr="00506A03">
        <w:rPr>
          <w:u w:val="single"/>
        </w:rPr>
        <w:t>posthuman response. There is more to life than the human being.</w:t>
      </w:r>
      <w:r>
        <w:rPr>
          <w:u w:val="single"/>
        </w:rPr>
        <w:t xml:space="preserve"> </w:t>
      </w:r>
      <w:r w:rsidRPr="004F74D7">
        <w:rPr>
          <w:sz w:val="10"/>
        </w:rPr>
        <w:t xml:space="preserve">Theme three, life beyond death, pushes Braidotti to consider the centrality of death to any theorisation of life. A posthuman analysis is mindful of the biopolitical apparatus that mobilise ‘not only generative forces but also new and subtler degrees of death and extinction’ (Ibid: 115). Here we can think of drug treatments, prostheses, genetic testing, and the human genome project that seek to enhance life but also are often working alongside death. Indeed, she notes, ‘a whole under-class of socially under-insured disposable bodies is engendered both within the Western world and in the emerging economies’ (Ibid: 118). </w:t>
      </w:r>
      <w:r w:rsidRPr="00317ECA">
        <w:rPr>
          <w:u w:val="single"/>
        </w:rPr>
        <w:t>The biopolitics</w:t>
      </w:r>
      <w:r>
        <w:rPr>
          <w:u w:val="single"/>
        </w:rPr>
        <w:t xml:space="preserve"> </w:t>
      </w:r>
      <w:r w:rsidRPr="00317ECA">
        <w:rPr>
          <w:u w:val="single"/>
        </w:rPr>
        <w:t xml:space="preserve">of life now includes not simply ‘errant humans’ (think the mad, disabled, </w:t>
      </w:r>
      <w:proofErr w:type="gramStart"/>
      <w:r w:rsidRPr="00317ECA">
        <w:rPr>
          <w:u w:val="single"/>
        </w:rPr>
        <w:t>deviant</w:t>
      </w:r>
      <w:proofErr w:type="gramEnd"/>
      <w:r w:rsidRPr="00317ECA">
        <w:rPr>
          <w:u w:val="single"/>
        </w:rPr>
        <w:t>) but the</w:t>
      </w:r>
      <w:r>
        <w:rPr>
          <w:u w:val="single"/>
        </w:rPr>
        <w:t xml:space="preserve"> </w:t>
      </w:r>
      <w:r w:rsidRPr="00317ECA">
        <w:rPr>
          <w:u w:val="single"/>
        </w:rPr>
        <w:t>nonhuman (animal, mineral, machine).</w:t>
      </w:r>
      <w:r w:rsidRPr="004F74D7">
        <w:rPr>
          <w:sz w:val="10"/>
        </w:rPr>
        <w:t xml:space="preserve"> And key to the maintenance of a healthy population is the political, cultural and social necessity to identify those who are dying, unhealthy and facing degeneracy. </w:t>
      </w:r>
      <w:r w:rsidRPr="00317ECA">
        <w:rPr>
          <w:u w:val="single"/>
        </w:rPr>
        <w:t>Hence, biopower involves the management of lives that are living (Zoëpolitics)</w:t>
      </w:r>
      <w:r>
        <w:rPr>
          <w:u w:val="single"/>
        </w:rPr>
        <w:t xml:space="preserve"> </w:t>
      </w:r>
      <w:r w:rsidRPr="00317ECA">
        <w:rPr>
          <w:u w:val="single"/>
        </w:rPr>
        <w:t>and lives that are dying (necro-politics). We are, then, entering a time of</w:t>
      </w:r>
      <w:r>
        <w:rPr>
          <w:u w:val="single"/>
        </w:rPr>
        <w:t xml:space="preserve"> </w:t>
      </w:r>
      <w:r w:rsidRPr="00317ECA">
        <w:rPr>
          <w:u w:val="single"/>
        </w:rPr>
        <w:t>thanatopolitics (Rose, 2001) in our late biopolitical times that raise huge questions around</w:t>
      </w:r>
      <w:r>
        <w:rPr>
          <w:u w:val="single"/>
        </w:rPr>
        <w:t xml:space="preserve"> </w:t>
      </w:r>
      <w:r w:rsidRPr="00317ECA">
        <w:rPr>
          <w:u w:val="single"/>
        </w:rPr>
        <w:t>the kinds of living lives and dying lives that we denigrate or value.</w:t>
      </w:r>
      <w:r w:rsidRPr="004F74D7">
        <w:rPr>
          <w:sz w:val="10"/>
        </w:rPr>
        <w:t xml:space="preserve"> The posthuman condition, for Braidotti, is as much about death as it is about life: ‘bio-power and necro-politics are two sides of the same coin’ (Braidotti, 2013: 122). We need to value (our relationships with) death as much as we do life. Let us now consider how these theoretical moves resonate and connect with our distinct political and theoretical interests, which we associate with critical disability studies. (3) Enter critical disability studies </w:t>
      </w:r>
      <w:proofErr w:type="gramStart"/>
      <w:r w:rsidRPr="00317ECA">
        <w:rPr>
          <w:u w:val="single"/>
        </w:rPr>
        <w:t>The</w:t>
      </w:r>
      <w:proofErr w:type="gramEnd"/>
      <w:r w:rsidRPr="00317ECA">
        <w:rPr>
          <w:u w:val="single"/>
        </w:rPr>
        <w:t xml:space="preserve"> fast-changing field of disability studies is almost emblematic of the posthuman</w:t>
      </w:r>
      <w:r>
        <w:rPr>
          <w:u w:val="single"/>
        </w:rPr>
        <w:t xml:space="preserve"> </w:t>
      </w:r>
      <w:r w:rsidRPr="00317ECA">
        <w:rPr>
          <w:u w:val="single"/>
        </w:rPr>
        <w:t>predicament. Ever mindful that we do not yet know what a body can do, disability</w:t>
      </w:r>
      <w:r>
        <w:rPr>
          <w:u w:val="single"/>
        </w:rPr>
        <w:t xml:space="preserve"> </w:t>
      </w:r>
      <w:r w:rsidRPr="00317ECA">
        <w:rPr>
          <w:u w:val="single"/>
        </w:rPr>
        <w:t>studies combine the critique of normative bodily models with the advocacy of new,</w:t>
      </w:r>
      <w:r>
        <w:rPr>
          <w:u w:val="single"/>
        </w:rPr>
        <w:t xml:space="preserve"> </w:t>
      </w:r>
      <w:r w:rsidRPr="00317ECA">
        <w:rPr>
          <w:u w:val="single"/>
        </w:rPr>
        <w:t>creative models of embodiment’</w:t>
      </w:r>
      <w:r w:rsidRPr="004F74D7">
        <w:rPr>
          <w:sz w:val="10"/>
        </w:rPr>
        <w:t xml:space="preserve"> (Bradotti, 2013: 146). Braidotti’s passing reference to disability studies recognises at least acknowledges the promise of disability to exemplify the posthuman. Our analysis fits well with the emerging scholarship and activism of the critical disability studies field which we read as questioning traditional and normative understandings of the human individual and, as way of response, offering new, collectivist and crip alternatives that fit well with the posthuman manifesto outlined by scholars such as Braidotti and Haraway (e.g. McRuer, 2006; Campbell, 2009; Shildrick, 2009, 2012; Meekosha and Shuttleworth, 2009; Goodley, 2007, 2011, 2013; Kafer, 2013; Slater, 2013; Liddiard, 2012, 2014; Mallett and Runswick Cole, 2014; Feely, 2014). </w:t>
      </w:r>
      <w:r w:rsidRPr="00317ECA">
        <w:rPr>
          <w:u w:val="single"/>
        </w:rPr>
        <w:t>People with physical, sensory or cognitive impairments are plugged into a myriad of cultural,</w:t>
      </w:r>
      <w:r>
        <w:rPr>
          <w:u w:val="single"/>
        </w:rPr>
        <w:t xml:space="preserve"> </w:t>
      </w:r>
      <w:r w:rsidRPr="00317ECA">
        <w:rPr>
          <w:u w:val="single"/>
        </w:rPr>
        <w:t>professional, disciplinary and political practices that shape their embodied selves and interrelationships</w:t>
      </w:r>
      <w:r>
        <w:rPr>
          <w:u w:val="single"/>
        </w:rPr>
        <w:t xml:space="preserve"> </w:t>
      </w:r>
      <w:r w:rsidRPr="00317ECA">
        <w:rPr>
          <w:u w:val="single"/>
        </w:rPr>
        <w:t>with the world.</w:t>
      </w:r>
      <w:r w:rsidRPr="004F74D7">
        <w:rPr>
          <w:sz w:val="10"/>
        </w:rPr>
        <w:t xml:space="preserve"> One common theme of critical disability studies is that </w:t>
      </w:r>
      <w:r w:rsidRPr="00317ECA">
        <w:rPr>
          <w:u w:val="single"/>
        </w:rPr>
        <w:t>disability necessarily demands and affirms interdependent connections with other humans,</w:t>
      </w:r>
      <w:r>
        <w:rPr>
          <w:u w:val="single"/>
        </w:rPr>
        <w:t xml:space="preserve"> </w:t>
      </w:r>
      <w:r w:rsidRPr="00317ECA">
        <w:rPr>
          <w:u w:val="single"/>
        </w:rPr>
        <w:t>technologies, non-human entities, communication streams and people and non-peopled</w:t>
      </w:r>
      <w:r>
        <w:rPr>
          <w:u w:val="single"/>
        </w:rPr>
        <w:t xml:space="preserve"> </w:t>
      </w:r>
      <w:r w:rsidRPr="00317ECA">
        <w:rPr>
          <w:u w:val="single"/>
        </w:rPr>
        <w:t>networks. Disability is but one cultural artifact that signifies the ‘demise of humanism’</w:t>
      </w:r>
      <w:r>
        <w:rPr>
          <w:u w:val="single"/>
        </w:rPr>
        <w:t xml:space="preserve"> </w:t>
      </w:r>
      <w:r w:rsidRPr="004F74D7">
        <w:rPr>
          <w:sz w:val="10"/>
        </w:rPr>
        <w:t xml:space="preserve">(Braidotti, 2013: 151) </w:t>
      </w:r>
      <w:r w:rsidRPr="00317ECA">
        <w:rPr>
          <w:u w:val="single"/>
        </w:rPr>
        <w:t>precisely because disability demands non-normative and antiestablishment</w:t>
      </w:r>
      <w:r>
        <w:rPr>
          <w:u w:val="single"/>
        </w:rPr>
        <w:t xml:space="preserve"> </w:t>
      </w:r>
      <w:r w:rsidRPr="00317ECA">
        <w:rPr>
          <w:u w:val="single"/>
        </w:rPr>
        <w:t>ways of living life.</w:t>
      </w:r>
      <w:r w:rsidRPr="004F74D7">
        <w:rPr>
          <w:sz w:val="10"/>
        </w:rPr>
        <w:t xml:space="preserve"> To use the language of McRuer (2006), disability crips what it means to be a human being. Quite simply, </w:t>
      </w:r>
      <w:r w:rsidRPr="00317ECA">
        <w:rPr>
          <w:u w:val="single"/>
        </w:rPr>
        <w:t>disability complicates the myopic perspective</w:t>
      </w:r>
      <w:r>
        <w:rPr>
          <w:u w:val="single"/>
        </w:rPr>
        <w:t xml:space="preserve"> </w:t>
      </w:r>
      <w:r w:rsidRPr="00317ECA">
        <w:rPr>
          <w:u w:val="single"/>
        </w:rPr>
        <w:t>and non-representative nature offered by humanism.</w:t>
      </w:r>
      <w:r w:rsidRPr="004F74D7">
        <w:rPr>
          <w:sz w:val="10"/>
        </w:rPr>
        <w:t xml:space="preserve"> Our sitpoint is that </w:t>
      </w:r>
      <w:r w:rsidRPr="00317ECA">
        <w:rPr>
          <w:u w:val="single"/>
        </w:rPr>
        <w:t>disability</w:t>
      </w:r>
      <w:r w:rsidRPr="004F74D7">
        <w:rPr>
          <w:sz w:val="10"/>
        </w:rPr>
        <w:t xml:space="preserve"> is the quintessential posthuman condition: because it </w:t>
      </w:r>
      <w:r w:rsidRPr="00317ECA">
        <w:rPr>
          <w:u w:val="single"/>
        </w:rPr>
        <w:t>calls for new ontologies, ways of relating,</w:t>
      </w:r>
      <w:r>
        <w:rPr>
          <w:u w:val="single"/>
        </w:rPr>
        <w:t xml:space="preserve"> </w:t>
      </w:r>
      <w:r w:rsidRPr="00317ECA">
        <w:rPr>
          <w:u w:val="single"/>
        </w:rPr>
        <w:t>living and dying.</w:t>
      </w:r>
      <w:r w:rsidRPr="004F74D7">
        <w:rPr>
          <w:sz w:val="10"/>
        </w:rPr>
        <w:t xml:space="preserve"> Posthuman and critical disability studies share an antithetical attitude towards the taken-for-granted, ideological and normative under-girdings of what it means to be a valued citizen of society. Take for example McLaughlin et al’s (2008) study of disabled babies and their families. All the babies represented had extensive relational networks, most starkly captured by the baby with the label of Down’s syndrome who by the age of one had had contact with over 120 health, social care and educational professionals. When Braidotti (2013) calls for a politics of becoming predicated on ‘interdependence with multiple other’ (Ibid: 101) she could be speaking about those relationships demanded of and by those working at the face of the disability complex. If the posthuman condition is characterised by assemblages that connect the subject to her/his outsides (Ibid: 165) then disability allows us to think across binaries of self/other, nature/technology and human/machine. We do not readily nor unquestionably accept 120 professional-child connections. Instead, through recognising their interconnection, we consider the value and worth of these lines of interaction. Why are professionals tied up with children? To what ends and for what service? What kinds of desirous or disgusting offerings are opened up by these inter-relationships? What kinds of disciplinary practices are evoked? As Feely (2014) has demonstrated; turning our attention to the details of disability assemblages allows us to ask important questions about power, authority and resistance. Occupying a posthuman position requires ‘the knowing subject disengaging itself from the dominant normative vision of the self’ becoming ‘relational in a complex manner that connects it to multiple others’ (Ibid: 167). Critical disability studies analyses have already made these conceptual moves though this has not come without debate. </w:t>
      </w:r>
      <w:r w:rsidRPr="00D03D26">
        <w:rPr>
          <w:u w:val="single"/>
        </w:rPr>
        <w:t>Who has the</w:t>
      </w:r>
      <w:r>
        <w:rPr>
          <w:u w:val="single"/>
        </w:rPr>
        <w:t xml:space="preserve"> </w:t>
      </w:r>
      <w:r w:rsidRPr="00D03D26">
        <w:rPr>
          <w:u w:val="single"/>
        </w:rPr>
        <w:t>moral, political or ethical right to trouble the human? Should the activist or the theorist be</w:t>
      </w:r>
      <w:r>
        <w:rPr>
          <w:u w:val="single"/>
        </w:rPr>
        <w:t xml:space="preserve"> </w:t>
      </w:r>
      <w:r w:rsidRPr="00D03D26">
        <w:rPr>
          <w:u w:val="single"/>
        </w:rPr>
        <w:t>leading these debates?</w:t>
      </w:r>
      <w:r w:rsidRPr="004F74D7">
        <w:rPr>
          <w:sz w:val="10"/>
        </w:rPr>
        <w:t xml:space="preserve"> What of those theorists that ignore the very fact that disabled people have never been permitted to occupy the category of the human? Does the posthuman advocate ignore the power of humanist ideals of independence, choice, autonomy and associated human rights at his/her peril? </w:t>
      </w:r>
      <w:r w:rsidRPr="00D03D26">
        <w:rPr>
          <w:u w:val="single"/>
        </w:rPr>
        <w:t>Is a turn to the posthuman yet another examples of</w:t>
      </w:r>
      <w:r>
        <w:rPr>
          <w:u w:val="single"/>
        </w:rPr>
        <w:t xml:space="preserve"> </w:t>
      </w:r>
      <w:r w:rsidRPr="00D03D26">
        <w:rPr>
          <w:u w:val="single"/>
        </w:rPr>
        <w:t>a theoretical fancy on the part of an academic that is divorced from everyday fights with</w:t>
      </w:r>
      <w:r>
        <w:rPr>
          <w:u w:val="single"/>
        </w:rPr>
        <w:t xml:space="preserve"> </w:t>
      </w:r>
      <w:r w:rsidRPr="00D03D26">
        <w:rPr>
          <w:u w:val="single"/>
        </w:rPr>
        <w:t xml:space="preserve">oppression </w:t>
      </w:r>
      <w:r w:rsidRPr="004F74D7">
        <w:rPr>
          <w:sz w:val="10"/>
        </w:rPr>
        <w:t xml:space="preserve">(Graby and Greenstein, 2013)? </w:t>
      </w:r>
      <w:r w:rsidRPr="00D03D26">
        <w:rPr>
          <w:u w:val="single"/>
        </w:rPr>
        <w:t>Disability scholars and activists have long made</w:t>
      </w:r>
      <w:r>
        <w:rPr>
          <w:u w:val="single"/>
        </w:rPr>
        <w:t xml:space="preserve"> </w:t>
      </w:r>
      <w:r w:rsidRPr="00D03D26">
        <w:rPr>
          <w:u w:val="single"/>
        </w:rPr>
        <w:t>the point that disabled people are denied access to being human</w:t>
      </w:r>
      <w:r w:rsidRPr="004F74D7">
        <w:rPr>
          <w:sz w:val="10"/>
        </w:rPr>
        <w:t>: a reality for many of one Billion disabled people across the world. Indeed, people with the label of intellectual disabilities have long embraced People First as their slogan and disabled young people continue to fight under the mantra of independence; choosing to redefine rather than abandon this word (Slater, 2013). While beyond the scope of this paper, we want to acknowledge that many disabled people work either side of the dis/ability and posthuman/human binaries whilst enacting their politics (see for further discussion Goodley, 2014; Goodley and Runswick Cole, in press</w:t>
      </w:r>
      <w:proofErr w:type="gramStart"/>
      <w:r w:rsidRPr="004F74D7">
        <w:rPr>
          <w:sz w:val="10"/>
          <w:szCs w:val="16"/>
        </w:rPr>
        <w:t>)iii</w:t>
      </w:r>
      <w:proofErr w:type="gramEnd"/>
      <w:r w:rsidRPr="004F74D7">
        <w:rPr>
          <w:sz w:val="10"/>
          <w:szCs w:val="16"/>
        </w:rPr>
        <w:t>.</w:t>
      </w:r>
    </w:p>
    <w:p w:rsidR="00FD2128" w:rsidRDefault="00FD2128" w:rsidP="00FD2128">
      <w:pPr>
        <w:rPr>
          <w:sz w:val="16"/>
          <w:szCs w:val="16"/>
        </w:rPr>
      </w:pPr>
    </w:p>
    <w:p w:rsidR="00FD2128" w:rsidRDefault="00FD2128" w:rsidP="00FD2128">
      <w:pPr>
        <w:pStyle w:val="Heading4"/>
      </w:pPr>
      <w:r>
        <w:t>The neg’s humanist perspective is inherently anthropocentric and ableist</w:t>
      </w:r>
    </w:p>
    <w:p w:rsidR="00FD2128" w:rsidRPr="00F30085" w:rsidRDefault="00FD2128" w:rsidP="00FD2128">
      <w:r w:rsidRPr="00F30085">
        <w:rPr>
          <w:rStyle w:val="Style13ptBold"/>
        </w:rPr>
        <w:t>Goodley 14</w:t>
      </w:r>
      <w:r>
        <w:t xml:space="preserve"> (Dan Goodley, Rebecca Lawthom</w:t>
      </w:r>
      <w:r w:rsidRPr="00F30085">
        <w:t xml:space="preserve"> and Katherine Runswick Cole,</w:t>
      </w:r>
      <w:r>
        <w:t xml:space="preserve"> Dan Goodley is Professor of Disability Studies and Education at the University of Sheffield. Recent texts include Dis/ability Studies (Routledge, 2014) and Disability Studies (Sage, 2011). His work engages critical studies of ableism and disablism to interrogate the gains and losses of those working at the dis/ability complex. Rebecca Lawthom is Professor of Community Psychology at Manchester Metropolitan University. Her work engages at the intersections of feminism, disability and migration. Publications include Community Psychology (Wiley Blackwell, 2011, with Kagan, Burton and Duckett) and Qualitative Methods in Psychology: A research guide (Open University Press, 2012, with Banister, Bunn, Burman, Daniels, Duckett, Parker, Runswick Cole, Sixsmith and Goodley). Katherine Runswick-Cole is Senior Research Fellow in Disability Studies and Psychology at Manchester Metropolitan University, UK. Her research and publications focus on the lives of disabled children and their families, this includes Disabled Children’s Childhood Studies (2013, Palgrave, edited with Tillie Curran) and Approaching disability: Critical issues and perspectives (2014, Routledge, with Mallett).</w:t>
      </w:r>
      <w:r w:rsidRPr="00F30085">
        <w:t xml:space="preserve"> " Posthuman disability studies", </w:t>
      </w:r>
      <w:r>
        <w:t>2014</w:t>
      </w:r>
      <w:r w:rsidRPr="00F30085">
        <w:t xml:space="preserve">, </w:t>
      </w:r>
      <w:r>
        <w:t>Subjectivity</w:t>
      </w:r>
      <w:r w:rsidRPr="00F30085">
        <w:t xml:space="preserve">, </w:t>
      </w:r>
      <w:hyperlink r:id="rId180" w:history="1">
        <w:r w:rsidRPr="00DF34A6">
          <w:rPr>
            <w:rStyle w:val="Hyperlink"/>
          </w:rPr>
          <w:t>https://e-space.mmu.ac.uk/618995/1/Posthuman_disability_studies_paper_for_Subjectivity-libre%20(2).pdf</w:t>
        </w:r>
      </w:hyperlink>
      <w:r>
        <w:t>)//AO</w:t>
      </w:r>
    </w:p>
    <w:p w:rsidR="00FD2128" w:rsidRDefault="00FD2128" w:rsidP="00FD2128">
      <w:pPr>
        <w:rPr>
          <w:u w:val="single"/>
        </w:rPr>
      </w:pPr>
      <w:r w:rsidRPr="00CF743C">
        <w:rPr>
          <w:sz w:val="14"/>
        </w:rPr>
        <w:t xml:space="preserve">II. Life beyond the species: Rethinking animal </w:t>
      </w:r>
      <w:proofErr w:type="gramStart"/>
      <w:r w:rsidRPr="00CF743C">
        <w:rPr>
          <w:sz w:val="14"/>
        </w:rPr>
        <w:t>If</w:t>
      </w:r>
      <w:proofErr w:type="gramEnd"/>
      <w:r w:rsidRPr="00CF743C">
        <w:rPr>
          <w:sz w:val="14"/>
        </w:rPr>
        <w:t xml:space="preserve"> one of the exciting moments of the posthuman condition entails the ‘displacement of anthropocentrism and the recognition of trans-species solidarity’ (Braidotti, 2013: 67) then one need only to turn to the disability world. </w:t>
      </w:r>
      <w:r w:rsidRPr="00F1027D">
        <w:rPr>
          <w:u w:val="single"/>
        </w:rPr>
        <w:t>One of the most significant contributions of</w:t>
      </w:r>
      <w:r>
        <w:rPr>
          <w:u w:val="single"/>
        </w:rPr>
        <w:t xml:space="preserve"> </w:t>
      </w:r>
      <w:r w:rsidRPr="00F1027D">
        <w:rPr>
          <w:u w:val="single"/>
        </w:rPr>
        <w:t>critical disability studies has been the dislodging and deconstruction of the fantasy of ableist</w:t>
      </w:r>
      <w:r>
        <w:rPr>
          <w:u w:val="single"/>
        </w:rPr>
        <w:t xml:space="preserve"> </w:t>
      </w:r>
      <w:r w:rsidRPr="00F1027D">
        <w:rPr>
          <w:u w:val="single"/>
        </w:rPr>
        <w:t>human one-ness.</w:t>
      </w:r>
      <w:r w:rsidRPr="00CF743C">
        <w:rPr>
          <w:sz w:val="14"/>
        </w:rPr>
        <w:t xml:space="preserve"> Disability demands mutuality, support and interdependence. Such qualities are valued elements of Braidotti’s posthuman ‘not-Oneness, which is constitutive of the non-unitary subject anchors the subject in an ethical bond to alterity, to the multiple and external others that are constitutive of that entity which, out of laziness and habit, we call the ‘self’’ (100). If becoming animal is about displacing anthropocentricism then Rod Michalko’s beautiful 1999 text captures becoming animal and human together: a complex and affirming hybrid. Too often, Braidotti (2013: 668) writes, drawing in the work of Borges, </w:t>
      </w:r>
      <w:r w:rsidRPr="00F1027D">
        <w:rPr>
          <w:u w:val="single"/>
        </w:rPr>
        <w:t>we think of</w:t>
      </w:r>
      <w:r>
        <w:rPr>
          <w:u w:val="single"/>
        </w:rPr>
        <w:t xml:space="preserve"> </w:t>
      </w:r>
      <w:r w:rsidRPr="00F1027D">
        <w:rPr>
          <w:u w:val="single"/>
        </w:rPr>
        <w:t>animals in terms of a taxonomy of three groups: those we eat, those we watch TV with and</w:t>
      </w:r>
      <w:r>
        <w:rPr>
          <w:u w:val="single"/>
        </w:rPr>
        <w:t xml:space="preserve"> </w:t>
      </w:r>
      <w:r w:rsidRPr="00F1027D">
        <w:rPr>
          <w:u w:val="single"/>
        </w:rPr>
        <w:t>those we are scared of.</w:t>
      </w:r>
      <w:r w:rsidRPr="00CF743C">
        <w:rPr>
          <w:sz w:val="14"/>
        </w:rPr>
        <w:t xml:space="preserve"> We confine animals into a host of instrumental, Oedipal or phantasmagorical relationships. But </w:t>
      </w:r>
      <w:r w:rsidRPr="00F1027D">
        <w:rPr>
          <w:u w:val="single"/>
        </w:rPr>
        <w:t>how might we think again about our alliances with</w:t>
      </w:r>
      <w:r>
        <w:rPr>
          <w:u w:val="single"/>
        </w:rPr>
        <w:t xml:space="preserve"> </w:t>
      </w:r>
      <w:r w:rsidRPr="00F1027D">
        <w:rPr>
          <w:u w:val="single"/>
        </w:rPr>
        <w:t xml:space="preserve">animals? </w:t>
      </w:r>
      <w:r w:rsidRPr="00CF743C">
        <w:rPr>
          <w:sz w:val="14"/>
        </w:rPr>
        <w:t>One answer, clearly, is through our interconnection and vitality of bond associated with us sharing a planet. ‘</w:t>
      </w:r>
      <w:r w:rsidRPr="00F1027D">
        <w:rPr>
          <w:u w:val="single"/>
        </w:rPr>
        <w:t>This vital interconnection posits a qualitative shift of relationship</w:t>
      </w:r>
      <w:r>
        <w:rPr>
          <w:u w:val="single"/>
        </w:rPr>
        <w:t xml:space="preserve"> </w:t>
      </w:r>
      <w:r w:rsidRPr="00F1027D">
        <w:rPr>
          <w:u w:val="single"/>
        </w:rPr>
        <w:t>away from species-ism and towards an ethical appreciation of what bodies (human, animal,</w:t>
      </w:r>
      <w:r>
        <w:rPr>
          <w:u w:val="single"/>
        </w:rPr>
        <w:t xml:space="preserve"> </w:t>
      </w:r>
      <w:r w:rsidRPr="00F1027D">
        <w:rPr>
          <w:u w:val="single"/>
        </w:rPr>
        <w:t>others) can do</w:t>
      </w:r>
      <w:r w:rsidRPr="00CF743C">
        <w:rPr>
          <w:sz w:val="14"/>
        </w:rPr>
        <w:t xml:space="preserve">’ (Braidotti, 2013: 71). Shildrick and Price (2004/2005) demonstrate such as an appreciation. The disabled woman who relies on an assistant or carer to help her prepare for a sexual encounter – be it in terms of dressing appropriately, negotiating toilet facilities, or requiring direct physical support in a comfortable sexual position – is not different in kind from other women, but simply engaged more overtly in just those networks that Deleuze and Guattari characterise as desiring production. Similarly a reliance on prosthetic devices - the linkages between human, animal and machine – would figure not as limitations but as transformative possibilities of becoming other along multiple lines of flight (Shildrick and Price, 2005/2006, np). Back to Michalko (1999), and his ethico-political account of life with a guide dog and companion animal, we are encouraged to ask; what do we ask of animals? What are our ethical rights to do so? </w:t>
      </w:r>
      <w:r w:rsidRPr="00C874EE">
        <w:rPr>
          <w:u w:val="single"/>
        </w:rPr>
        <w:t>How do humans and animals become together? Such questions</w:t>
      </w:r>
      <w:r>
        <w:rPr>
          <w:u w:val="single"/>
        </w:rPr>
        <w:t xml:space="preserve"> </w:t>
      </w:r>
      <w:r w:rsidRPr="00C874EE">
        <w:rPr>
          <w:u w:val="single"/>
        </w:rPr>
        <w:t>resonate with a posthuman view of ‘subjectivity as an assemblage that includes non-human</w:t>
      </w:r>
      <w:r>
        <w:rPr>
          <w:u w:val="single"/>
        </w:rPr>
        <w:t xml:space="preserve"> </w:t>
      </w:r>
      <w:r w:rsidRPr="00C874EE">
        <w:rPr>
          <w:u w:val="single"/>
        </w:rPr>
        <w:t xml:space="preserve">agents’ </w:t>
      </w:r>
      <w:r w:rsidRPr="00CF743C">
        <w:rPr>
          <w:sz w:val="14"/>
        </w:rPr>
        <w:t xml:space="preserve">(Braidotti, 2013: 82). Human-animal relationships are inherently touching (Shildrick, 2009) and they function to ‘break up the fantasy of unity, totality and one-ness’ (Braidotti, 2013: 100). Animal rights, Green and Disability Politics meet in a ‘post-anthropocentric space, recognising the ‘inter-relation human/animal as constitutive of the identity of each’ (79). We are faced, as Michalko (1999) alerts us to, matters of slavery, abuse and work that animals are subjected to which contrast markedly with the touching moments of humananimal interconnection (articulated well by Shildrick, 2009). Braidotti (2013: 89) argues that ‘the crisis of humanism inaugurates the posthuman by empowering the sexualised and racialised human ‘others’ to emancipate themselves from the dialectics of master-slave relations and this includes naturalised others such as animals’. She continues, ‘this hails a post-anthropocentric period of time in which alliances are made between humans and non-humans; ‘between the organic and the inorganic, the born and the manufactured, flesh and metal, electronic circuits and organic nervous systems’ (Ibid: 89). So let us think again about the animal/human relationship and, indeed, our deployment of the term ‘animal’ as constitutive of the human; precisely because the animal is </w:t>
      </w:r>
      <w:proofErr w:type="gramStart"/>
      <w:r w:rsidRPr="00CF743C">
        <w:rPr>
          <w:sz w:val="14"/>
        </w:rPr>
        <w:t>Other</w:t>
      </w:r>
      <w:proofErr w:type="gramEnd"/>
      <w:r w:rsidRPr="00CF743C">
        <w:rPr>
          <w:sz w:val="14"/>
        </w:rPr>
        <w:t xml:space="preserve"> to human. Recently, the right wing British tabloid newspaper, The Daily Mail, reported the following about the shocking abuse cases at Winterbourne View residential hospital, in Bristol; Whistle-blower at centre of 'barbaric' care home abuse exposé raised alarm last year - but was ignored by regulator The Government has ordered a report into how warnings of systematic abuse towards vulnerable adults at Winterbourne View residential hospital, in Bristol, were not acted upon by local authorities and England's social care regulator the Care Quality Commission (CQC) ... Care workers dragged vulnerable patients around like animals at the Winterbourne View private care home in Bristol http://www.dailymail.co.uk/news/article-1393324/Care-homes-face-dawn-raidsWinterbourne-view-abuse-exposed.html Winterbourne shocks because humans were treated like they were animals. One assumes it would be doubly shocking to treat non-disabled people as if they were animals? It would appear that </w:t>
      </w:r>
      <w:r w:rsidRPr="00C874EE">
        <w:rPr>
          <w:u w:val="single"/>
        </w:rPr>
        <w:t>there is an unconscious human desire to view animals as less than human and in</w:t>
      </w:r>
      <w:r>
        <w:rPr>
          <w:u w:val="single"/>
        </w:rPr>
        <w:t xml:space="preserve"> </w:t>
      </w:r>
      <w:r w:rsidRPr="00C874EE">
        <w:rPr>
          <w:u w:val="single"/>
        </w:rPr>
        <w:t>some cases treats certain categories of human as if they were not</w:t>
      </w:r>
      <w:r w:rsidRPr="00CF743C">
        <w:rPr>
          <w:sz w:val="14"/>
        </w:rPr>
        <w:t xml:space="preserve"> (i.e. Non-human = people with learning disabilities). </w:t>
      </w:r>
      <w:r w:rsidRPr="00C874EE">
        <w:rPr>
          <w:u w:val="single"/>
        </w:rPr>
        <w:t>This anthropocentric position upholds ‘transcendental human</w:t>
      </w:r>
      <w:r>
        <w:rPr>
          <w:u w:val="single"/>
        </w:rPr>
        <w:t xml:space="preserve"> </w:t>
      </w:r>
      <w:r w:rsidRPr="00C874EE">
        <w:rPr>
          <w:u w:val="single"/>
        </w:rPr>
        <w:t>exceptionalism’</w:t>
      </w:r>
      <w:r w:rsidRPr="00CF743C">
        <w:rPr>
          <w:sz w:val="14"/>
        </w:rPr>
        <w:t xml:space="preserve"> (Braidotti, 2013: 86) </w:t>
      </w:r>
      <w:r w:rsidRPr="00C874EE">
        <w:rPr>
          <w:u w:val="single"/>
        </w:rPr>
        <w:t>and has the potential to expel those others that fail to</w:t>
      </w:r>
      <w:r>
        <w:rPr>
          <w:u w:val="single"/>
        </w:rPr>
        <w:t xml:space="preserve"> </w:t>
      </w:r>
      <w:r w:rsidRPr="00C874EE">
        <w:rPr>
          <w:u w:val="single"/>
        </w:rPr>
        <w:t>match up to its standards</w:t>
      </w:r>
      <w:r w:rsidRPr="00CF743C">
        <w:rPr>
          <w:sz w:val="14"/>
        </w:rPr>
        <w:t xml:space="preserve"> (whether they be animals or those considered lesser humans, akin to animals). We need a qualitative shift of our collective imaginings, or a ‘shared desire for transformations’ (Braidotti, 2013: 89). </w:t>
      </w:r>
      <w:r w:rsidRPr="00C874EE">
        <w:rPr>
          <w:u w:val="single"/>
        </w:rPr>
        <w:t>The problem is not that some categories of human are</w:t>
      </w:r>
      <w:r>
        <w:rPr>
          <w:u w:val="single"/>
        </w:rPr>
        <w:t xml:space="preserve"> </w:t>
      </w:r>
      <w:r w:rsidRPr="00C874EE">
        <w:rPr>
          <w:u w:val="single"/>
        </w:rPr>
        <w:t>treated like animals; the problem resides in the unconscious desire of the human condition</w:t>
      </w:r>
      <w:r>
        <w:rPr>
          <w:u w:val="single"/>
        </w:rPr>
        <w:t xml:space="preserve"> </w:t>
      </w:r>
      <w:r w:rsidRPr="00C874EE">
        <w:rPr>
          <w:u w:val="single"/>
        </w:rPr>
        <w:t>to treat animals in inhumane ways</w:t>
      </w:r>
      <w:r w:rsidRPr="00CF743C">
        <w:rPr>
          <w:sz w:val="14"/>
        </w:rPr>
        <w:t xml:space="preserve">; and treat some humans as if they were animals. We think that </w:t>
      </w:r>
      <w:r w:rsidRPr="00C874EE">
        <w:rPr>
          <w:u w:val="single"/>
        </w:rPr>
        <w:t>reinvigorating discussion around human/animal relations around disability might</w:t>
      </w:r>
      <w:r>
        <w:rPr>
          <w:u w:val="single"/>
        </w:rPr>
        <w:t xml:space="preserve"> </w:t>
      </w:r>
      <w:r w:rsidRPr="00C874EE">
        <w:rPr>
          <w:u w:val="single"/>
        </w:rPr>
        <w:t>provide the necessary conditions and impetus for revaluing animals and humans as sharing a</w:t>
      </w:r>
      <w:r>
        <w:rPr>
          <w:u w:val="single"/>
        </w:rPr>
        <w:t xml:space="preserve"> </w:t>
      </w:r>
      <w:r w:rsidRPr="00C874EE">
        <w:rPr>
          <w:u w:val="single"/>
        </w:rPr>
        <w:t>posthuman space of becoming.</w:t>
      </w:r>
    </w:p>
    <w:p w:rsidR="00FD2128" w:rsidRDefault="00FD2128" w:rsidP="00FD2128">
      <w:pPr>
        <w:rPr>
          <w:u w:val="single"/>
        </w:rPr>
      </w:pPr>
    </w:p>
    <w:p w:rsidR="00FD2128" w:rsidRDefault="00FD2128" w:rsidP="00FD2128">
      <w:pPr>
        <w:pStyle w:val="Heading4"/>
      </w:pPr>
      <w:r>
        <w:t>The neg’s framing of death is inherently problematic and ableist- reconceptualizing death within a framework of disability enables positivity in death that solves all their reasons why extinction outweighs</w:t>
      </w:r>
    </w:p>
    <w:p w:rsidR="00FD2128" w:rsidRPr="00F30085" w:rsidRDefault="00FD2128" w:rsidP="00FD2128">
      <w:r w:rsidRPr="00F30085">
        <w:rPr>
          <w:rStyle w:val="Style13ptBold"/>
        </w:rPr>
        <w:t>Goodley 14</w:t>
      </w:r>
      <w:r>
        <w:t xml:space="preserve"> (Dan Goodley, Rebecca Lawthom</w:t>
      </w:r>
      <w:r w:rsidRPr="00F30085">
        <w:t xml:space="preserve"> and Katherine Runswick Cole,</w:t>
      </w:r>
      <w:r>
        <w:t xml:space="preserve"> Dan Goodley is Professor of Disability Studies and Education at the University of Sheffield. Recent texts include Dis/ability Studies (Routledge, 2014) and Disability Studies (Sage, 2011). His work engages critical studies of ableism and disablism to interrogate the gains and losses of those working at the dis/ability complex. Rebecca Lawthom is Professor of Community Psychology at Manchester Metropolitan University. Her work engages at the intersections of feminism, disability and migration. Publications include Community Psychology (Wiley Blackwell, 2011, with Kagan, Burton and Duckett) and Qualitative Methods in Psychology: A research guide (Open University Press, 2012, with Banister, Bunn, Burman, Daniels, Duckett, Parker, Runswick Cole, Sixsmith and Goodley). Katherine Runswick-Cole is Senior Research Fellow in Disability Studies and Psychology at Manchester Metropolitan University, UK. Her research and publications focus on the lives of disabled children and their families, this includes Disabled Children’s Childhood Studies (2013, Palgrave, edited with Tillie Curran) and Approaching disability: Critical issues and perspectives (2014, Routledge, with Mallett).</w:t>
      </w:r>
      <w:r w:rsidRPr="00F30085">
        <w:t xml:space="preserve"> " Posthuman disability studies", </w:t>
      </w:r>
      <w:r>
        <w:t>2014</w:t>
      </w:r>
      <w:r w:rsidRPr="00F30085">
        <w:t xml:space="preserve">, </w:t>
      </w:r>
      <w:r>
        <w:t>Subjectivity</w:t>
      </w:r>
      <w:r w:rsidRPr="00F30085">
        <w:t xml:space="preserve">, </w:t>
      </w:r>
      <w:hyperlink r:id="rId181" w:history="1">
        <w:r w:rsidRPr="00DF34A6">
          <w:rPr>
            <w:rStyle w:val="Hyperlink"/>
          </w:rPr>
          <w:t>https://e-space.mmu.ac.uk/618995/1/Posthuman_disability_studies_paper_for_Subjectivity-libre%20(2).pdf</w:t>
        </w:r>
      </w:hyperlink>
      <w:r>
        <w:t>)//AO</w:t>
      </w:r>
    </w:p>
    <w:p w:rsidR="00FD2128" w:rsidRDefault="00FD2128" w:rsidP="00FD2128">
      <w:pPr>
        <w:rPr>
          <w:sz w:val="14"/>
        </w:rPr>
      </w:pPr>
      <w:r w:rsidRPr="00836F36">
        <w:rPr>
          <w:sz w:val="14"/>
        </w:rPr>
        <w:t xml:space="preserve">III. Life beyond death: Rethinking death </w:t>
      </w:r>
      <w:proofErr w:type="gramStart"/>
      <w:r w:rsidRPr="00836F36">
        <w:rPr>
          <w:sz w:val="14"/>
        </w:rPr>
        <w:t>At</w:t>
      </w:r>
      <w:proofErr w:type="gramEnd"/>
      <w:r w:rsidRPr="00836F36">
        <w:rPr>
          <w:sz w:val="14"/>
        </w:rPr>
        <w:t xml:space="preserve"> the heart of my research project lies an ethics that respects vulnerability while actively constructing horizons of hope (Braidotti, 2013: 122). </w:t>
      </w:r>
      <w:r w:rsidRPr="00C874EE">
        <w:rPr>
          <w:u w:val="single"/>
        </w:rPr>
        <w:t>In a recent research project, we were fortunate to talk with some young disabled people who</w:t>
      </w:r>
      <w:r>
        <w:rPr>
          <w:u w:val="single"/>
        </w:rPr>
        <w:t xml:space="preserve"> </w:t>
      </w:r>
      <w:r w:rsidRPr="00C874EE">
        <w:rPr>
          <w:u w:val="single"/>
        </w:rPr>
        <w:t>were living with life limiting and life threatening impairments</w:t>
      </w:r>
      <w:r w:rsidRPr="00836F36">
        <w:rPr>
          <w:sz w:val="14"/>
        </w:rPr>
        <w:t xml:space="preserve"> (LL/LTIs</w:t>
      </w:r>
      <w:proofErr w:type="gramStart"/>
      <w:r w:rsidRPr="00836F36">
        <w:rPr>
          <w:sz w:val="14"/>
        </w:rPr>
        <w:t>)vi</w:t>
      </w:r>
      <w:proofErr w:type="gramEnd"/>
      <w:r w:rsidRPr="00836F36">
        <w:rPr>
          <w:sz w:val="14"/>
        </w:rPr>
        <w:t xml:space="preserve">. Their perspectives on the value of their (short) lives were incredibly productive. They shared with us their concerns, worries and their sadness. They told us of how difficult their families found their prognoses. But crucially they also told us jokes, shared familial narratives, ambitions and exciting projects they were involved. They demanded that we rethink how we put together words such as ‘valued’, ‘quality’, ‘life’ and ‘living’. They also asked us to </w:t>
      </w:r>
      <w:r w:rsidRPr="00C874EE">
        <w:rPr>
          <w:u w:val="single"/>
        </w:rPr>
        <w:t>revisit our</w:t>
      </w:r>
      <w:r>
        <w:rPr>
          <w:u w:val="single"/>
        </w:rPr>
        <w:t xml:space="preserve"> </w:t>
      </w:r>
      <w:r w:rsidRPr="00C874EE">
        <w:rPr>
          <w:u w:val="single"/>
        </w:rPr>
        <w:t>unproblematic and inherently deficit-leaning thoughts around death. Their approach to life</w:t>
      </w:r>
      <w:r>
        <w:rPr>
          <w:u w:val="single"/>
        </w:rPr>
        <w:t xml:space="preserve"> </w:t>
      </w:r>
      <w:r w:rsidRPr="00C874EE">
        <w:rPr>
          <w:u w:val="single"/>
        </w:rPr>
        <w:t>and death shared much with the affirmative approach of Braidotti’s posthumanism. They got</w:t>
      </w:r>
      <w:r>
        <w:rPr>
          <w:u w:val="single"/>
        </w:rPr>
        <w:t xml:space="preserve"> </w:t>
      </w:r>
      <w:r w:rsidRPr="00C874EE">
        <w:rPr>
          <w:u w:val="single"/>
        </w:rPr>
        <w:t>us to think about how we might speak positively, affirmatively and productively about death,</w:t>
      </w:r>
      <w:r>
        <w:rPr>
          <w:u w:val="single"/>
        </w:rPr>
        <w:t xml:space="preserve"> </w:t>
      </w:r>
      <w:r w:rsidRPr="00C874EE">
        <w:rPr>
          <w:u w:val="single"/>
        </w:rPr>
        <w:t>disability and short lives.</w:t>
      </w:r>
      <w:r>
        <w:rPr>
          <w:u w:val="single"/>
        </w:rPr>
        <w:t xml:space="preserve"> </w:t>
      </w:r>
      <w:r w:rsidRPr="00836F36">
        <w:rPr>
          <w:sz w:val="14"/>
        </w:rPr>
        <w:t xml:space="preserve">Jasbir Puar (2009: 165-166) proposes that all contemporary global citizens are ‘living in prognosis with their own debility’. Perhaps, nowhere is this more apparent than in the case of children and young people with LL/LTIs. </w:t>
      </w:r>
      <w:r w:rsidRPr="00A266D8">
        <w:rPr>
          <w:u w:val="single"/>
        </w:rPr>
        <w:t>If social theory, professional practice,</w:t>
      </w:r>
      <w:r>
        <w:rPr>
          <w:u w:val="single"/>
        </w:rPr>
        <w:t xml:space="preserve"> </w:t>
      </w:r>
      <w:r w:rsidRPr="00A266D8">
        <w:rPr>
          <w:u w:val="single"/>
        </w:rPr>
        <w:t>community discourse or social policy speak of these young people at all then this tends to be</w:t>
      </w:r>
      <w:r>
        <w:rPr>
          <w:u w:val="single"/>
        </w:rPr>
        <w:t xml:space="preserve"> </w:t>
      </w:r>
      <w:r w:rsidRPr="00A266D8">
        <w:rPr>
          <w:u w:val="single"/>
        </w:rPr>
        <w:t>in terms of tragedy, negativity and sadness. In contrast, recent developments in feminist,</w:t>
      </w:r>
      <w:r>
        <w:rPr>
          <w:u w:val="single"/>
        </w:rPr>
        <w:t xml:space="preserve"> </w:t>
      </w:r>
      <w:r w:rsidRPr="00A266D8">
        <w:rPr>
          <w:u w:val="single"/>
        </w:rPr>
        <w:t>queer, postcolonial, disability and death studies have provided new vocabularies for speaking</w:t>
      </w:r>
      <w:r>
        <w:rPr>
          <w:u w:val="single"/>
        </w:rPr>
        <w:t xml:space="preserve"> </w:t>
      </w:r>
      <w:r w:rsidRPr="00A266D8">
        <w:rPr>
          <w:u w:val="single"/>
        </w:rPr>
        <w:t>of and celebrating the lives and death of ‘non-normative’ human beings</w:t>
      </w:r>
      <w:r w:rsidRPr="00836F36">
        <w:rPr>
          <w:sz w:val="14"/>
        </w:rPr>
        <w:t xml:space="preserve"> (e.g. McRuer, 2006). </w:t>
      </w:r>
      <w:r w:rsidRPr="00A266D8">
        <w:rPr>
          <w:u w:val="single"/>
        </w:rPr>
        <w:t>Being disabled is not a tragedy but a possibility, an affirmation, a ‘queer’ or ‘crip’ space for</w:t>
      </w:r>
      <w:r>
        <w:rPr>
          <w:u w:val="single"/>
        </w:rPr>
        <w:t xml:space="preserve"> </w:t>
      </w:r>
      <w:r w:rsidRPr="00A266D8">
        <w:rPr>
          <w:u w:val="single"/>
        </w:rPr>
        <w:t>rethinking what it means to be human, to live a quality life and a life with quality.</w:t>
      </w:r>
      <w:r w:rsidRPr="00836F36">
        <w:rPr>
          <w:sz w:val="14"/>
        </w:rPr>
        <w:t xml:space="preserve"> Death is a difficult subject and discussing the death of a child is more difficult still. Social embarrassment around death and disability means that a silence is often imposed upon families. However, we need to talk about death before and after a child dies. In what ways can we promote valued understandings of real bodies facing death? How can death, disability and short lives be conceptualized in less liminal and pathological ways that honour the contributions of children with LL/LTIs? How can social sciences articulate the ways in which medicine and palliative care value short lives and transform services for children with LL/LTIs and their families? To what extent does a consideration of death, disability and short lives extend social and natural science understandings of well being and humanity? While this is not the place (and there is not the space) to adequately answer these questions, we might be able to sketch out a theoretical landscape that encourages productive answers. Our concern relates to the common assumption that disabled children with LL/LTIs are occupying a borderland between life and death, between the human and the inhuman. Like asylum seekers and refugees, these children risk being cast out as ‘disposable humanity’ or ‘undignified monuments of posthuman inhumanity’ (Braidotti, 2013: 127). In contrast, then, </w:t>
      </w:r>
      <w:r w:rsidRPr="00A266D8">
        <w:rPr>
          <w:u w:val="single"/>
        </w:rPr>
        <w:t>what we require is a politics of becoming (rather than an assumed positionality of necropolitical</w:t>
      </w:r>
      <w:r>
        <w:rPr>
          <w:u w:val="single"/>
        </w:rPr>
        <w:t xml:space="preserve"> </w:t>
      </w:r>
      <w:r w:rsidRPr="00A266D8">
        <w:rPr>
          <w:u w:val="single"/>
        </w:rPr>
        <w:t>destruction) that ‘thinks with rather than against death’</w:t>
      </w:r>
      <w:r w:rsidRPr="00836F36">
        <w:rPr>
          <w:sz w:val="14"/>
        </w:rPr>
        <w:t xml:space="preserve"> (128, our italics). </w:t>
      </w:r>
      <w:r w:rsidRPr="00A266D8">
        <w:rPr>
          <w:u w:val="single"/>
        </w:rPr>
        <w:t>Children</w:t>
      </w:r>
      <w:r>
        <w:rPr>
          <w:u w:val="single"/>
        </w:rPr>
        <w:t xml:space="preserve"> </w:t>
      </w:r>
      <w:r w:rsidRPr="00A266D8">
        <w:rPr>
          <w:u w:val="single"/>
        </w:rPr>
        <w:t>with LL/LTIs may be seen as pioneers of a posthuman approach to death that redraws the</w:t>
      </w:r>
      <w:r>
        <w:rPr>
          <w:u w:val="single"/>
        </w:rPr>
        <w:t xml:space="preserve"> </w:t>
      </w:r>
      <w:r w:rsidRPr="00A266D8">
        <w:rPr>
          <w:u w:val="single"/>
        </w:rPr>
        <w:t>parameters and criteria of what counts as a valued life and death.</w:t>
      </w:r>
      <w:r w:rsidRPr="00836F36">
        <w:rPr>
          <w:sz w:val="14"/>
        </w:rPr>
        <w:t xml:space="preserve"> They conspicuously hit us with the reality, held by all members of contemporary society, that ‘we live to recover from the shocking awareness that this game [life and living] is over even before it started. The proximity to death suspends life, not into transcendence, but rather into the radical immanence of ‘just a life’, here and now, for as long as we can and as much as we can take’ (Braidotti, 2013: 132). Traditional notions (or notions obsessed with ‘Zoë’ rather than </w:t>
      </w:r>
      <w:proofErr w:type="gramStart"/>
      <w:r w:rsidRPr="00836F36">
        <w:rPr>
          <w:sz w:val="14"/>
        </w:rPr>
        <w:t>thanatos</w:t>
      </w:r>
      <w:proofErr w:type="gramEnd"/>
      <w:r w:rsidRPr="00836F36">
        <w:rPr>
          <w:sz w:val="14"/>
        </w:rPr>
        <w:t>) such as ‘quality of life’, ‘living a full life’, ‘filling a life before death’ are reappraised not only through children with LL/LLIs. ‘</w:t>
      </w:r>
      <w:r w:rsidRPr="00A266D8">
        <w:rPr>
          <w:u w:val="single"/>
        </w:rPr>
        <w:t>Death is the event that has always taken place at</w:t>
      </w:r>
      <w:r>
        <w:rPr>
          <w:u w:val="single"/>
        </w:rPr>
        <w:t xml:space="preserve"> </w:t>
      </w:r>
      <w:r w:rsidRPr="00A266D8">
        <w:rPr>
          <w:u w:val="single"/>
        </w:rPr>
        <w:t xml:space="preserve">the level of </w:t>
      </w:r>
      <w:proofErr w:type="gramStart"/>
      <w:r w:rsidRPr="00A266D8">
        <w:rPr>
          <w:u w:val="single"/>
        </w:rPr>
        <w:t xml:space="preserve">consciousness </w:t>
      </w:r>
      <w:r w:rsidRPr="00836F36">
        <w:rPr>
          <w:sz w:val="14"/>
        </w:rPr>
        <w:t>’</w:t>
      </w:r>
      <w:proofErr w:type="gramEnd"/>
      <w:r w:rsidRPr="00836F36">
        <w:rPr>
          <w:sz w:val="14"/>
        </w:rPr>
        <w:t xml:space="preserve"> (that is we are always thinking of death when alive) and ‘life is passing and we do not own it; we just inhabit it, not unlike a time-share location’ (133) (living is constantly in flux and movement). </w:t>
      </w:r>
      <w:r w:rsidRPr="00A266D8">
        <w:rPr>
          <w:u w:val="single"/>
        </w:rPr>
        <w:t>Death and short lives are pulled from a</w:t>
      </w:r>
      <w:r>
        <w:rPr>
          <w:u w:val="single"/>
        </w:rPr>
        <w:t xml:space="preserve"> </w:t>
      </w:r>
      <w:r w:rsidRPr="00A266D8">
        <w:rPr>
          <w:u w:val="single"/>
        </w:rPr>
        <w:t>depressive human position into a productive posthuman space because ‘posthuman critical</w:t>
      </w:r>
      <w:r>
        <w:rPr>
          <w:u w:val="single"/>
        </w:rPr>
        <w:t xml:space="preserve"> </w:t>
      </w:r>
      <w:r w:rsidRPr="00A266D8">
        <w:rPr>
          <w:u w:val="single"/>
        </w:rPr>
        <w:t>thought does not aim at mastery, but at transformation of negative into positive passions’</w:t>
      </w:r>
      <w:r w:rsidRPr="00836F36">
        <w:rPr>
          <w:sz w:val="14"/>
        </w:rPr>
        <w:t xml:space="preserve"> (p134). It can be argued then that ‘</w:t>
      </w:r>
      <w:r w:rsidRPr="00A266D8">
        <w:rPr>
          <w:u w:val="single"/>
        </w:rPr>
        <w:t>life as Zoë also encompasses what we death. As a result,</w:t>
      </w:r>
      <w:r>
        <w:rPr>
          <w:u w:val="single"/>
        </w:rPr>
        <w:t xml:space="preserve"> </w:t>
      </w:r>
      <w:r w:rsidRPr="00A266D8">
        <w:rPr>
          <w:u w:val="single"/>
        </w:rPr>
        <w:t>what we humans most deeply aspire to is not so much to disappear, but rather to do in the</w:t>
      </w:r>
      <w:r>
        <w:rPr>
          <w:u w:val="single"/>
        </w:rPr>
        <w:t xml:space="preserve"> </w:t>
      </w:r>
      <w:r w:rsidRPr="00A266D8">
        <w:rPr>
          <w:u w:val="single"/>
        </w:rPr>
        <w:t>space of our own life and in our own way</w:t>
      </w:r>
      <w:r w:rsidRPr="00836F36">
        <w:rPr>
          <w:sz w:val="14"/>
        </w:rPr>
        <w:t xml:space="preserve">’ (p135). Unsurprisingly, children and young people with LL/LTIs have plenty to say about how they would like to die, how their funerals should be planned and the hopes they have for how they are remembered. This latter point hints at their capacities for what Braidotti (2013: 137) terms ‘becoming-imperceptible’ ‘part of the cycles of becoming, yet another form of interconnectedness, a vital relationship that links one with other multiple forces’ (137). </w:t>
      </w:r>
      <w:r w:rsidRPr="00836F36">
        <w:rPr>
          <w:u w:val="single"/>
        </w:rPr>
        <w:t>We</w:t>
      </w:r>
      <w:r>
        <w:rPr>
          <w:u w:val="single"/>
        </w:rPr>
        <w:t xml:space="preserve"> </w:t>
      </w:r>
      <w:r w:rsidRPr="00836F36">
        <w:rPr>
          <w:u w:val="single"/>
        </w:rPr>
        <w:t>do connect even when we are no longer physically around.</w:t>
      </w:r>
      <w:r w:rsidRPr="00836F36">
        <w:rPr>
          <w:sz w:val="14"/>
        </w:rPr>
        <w:t xml:space="preserve"> Add to this the reality that many children with LL/LTIs are plugged into a host of human and non-human assemblages – at times test-cases for new medical and technological interventions aimed at preserving life or aiding a death with dignity – then our young people are swept into the growing population of dynamic non-unitary assemblages. </w:t>
      </w:r>
      <w:r w:rsidRPr="00836F36">
        <w:rPr>
          <w:u w:val="single"/>
        </w:rPr>
        <w:t>Children-with-LL-LTIs-as-cyborg assemblages are very</w:t>
      </w:r>
      <w:r>
        <w:rPr>
          <w:u w:val="single"/>
        </w:rPr>
        <w:t xml:space="preserve"> </w:t>
      </w:r>
      <w:r w:rsidRPr="00836F36">
        <w:rPr>
          <w:u w:val="single"/>
        </w:rPr>
        <w:t>real living examples of posthuman social theory. Death and short lives are no longer read in</w:t>
      </w:r>
      <w:r>
        <w:rPr>
          <w:u w:val="single"/>
        </w:rPr>
        <w:t xml:space="preserve"> </w:t>
      </w:r>
      <w:r w:rsidRPr="00836F36">
        <w:rPr>
          <w:u w:val="single"/>
        </w:rPr>
        <w:t>terms of lack nor figuration but in terms of plenitude, desire and possibility: over-flowing</w:t>
      </w:r>
      <w:r>
        <w:rPr>
          <w:u w:val="single"/>
        </w:rPr>
        <w:t xml:space="preserve"> </w:t>
      </w:r>
      <w:r w:rsidRPr="00836F36">
        <w:rPr>
          <w:u w:val="single"/>
        </w:rPr>
        <w:t>with hither to unknown future inter-relationships and connections with others.</w:t>
      </w:r>
      <w:r w:rsidRPr="00836F36">
        <w:rPr>
          <w:sz w:val="14"/>
        </w:rPr>
        <w:t xml:space="preserve"> This is not to deny the tragedy of young people dying far too early. But it is about inviting an alternative conceptualisation of life and death. </w:t>
      </w:r>
      <w:r w:rsidRPr="00836F36">
        <w:rPr>
          <w:u w:val="single"/>
        </w:rPr>
        <w:t>If we can affirm death, one could argue, we can affirm</w:t>
      </w:r>
      <w:r>
        <w:rPr>
          <w:u w:val="single"/>
        </w:rPr>
        <w:t xml:space="preserve"> </w:t>
      </w:r>
      <w:r w:rsidRPr="00836F36">
        <w:rPr>
          <w:u w:val="single"/>
        </w:rPr>
        <w:t>anything. In between the binaries of life and death we find affirmation. This is a matter of</w:t>
      </w:r>
      <w:r>
        <w:rPr>
          <w:u w:val="single"/>
        </w:rPr>
        <w:t xml:space="preserve"> </w:t>
      </w:r>
      <w:r w:rsidRPr="00836F36">
        <w:rPr>
          <w:u w:val="single"/>
        </w:rPr>
        <w:t>life and death emboldened by ‘relational vitality’</w:t>
      </w:r>
      <w:r w:rsidRPr="00836F36">
        <w:rPr>
          <w:sz w:val="14"/>
        </w:rPr>
        <w:t xml:space="preserve"> (188).</w:t>
      </w:r>
    </w:p>
    <w:p w:rsidR="009F7A23" w:rsidRPr="00F933AF" w:rsidRDefault="009F7A23" w:rsidP="009F7A23">
      <w:pPr>
        <w:spacing w:after="0"/>
        <w:rPr>
          <w:rFonts w:cs="Calibri"/>
          <w:sz w:val="16"/>
        </w:rPr>
      </w:pPr>
    </w:p>
    <w:p w:rsidR="00696B3D" w:rsidRPr="00F933AF" w:rsidRDefault="00696B3D" w:rsidP="0067262B">
      <w:pPr>
        <w:pStyle w:val="Heading1"/>
      </w:pPr>
      <w:r w:rsidRPr="00F933AF">
        <w:t>AT: T</w:t>
      </w:r>
    </w:p>
    <w:p w:rsidR="006F6EF3" w:rsidRDefault="006F6EF3" w:rsidP="00EE31FC">
      <w:pPr>
        <w:pStyle w:val="Heading2"/>
      </w:pPr>
      <w:r>
        <w:t>AT</w:t>
      </w:r>
      <w:r w:rsidR="006D59F7">
        <w:t>:</w:t>
      </w:r>
      <w:r>
        <w:t xml:space="preserve"> T- Quota and Grounds of Inadmissibility</w:t>
      </w:r>
    </w:p>
    <w:p w:rsidR="006F6EF3" w:rsidRDefault="006F6EF3" w:rsidP="006F6EF3">
      <w:pPr>
        <w:pStyle w:val="Heading4"/>
      </w:pPr>
      <w:r>
        <w:t>We meet—public charge is included with the INA’s grounds of inadmissibility</w:t>
      </w:r>
    </w:p>
    <w:p w:rsidR="006F6EF3" w:rsidRPr="0003424C" w:rsidRDefault="006F6EF3" w:rsidP="006F6EF3">
      <w:r>
        <w:rPr>
          <w:b/>
        </w:rPr>
        <w:t xml:space="preserve">Bruno 16 </w:t>
      </w:r>
      <w:r w:rsidRPr="008E7AD0">
        <w:rPr>
          <w:sz w:val="18"/>
          <w:szCs w:val="18"/>
        </w:rPr>
        <w:t>(Andorra Bruno, specialist in immigration policy, Congressional Research Service, “Refugee Admissions and Resettlement Policy,” 11/30/16, pg. 7, http://fedweb.com/wp-content/uploads/2016/12/Refugee-Assistance.pdf)</w:t>
      </w:r>
      <w:r>
        <w:rPr>
          <w:sz w:val="18"/>
          <w:szCs w:val="18"/>
        </w:rPr>
        <w:t>//jy</w:t>
      </w:r>
    </w:p>
    <w:p w:rsidR="006F6EF3" w:rsidRDefault="006F6EF3" w:rsidP="006F6EF3">
      <w:pPr>
        <w:rPr>
          <w:sz w:val="14"/>
        </w:rPr>
      </w:pPr>
      <w:r w:rsidRPr="003F18C5">
        <w:rPr>
          <w:sz w:val="14"/>
        </w:rPr>
        <w:t xml:space="preserve">In order </w:t>
      </w:r>
      <w:r w:rsidRPr="00767D4A">
        <w:rPr>
          <w:u w:val="single"/>
        </w:rPr>
        <w:t>to be admitted to the U</w:t>
      </w:r>
      <w:r w:rsidRPr="003F18C5">
        <w:rPr>
          <w:sz w:val="14"/>
        </w:rPr>
        <w:t xml:space="preserve">nited </w:t>
      </w:r>
      <w:r w:rsidRPr="00767D4A">
        <w:rPr>
          <w:u w:val="single"/>
        </w:rPr>
        <w:t>S</w:t>
      </w:r>
      <w:r w:rsidRPr="003F18C5">
        <w:rPr>
          <w:sz w:val="14"/>
        </w:rPr>
        <w:t xml:space="preserve">tates, </w:t>
      </w:r>
      <w:r w:rsidRPr="00767D4A">
        <w:rPr>
          <w:u w:val="single"/>
        </w:rPr>
        <w:t xml:space="preserve">a prospective refugee must be admissible under immigration law. The INA sets forth various grounds of inadmissibility, which </w:t>
      </w:r>
      <w:r w:rsidRPr="008E7AD0">
        <w:rPr>
          <w:b/>
          <w:u w:val="single"/>
        </w:rPr>
        <w:t>include</w:t>
      </w:r>
      <w:r w:rsidRPr="003F18C5">
        <w:rPr>
          <w:sz w:val="14"/>
        </w:rPr>
        <w:t xml:space="preserve"> healthrelated grounds, security-related grounds</w:t>
      </w:r>
      <w:r w:rsidRPr="008E7AD0">
        <w:rPr>
          <w:b/>
          <w:u w:val="single"/>
        </w:rPr>
        <w:t>, public charge</w:t>
      </w:r>
      <w:r w:rsidRPr="003F18C5">
        <w:rPr>
          <w:sz w:val="14"/>
        </w:rPr>
        <w:t xml:space="preserve"> (i.e., indigence), and lack of proper documentation.25 </w:t>
      </w:r>
      <w:proofErr w:type="gramStart"/>
      <w:r w:rsidRPr="003F18C5">
        <w:rPr>
          <w:sz w:val="14"/>
        </w:rPr>
        <w:t>Some</w:t>
      </w:r>
      <w:proofErr w:type="gramEnd"/>
      <w:r w:rsidRPr="003F18C5">
        <w:rPr>
          <w:sz w:val="14"/>
        </w:rPr>
        <w:t xml:space="preserve"> inadmissibility grounds (public charge, lack of proper documentation) are not applicable to refugees. Others can be waived for humanitarian purposes, to assure family unity, or when it is otherwise in the public interest.26 </w:t>
      </w:r>
      <w:proofErr w:type="gramStart"/>
      <w:r w:rsidRPr="003F18C5">
        <w:rPr>
          <w:sz w:val="14"/>
        </w:rPr>
        <w:t>Of</w:t>
      </w:r>
      <w:proofErr w:type="gramEnd"/>
      <w:r w:rsidRPr="003F18C5">
        <w:rPr>
          <w:sz w:val="14"/>
        </w:rPr>
        <w:t xml:space="preserve"> particular relevance to the admission of refugees are certain health-related and security-related grounds of inadmissibility.</w:t>
      </w:r>
    </w:p>
    <w:p w:rsidR="00467FC6" w:rsidRDefault="00467FC6" w:rsidP="00EE31FC">
      <w:pPr>
        <w:pStyle w:val="Heading2"/>
      </w:pPr>
      <w:r>
        <w:t xml:space="preserve">AT: Regulation =/= Restriction </w:t>
      </w:r>
    </w:p>
    <w:p w:rsidR="00467FC6" w:rsidRDefault="00467FC6" w:rsidP="00467FC6">
      <w:pPr>
        <w:pStyle w:val="Heading4"/>
      </w:pPr>
      <w:r>
        <w:t>Public Charge is a legal restriction</w:t>
      </w:r>
    </w:p>
    <w:p w:rsidR="00467FC6" w:rsidRPr="00441BE0" w:rsidRDefault="00467FC6" w:rsidP="00467FC6">
      <w:pPr>
        <w:rPr>
          <w:rStyle w:val="Style13ptBold"/>
        </w:rPr>
      </w:pPr>
      <w:r>
        <w:rPr>
          <w:rStyle w:val="Style13ptBold"/>
        </w:rPr>
        <w:t>Legal Information Institute No date</w:t>
      </w:r>
      <w:r w:rsidRPr="00BE3781">
        <w:t xml:space="preserve"> (</w:t>
      </w:r>
      <w:r>
        <w:t>Legal Information Institute, Open Access to Law since 1992, “</w:t>
      </w:r>
      <w:r w:rsidRPr="00152378">
        <w:t>8 U.S. Code § 1182 - Inadmissible aliens</w:t>
      </w:r>
      <w:r>
        <w:t xml:space="preserve">,” [Cornell Law School], accessed: 7/16/18, </w:t>
      </w:r>
      <w:r w:rsidRPr="00152378">
        <w:t>https://www.law.cornell.edu/uscode/text/8/1182</w:t>
      </w:r>
      <w:r>
        <w:t>)//DCai</w:t>
      </w:r>
    </w:p>
    <w:p w:rsidR="00467FC6" w:rsidRDefault="00467FC6" w:rsidP="00467FC6">
      <w:pPr>
        <w:rPr>
          <w:rStyle w:val="StyleUnderline"/>
        </w:rPr>
      </w:pPr>
      <w:r w:rsidRPr="00152378">
        <w:rPr>
          <w:sz w:val="8"/>
        </w:rPr>
        <w:t xml:space="preserve"> (a) </w:t>
      </w:r>
      <w:r w:rsidRPr="00441BE0">
        <w:rPr>
          <w:rStyle w:val="StyleUnderline"/>
        </w:rPr>
        <w:t>Classes of aliens ineligible for visas or admission</w:t>
      </w:r>
      <w:r w:rsidRPr="00152378">
        <w:rPr>
          <w:sz w:val="8"/>
        </w:rPr>
        <w:t xml:space="preserve">Except as otherwise provided in this chapter, </w:t>
      </w:r>
      <w:r w:rsidRPr="00441BE0">
        <w:rPr>
          <w:rStyle w:val="Emphasis"/>
        </w:rPr>
        <w:t>aliens who are inadmissible under the following paragraphs are ineligible to receive visas and ineligible to be admitted to the United States:</w:t>
      </w:r>
      <w:r>
        <w:rPr>
          <w:rStyle w:val="Emphasis"/>
        </w:rPr>
        <w:t xml:space="preserve"> </w:t>
      </w:r>
      <w:r w:rsidRPr="00152378">
        <w:rPr>
          <w:sz w:val="8"/>
        </w:rPr>
        <w:t xml:space="preserve">(1) </w:t>
      </w:r>
      <w:r w:rsidRPr="00441BE0">
        <w:rPr>
          <w:rStyle w:val="StyleUnderline"/>
        </w:rPr>
        <w:t>Health-related grounds</w:t>
      </w:r>
      <w:r w:rsidRPr="00152378">
        <w:rPr>
          <w:sz w:val="8"/>
        </w:rPr>
        <w:t xml:space="preserve"> (A) In generalAny alien— (i) who is determined (in accordance with regulations prescribed by the Secretary of Health and Human Services) to have a communicable disease of public health significance; [1] (ii) except as provided in subparagraph (C), who seeks admission as an immigrant, or who seeks adjustment of status to the status of an alien lawfully admitted for permanent residence, and who has failed to present documentation of having received vaccination against vaccine-preventable diseases, which shall include at least the following diseases: mumps, measles, rubella, polio, tetanus and diphtheria toxoids, pertussis, influenza type B and hepatitis B, and any other vaccinations against vaccine-preventable diseases recommended by the Advisory Committee for Immunization Practices, (iii) who is determined (in accordance with regulations prescribed by the Secretary of Health and Human Services in consultation with the Attorney General)— (I) to have a physical or mental disorder and behavior associated with the disorder that may pose, or has posed, a threat to the property, safety, or welfare of the alien or others, or (II) to have had a physical or mental disorder and a history of behavior associated with the disorder, which behavior has posed a threat to the property, safety, or welfare of the alien or others and which behavior is likely to recur or to lead to other harmful behavior, or (iv) who is determined (in accordance with regulations prescribed by the Secretary of Health and Human Services) to be a drug abuser or addict, is inadmissible. (B) Waiver authorized </w:t>
      </w:r>
      <w:proofErr w:type="gramStart"/>
      <w:r w:rsidRPr="00152378">
        <w:rPr>
          <w:sz w:val="8"/>
        </w:rPr>
        <w:t>For</w:t>
      </w:r>
      <w:proofErr w:type="gramEnd"/>
      <w:r w:rsidRPr="00152378">
        <w:rPr>
          <w:sz w:val="8"/>
        </w:rPr>
        <w:t xml:space="preserve"> provision authorizing waiver of certain clauses of subparagraph (A), see subsection (g). (C) Exception from immunization requirement for adopted children 10 years of age or youngerClause (ii) of subparagraph (A) shall not apply to a child who— (i) is 10 years of age or younger, (ii) is described in subparagraph (F) or (G) of section 1101(b)(1) of this title; 1 and (iii) is seeking an immigrant visa as an immediate relative under section 1151(b) of this title, if, prior to the admission of the child, an adoptive parent or prospective adoptive parent of the child, who has sponsored the child for admission as an immediate relative, has executed an affidavit stating that the parent is aware of the provisions of subparagraph (A)(ii) and will ensure that, within 30 days of the child’s admission, or at the earliest time that is medically appropriate, the child will receive the vaccinations identified in such subparagraph. (2) Criminal and related grounds (A) Conviction of certain crimes (i) In generalExcept as provided in clause (ii), any alien convicted of, or who admits having committed, or who admits committing acts which constitute the essential elements of— (I) a crime involving moral turpitude (other than a purely political offense) or an attempt or conspiracy to commit such a crime, or (II) a violation of (or a conspiracy or attempt to violate) any law or regulation of a State, the United States, or a foreign country relating to a controlled substance (as defined in section 802 of title 21),  is inadmissible. (ii) ExceptionClause (i)(I) shall not apply to an alien who committed only one crime if— (I) the crime was committed when the alien was under 18 years of age, and the crime was committed (and the alien released from any confinement to a prison or correctional institution imposed for the crime) more than 5 years before the date of application for a visa or other documentation and the date of application for admission to the United States, or (II) the maximum penalty possible for the crime of which the alien was convicted (or which the alien admits having committed or of which the acts that the alien admits having committed constituted the essential elements) did not exceed imprisonment for one year and, if the alien was convicted of such crime, the alien was not sentenced to a term of imprisonment in excess of 6 months (regardless of the extent to which the sentence was ultimately executed). (B) Multiple criminal convictions Any alien convicted of 2 or more offenses (other than purely political offenses), regardless of whether the conviction was in a single trial or whether the offenses arose from a single scheme of misconduct and regardless of whether the offenses involved moral turpitude, for which the aggregate sentences to confinement were 5 years or more is inadmissible. (C) Controlled substance traffickersAny alien who the consular officer or the Attorney General knows or has reason to believe— (i) is or has been an illicit trafficker in any controlled substance or in any listed chemical (as defined in section 802 of title 21), or is or has been a knowing aider, abettor, assister, conspirator, or colluder with others in the illicit trafficking in any such controlled or listed substance or chemical, or endeavored to do so; or (ii) is the spouse, son, or daughter of an alien inadmissible under clause (i), has, within the previous 5 years, obtained any financial or other benefit from the illicit activity of that alien, and knew or reasonably should have known that the financial or other benefit was the product of such illicit activity, is inadmissible. (D) Prostitution and commercialized viceAny alien who— (i) is coming to the United States solely, principally, or incidentally to engage in prostitution, or has engaged in prostitution within 10 years of the date of application for a visa, admission, or adjustment of status, (ii) directly or indirectly procures or attempts to procure, or (within 10 years of the date of application for a visa, admission, or adjustment of status) procured or attempted to procure or to import, prostitutes or persons for the purpose of prostitution, or receives or (within such 10-year period) received, in whole or in part, the proceeds of prostitution, or (iii) is coming to the United States to engage in any other unlawful commercialized vice, whether or not related to prostitution, is inadmissible. (E) Certain aliens involved in serious criminal activity who have asserted immunity from prosecutionAny alien— (i) who has committed in the United States at any time a serious criminal offense (as defined in section 1101(h) of this title), (ii) for whom immunity from criminal jurisdiction was exercised with respect to that offense, (iii) who as a consequence of the offense and exercise of immunity has departed from the United States, and (iv) who has not subsequently submitted fully to the jurisdiction of the court in the United States having jurisdiction with respect to that offense, is inadmissible. (F) Waiver authorized </w:t>
      </w:r>
      <w:proofErr w:type="gramStart"/>
      <w:r w:rsidRPr="00152378">
        <w:rPr>
          <w:sz w:val="8"/>
        </w:rPr>
        <w:t>For</w:t>
      </w:r>
      <w:proofErr w:type="gramEnd"/>
      <w:r w:rsidRPr="00152378">
        <w:rPr>
          <w:sz w:val="8"/>
        </w:rPr>
        <w:t xml:space="preserve"> provision authorizing waiver of certain subparagraphs of this paragraph, see subsection (h). (G) Foreign government officials who have committed particularly severe violations of religious freedom Any alien who, while serving as a foreign government official, was responsible for or directly carried out, at any time, particularly severe violations of religious freedom, as defined in section 6402 of title 22, is inadmissible. (H) Significant traffickers in persons (i) In general Any alien who commits or conspires to commit human trafficking offenses in the United States or outside the United States, or who the consular officer, the Secretary of Homeland Security, the Secretary of State, or the Attorney General knows or has reason to believe is or has been a knowing aider, abettor, assister, conspirator, or colluder with such a trafficker in severe forms of trafficking in persons, as defined in the section 7102 of title 22, is inadmissible. (ii) Beneficiaries of trafficking Except as provided in clause (iii), any alien who the consular officer or the Attorney General knows or has reason to believe is the spouse, son, or daughter of an alien inadmissible under clause (i), has, within the previous 5 years, obtained any financial or other benefit from the illicit activity of that alien, and knew or reasonably should have known that the financial or other benefit was the product of such illicit activity, is inadmissible. (iii) Exception for certain sons and daughters Clause (ii) shall not apply to a son or daughter who was a child at the time he or she received the benefit described in such clause. (I) Money launderingAny alien— (i) who a consular officer or the Attorney General knows, or has reason to believe, has engaged, is engaging, or seeks to enter the United States to engage, in an offense which is described in section 1956 or 1957 of title 18 (relating to laundering of monetary instruments); or (ii) who a consular officer or the Attorney General knows is, or has been, a knowing aider, abettor, assister, conspirator, or colluder with others in an offense which is described in such section; is inadmissible. (3) Security and related grounds (A) In generalAny alien who a consular officer or the Attorney General knows, or has reasonable ground to believe, seeks to enter the United States to engage solely, principally, or incidentally in— (i) any activity (I) to violate any law of the United States relating to espionage or sabotage or (II) to violate or evade any law prohibiting the export from the United States of goods, technology, or sensitive information, (ii) any other unlawful activity, or (iii) any activity a purpose of which is the opposition to, or the control or overthrow of, the Government of the United States by force, violence, or other unlawful means, is inadmissible. (B) Terrorist activities (i) In generalAny alien who— (I) has engaged in a terrorist activity; (II) a consular officer, the Attorney General, or the Secretary of Homeland Security knows, or has reasonable ground to believe, is engaged in or is likely to engage after entry in any terrorist activity (as defined in clause (iv)); (III) has, under circumstances indicating an intention to cause death or serious bodily harm, incited terrorist activity; (IV) is a representative (as defined in clause (v)) of— (aa) a terrorist organization (as defined in clause (vi)); or (bb) a political, social, or other group that endorses or espouses terrorist activity; (V) is a member of a terrorist organization described in subclause (I) or (II) of clause (vi); (VI) is a member of a terrorist organization described in clause (vi)(III), unless the alien can demonstrate by clear and convincing evidence that the alien did not know, and should not reasonably have known, that the organization was a terrorist organization; (VII) endorses or espouses terrorist activity or persuades others to endorse or espouse terrorist activity or support a terrorist organization; (VIII) has received military-type training (as defined in section 2339D(c)(1) of title 18) from or on behalf of any organization that, at the time the training was received, was a terrorist organization (as defined in clause (vi)); or (IX) is the spouse or child of an alien who is inadmissible under this subparagraph, if the activity causing the alien to be found inadmissible occurred within the last 5 years,  is inadmissible. An alien who is an officer, official, representative, or spokesman of the Palestine Liberation Organization is considered, for purposes of this chapter, to be engaged in a terrorist activity. (ii) ExceptionSubclause (IX) of clause (i) does not apply to a spouse or child— (I) who did not know or should not reasonably have known of the activity causing the alien to be found inadmissible under this section; or (II) whom the consular officer or Attorney General has reasonable grounds to believe has renounced the activity causing the alien to be found inadmissible under this section. (iii) “Terrorist activity” definedAs used in this chapter, the term “terrorist activity” means any activity which is unlawful under the laws of the place where it is committed (or which, if it had been committed in the United States, would be unlawful under the laws of the United States or any State) and which involves any of the following: (I) The highjacking or sabotage of any conveyance (including an aircraft, vessel, or vehicle). (II) The seizing or detaining, and threatening to kill, injure, or continue to detain, another individual in order to compel a third person (including a governmental organization) to do or abstain from doing any act as an explicit or implicit condition for the release of the individual seized or detained. (III) A violent attack upon an internationally protected person (as defined in section 1116(b</w:t>
      </w:r>
      <w:proofErr w:type="gramStart"/>
      <w:r w:rsidRPr="00152378">
        <w:rPr>
          <w:sz w:val="8"/>
        </w:rPr>
        <w:t>)(</w:t>
      </w:r>
      <w:proofErr w:type="gramEnd"/>
      <w:r w:rsidRPr="00152378">
        <w:rPr>
          <w:sz w:val="8"/>
        </w:rPr>
        <w:t xml:space="preserve">4) of title 18) or upon the liberty of such a person. (IV) An assassination. (V) The use of any— (a) biological agent, chemical agent, or nuclear weapon or device, or (b) explosive, firearm, or other weapon or dangerous device (other than for mere personal monetary gain),   with intent to endanger, directly or indirectly, the safety of one or more individuals or to cause substantial damage to property. (VI) A threat, attempt, or conspiracy to do any of the foregoing. (iv) “Engage in terrorist activity” definedAs used in this chapter, the term “engage in terrorist activity” means, in an individual capacity or as a member of an organization— (I) to commit or to incite to commit, under circumstances indicating an intention to cause death or serious bodily injury, a terrorist activity; (II) to prepare or plan a terrorist activity; (III) to gather information on potential targets for terrorist activity; (IV) to solicit funds or other things of value for— (aa) a terrorist activity; (bb) a terrorist organization described in clause (vi)(I) or (vi)(II); or (cc) a terrorist organization described in clause (vi)(III), unless the solicitor can demonstrate by clear and convincing evidence that he did not know, and should not reasonably have known, that the organization was a terrorist organization; (V) to solicit any individual— (aa) to engage in conduct otherwise described in this subsection; (bb) for membership in a terrorist organization described in clause (vi)(I) or (vi)(II); or (cc) for membership in a terrorist organization described in clause (vi)(III) unless the solicitor can demonstrate by clear and convincing evidence that he did not know, and should not reasonably have known, that the organization was a terrorist organization; or (VI) to commit an act that the actor knows, or reasonably should know, affords material support, including a safe house, transportation, communications, funds, transfer of funds or other material financial benefit, false documentation or identification, weapons (including chemical, biological, or radiological weapons), explosives, or training— (aa) for the commission of a terrorist activity; (bb) to any individual who the actor knows, or reasonably should know, has committed or plans to commit a terrorist activity; (cc) to a terrorist organization described in subclause (I) or (II) of clause (vi) or to any member of such an organization; or (dd) to a terrorist organization described in clause (vi)(III), or to any member of such an organization, unless the actor can demonstrate by clear and convincing evidence that the actor did not know, and should not reasonably have known, that the organization was a terrorist organization. (v) “Representative” defined As used in this paragraph, the term “representative” includes an officer, official, or spokesman of an organization, and any person who directs, counsels, commands, or induces an organization or its members to engage in terrorist activity. (vi) “Terrorist organization” definedAs used in this section, the term “terrorist organization” means an organization— (I) designated under section 1189 of this title; (II) otherwise designated, upon publication in the Federal Register, by the Secretary of State in consultation with or upon the request of the Attorney General or the Secretary of Homeland Security, as a terrorist organization, after finding that the organization engages in the activities described in subclauses (I) through (VI) of clause (iv); or (III) that is a group of two or more individuals, whether organized or not, which engages in, or has a subgroup which engages in, the activities described in subclauses (I) through (VI) of clause (iv). (C) Foreign policy (i) In general An alien whose entry or proposed activities in the United States the Secretary of State has reasonable ground to believe would have potentially serious adverse foreign policy consequences for the United States is inadmissible. (ii) Exception for officials An alien who is an official of a foreign government or a purported government, or who is a candidate for election to a foreign government office during the period immediately preceding the election for that office, shall not be excludable or subject to restrictions or conditions on entry into the United States under clause (i) solely because of the alien’s past, current, or expected beliefs, statements, or associations, if such beliefs, statements, or associations would be lawful within the United States. (iii) Exception for other aliens An alien, not described in clause (ii), shall not be excludable or subject to restrictions or conditions on entry into the United States under clause (i) because of the alien’s past, current, or expected beliefs, statements, or associations, if such beliefs, statements, or associations would be lawful within the United States, unless the Secretary of State personally determines that the alien’s admission would compromise a compelling United States foreign policy interest. (iv) Notification of determinations If a determination is made under clause (iii) with respect to an alien, the Secretary of State must notify on a timely basis the chairmen of the Committees on the Judiciary and Foreign Affairs of the House of Representatives and of the Committees on the Judiciary and Foreign Relations of the Senate of the identity of the alien and the reasons for the determination. (D) Immigrant membership in totalitarian party (i) In general </w:t>
      </w:r>
      <w:proofErr w:type="gramStart"/>
      <w:r w:rsidRPr="00152378">
        <w:rPr>
          <w:sz w:val="8"/>
        </w:rPr>
        <w:t>Any</w:t>
      </w:r>
      <w:proofErr w:type="gramEnd"/>
      <w:r w:rsidRPr="00152378">
        <w:rPr>
          <w:sz w:val="8"/>
        </w:rPr>
        <w:t xml:space="preserve"> immigrant who is or has been a member of or affiliated with the Communist or any other totalitarian party (or subdivision or affiliate thereof), domestic or foreign, is inadmissible. (ii) Exception for involuntary membership Clause (i) shall not apply to an alien because of membership or affiliation if the alien establishes to the satisfaction of the consular officer when applying for a visa (or to the satisfaction of the Attorney General when applying for admission) that the membership or affiliation is or was involuntary, or is or was solely when under 16 years of age, by operation of law, or for purposes of obtaining employment, food rations, or other essentials of living and whether necessary for such purposes. (iii) Exception for past membershipClause (i) shall not apply to an alien because of membership or affiliation if the alien establishes to the satisfaction of the consular officer when applying for a visa (or to the satisfaction of the Attorney General when applying for admission) that— (I) the membership or affiliation terminated at least— (a) 2 years before the date of such application, or (b) 5 years before the date of such application, in the case of an alien whose membership or affiliation was with the party controlling the government of a foreign state that is a totalitarian dictatorship as of such date, and (II) the alien is not a threat to the security of the United States. (iv) Exception for close family members The Attorney General may, in the Attorney General’s discretion, waive the application of clause (i) in the case of an immigrant who is the parent, spouse, son, daughter, brother, or sister of a citizen of the United States or a spouse, son, or daughter of an alien lawfully admitted for permanent residence for humanitarian purposes, to assure family unity, or when it is otherwise in the public interest if the immigrant is not a threat to the security of the United States. (E) Participants in Nazi persecution, genocide, or the commission of any act of torture or extrajudicial killing (i) Participation in Nazi persecutionsAny alien who, during the period beginning on March 23, 1933, and ending on May 8, 1945, under the direction of, or in association with— (I) the Nazi government of Germany, (II) any government in any area occupied by the military forces of the Nazi government of Germany, (III) any government established with the assistance or cooperation of the Nazi government of Germany, or (IV) any government which was an ally of the Nazi government of Germany,  ordered, incited, assisted, or otherwise participated in the persecution of any person because of race, religion, national origin, or political opinion is inadmissible. (ii) Participation in genocide Any alien who ordered, incited, assisted, or otherwise participated in genocide, as defined in section 1091(a) of title 18, is inadmissible. (iii) Commission of acts of torture or extrajudicial killingsAny alien who, outside the United States, has committed, ordered, incited, assisted, or otherwise participated in the commission of— (I) any act of torture, as defined in section 2340 of title 18; or (II) under color of law of any foreign nation, any extrajudicial killing, as defined in section 3(a) of the Torture Victim Protection Act of 1991 (28 U.S.C. 1350 note)</w:t>
      </w:r>
      <w:proofErr w:type="gramStart"/>
      <w:r w:rsidRPr="00152378">
        <w:rPr>
          <w:sz w:val="8"/>
        </w:rPr>
        <w:t>,  is</w:t>
      </w:r>
      <w:proofErr w:type="gramEnd"/>
      <w:r w:rsidRPr="00152378">
        <w:rPr>
          <w:sz w:val="8"/>
        </w:rPr>
        <w:t xml:space="preserve"> inadmissible. (F) Association with terrorist organizations Any alien who the Secretary of State, after consultation with the Attorney General, or the Attorney General, after consultation with the Secretary of State, determines has been associated with a terrorist organization and intends while in the United States to engage solely, principally, or incidentally in activities that could endanger the welfare, safety, or security of the United States is inadmissible. (G) Recruitment or use of child soldiers </w:t>
      </w:r>
      <w:proofErr w:type="gramStart"/>
      <w:r w:rsidRPr="00152378">
        <w:rPr>
          <w:sz w:val="8"/>
        </w:rPr>
        <w:t>Any</w:t>
      </w:r>
      <w:proofErr w:type="gramEnd"/>
      <w:r w:rsidRPr="00152378">
        <w:rPr>
          <w:sz w:val="8"/>
        </w:rPr>
        <w:t xml:space="preserve"> alien who has engaged in the recruitment or use of child soldiers in violation of section 2442 of title 18 is inadmissible. (4) </w:t>
      </w:r>
      <w:r w:rsidRPr="00441BE0">
        <w:rPr>
          <w:rStyle w:val="Emphasis"/>
        </w:rPr>
        <w:t>Public charge</w:t>
      </w:r>
      <w:r>
        <w:rPr>
          <w:rStyle w:val="Emphasis"/>
        </w:rPr>
        <w:t xml:space="preserve"> </w:t>
      </w:r>
      <w:r w:rsidRPr="00152378">
        <w:rPr>
          <w:sz w:val="8"/>
        </w:rPr>
        <w:t xml:space="preserve">(A) In general </w:t>
      </w:r>
      <w:r w:rsidRPr="00441BE0">
        <w:rPr>
          <w:rStyle w:val="StyleUnderline"/>
        </w:rPr>
        <w:t>Any alien who, in the opinion of the consular officer at the time of application for a visa, or in the opinion of the Attorney General at the time of application for admission or adjustment of status, is likely at any time to become a public charge is inadmissible.</w:t>
      </w:r>
      <w:r>
        <w:rPr>
          <w:rStyle w:val="StyleUnderline"/>
        </w:rPr>
        <w:t xml:space="preserve"> </w:t>
      </w:r>
      <w:r w:rsidRPr="00441BE0">
        <w:rPr>
          <w:rStyle w:val="StyleUnderline"/>
        </w:rPr>
        <w:t>(B) Factors to be taken into account</w:t>
      </w:r>
      <w:r>
        <w:rPr>
          <w:rStyle w:val="StyleUnderline"/>
        </w:rPr>
        <w:t xml:space="preserve"> </w:t>
      </w:r>
      <w:r w:rsidRPr="00441BE0">
        <w:rPr>
          <w:rStyle w:val="StyleUnderline"/>
        </w:rPr>
        <w:t>(i) In determining whether an alien is inadmissible under this paragraph, the consular officer or the Attorney General shall at a minimum consider the alien’s—</w:t>
      </w:r>
      <w:r>
        <w:rPr>
          <w:rStyle w:val="StyleUnderline"/>
        </w:rPr>
        <w:t xml:space="preserve"> </w:t>
      </w:r>
      <w:r w:rsidRPr="00441BE0">
        <w:rPr>
          <w:rStyle w:val="StyleUnderline"/>
        </w:rPr>
        <w:t>(I) age;</w:t>
      </w:r>
      <w:r>
        <w:rPr>
          <w:rStyle w:val="StyleUnderline"/>
        </w:rPr>
        <w:t xml:space="preserve"> </w:t>
      </w:r>
      <w:r w:rsidRPr="00441BE0">
        <w:rPr>
          <w:rStyle w:val="StyleUnderline"/>
        </w:rPr>
        <w:t>(II) health;</w:t>
      </w:r>
      <w:r>
        <w:rPr>
          <w:rStyle w:val="StyleUnderline"/>
        </w:rPr>
        <w:t xml:space="preserve"> </w:t>
      </w:r>
      <w:r w:rsidRPr="00441BE0">
        <w:rPr>
          <w:rStyle w:val="StyleUnderline"/>
        </w:rPr>
        <w:t>(III) family status;</w:t>
      </w:r>
      <w:r>
        <w:rPr>
          <w:rStyle w:val="StyleUnderline"/>
        </w:rPr>
        <w:t xml:space="preserve"> </w:t>
      </w:r>
      <w:r w:rsidRPr="00441BE0">
        <w:rPr>
          <w:rStyle w:val="StyleUnderline"/>
        </w:rPr>
        <w:t>(IV) assets, resources, and financial status; and</w:t>
      </w:r>
      <w:r>
        <w:rPr>
          <w:rStyle w:val="StyleUnderline"/>
        </w:rPr>
        <w:t xml:space="preserve"> </w:t>
      </w:r>
      <w:r w:rsidRPr="00441BE0">
        <w:rPr>
          <w:rStyle w:val="StyleUnderline"/>
        </w:rPr>
        <w:t>(V) education and skills.</w:t>
      </w:r>
      <w:r>
        <w:rPr>
          <w:rStyle w:val="StyleUnderline"/>
        </w:rPr>
        <w:t xml:space="preserve"> </w:t>
      </w:r>
      <w:r w:rsidRPr="00441BE0">
        <w:rPr>
          <w:rStyle w:val="StyleUnderline"/>
        </w:rPr>
        <w:t>(ii) In addition to the factors under clause (i), the consular officer or the Attorney General may also consider any affidavit of support under section 1183a of this title for purposes of exclusion under this paragraph.</w:t>
      </w:r>
    </w:p>
    <w:p w:rsidR="00467FC6" w:rsidRPr="00441BE0" w:rsidRDefault="00467FC6" w:rsidP="00467FC6"/>
    <w:p w:rsidR="00467FC6" w:rsidRPr="00441BE0" w:rsidRDefault="00467FC6" w:rsidP="00467FC6">
      <w:pPr>
        <w:pStyle w:val="Heading4"/>
      </w:pPr>
      <w:r>
        <w:t>Public Charges are considered restrictions in the context of legal immigration</w:t>
      </w:r>
    </w:p>
    <w:p w:rsidR="00467FC6" w:rsidRPr="00B90317" w:rsidRDefault="00467FC6" w:rsidP="00467FC6">
      <w:pPr>
        <w:rPr>
          <w:rStyle w:val="Style13ptBold"/>
          <w:b w:val="0"/>
          <w:sz w:val="22"/>
        </w:rPr>
      </w:pPr>
      <w:r>
        <w:rPr>
          <w:rStyle w:val="Style13ptBold"/>
        </w:rPr>
        <w:t>DOJ 99</w:t>
      </w:r>
      <w:r w:rsidRPr="00B90317">
        <w:t xml:space="preserve"> (</w:t>
      </w:r>
      <w:r>
        <w:t xml:space="preserve">Department of Justice, </w:t>
      </w:r>
      <w:r w:rsidRPr="00B90317">
        <w:t>a cabinet-level agency responsible for enforcing the laws of the United States federal government</w:t>
      </w:r>
      <w:r>
        <w:t>, “</w:t>
      </w:r>
      <w:r w:rsidRPr="00B90317">
        <w:t>Inadmissibility and Deportability on Public Charge Grounds</w:t>
      </w:r>
      <w:r>
        <w:t>,” [U.S. Citizenship and Immigration Services], DOCUMENT NUMBER: FR26-99, FEDERAL REGISTER CITE: 64 FR 28676, May 26</w:t>
      </w:r>
      <w:r w:rsidRPr="00B90317">
        <w:rPr>
          <w:vertAlign w:val="superscript"/>
        </w:rPr>
        <w:t>th</w:t>
      </w:r>
      <w:r>
        <w:t xml:space="preserve"> of 1999, accessed: 7/15/18, </w:t>
      </w:r>
      <w:r w:rsidRPr="00B90317">
        <w:t>https://www.uscis.gov/ilink/docView/FR/HTML/FR/0-0-0-1/0-0-0-54070/0-0-0-56200/0-0-0-56785.html</w:t>
      </w:r>
      <w:r>
        <w:t>)//DCai</w:t>
      </w:r>
    </w:p>
    <w:p w:rsidR="00467FC6" w:rsidRPr="00467FC6" w:rsidRDefault="00467FC6" w:rsidP="00467FC6">
      <w:r w:rsidRPr="00B90317">
        <w:rPr>
          <w:sz w:val="16"/>
        </w:rPr>
        <w:t xml:space="preserve">Welfare Reform and Other Significant Factors That Limit Potential for Aliens to Become "Public Charges" The proposed rule is not expected to alter substantially the number of aliens who will be found deportable or inadmissible as public charges. Deportations on public charge grounds have always been rare due to the strict Matter of B- requirements that agencies first must demand repayment, assuming they have a legal right to do so, and the obligated party or parties must have failed to pay. This is unlikely to change. Several recently enacted welfare and immigration reform measures have also contributed to reducing the possibility that aliens will be found likely to become public charges under section 212(a)(4) of the Act. </w:t>
      </w:r>
      <w:r w:rsidRPr="00B90317">
        <w:rPr>
          <w:rStyle w:val="StyleUnderline"/>
        </w:rPr>
        <w:t>Due to the increased restrictions of the welfare reform law, as amended, many aliens are no longer eligible to receive some public benefits formerly available to them.</w:t>
      </w:r>
      <w:r w:rsidRPr="00B90317">
        <w:rPr>
          <w:sz w:val="16"/>
        </w:rPr>
        <w:t xml:space="preserve"> For example, </w:t>
      </w:r>
      <w:r w:rsidRPr="00441BE0">
        <w:rPr>
          <w:rStyle w:val="StyleUnderline"/>
        </w:rPr>
        <w:t>one significant new restriction prohibits legal, "qualified aliens" from receiving Federal means-tested public benefits</w:t>
      </w:r>
      <w:r w:rsidRPr="00B90317">
        <w:rPr>
          <w:sz w:val="16"/>
        </w:rPr>
        <w:t xml:space="preserve">, with some exceptions, for 5 years if they arrive after August 22, 1996. 8 U.S.C. 1613. </w:t>
      </w:r>
      <w:r w:rsidRPr="001579CD">
        <w:rPr>
          <w:rStyle w:val="StyleUnderline"/>
        </w:rPr>
        <w:t>Combined with the 5-year limitation in section 237(a</w:t>
      </w:r>
      <w:proofErr w:type="gramStart"/>
      <w:r w:rsidRPr="001579CD">
        <w:rPr>
          <w:rStyle w:val="StyleUnderline"/>
        </w:rPr>
        <w:t>)(</w:t>
      </w:r>
      <w:proofErr w:type="gramEnd"/>
      <w:r w:rsidRPr="001579CD">
        <w:rPr>
          <w:rStyle w:val="StyleUnderline"/>
        </w:rPr>
        <w:t xml:space="preserve">5) of the Act, </w:t>
      </w:r>
      <w:r w:rsidRPr="001579CD">
        <w:rPr>
          <w:rStyle w:val="Emphasis"/>
        </w:rPr>
        <w:t>the welfare reform restriction means fewer aliens are likely to become deportable public charges</w:t>
      </w:r>
      <w:r w:rsidRPr="001579CD">
        <w:rPr>
          <w:rStyle w:val="StyleUnderline"/>
        </w:rPr>
        <w:t>.</w:t>
      </w:r>
      <w:r w:rsidRPr="00B90317">
        <w:rPr>
          <w:sz w:val="16"/>
        </w:rPr>
        <w:t xml:space="preserve"> </w:t>
      </w:r>
      <w:r w:rsidRPr="00B90317">
        <w:rPr>
          <w:rStyle w:val="StyleUnderline"/>
        </w:rPr>
        <w:t>Under new "deeming" rules, some aliens who might otherwise have been able to obtain certain Federal, State, or local means-tested public benefits can no longer do so because their sponsors' resources may now count as resources available to the aliens</w:t>
      </w:r>
      <w:r w:rsidRPr="00B90317">
        <w:rPr>
          <w:sz w:val="16"/>
        </w:rPr>
        <w:t xml:space="preserve"> (i.e., t he sponsors' resources are "deemed" available to the alien), which would normally raise the alien's income over the benefit eligibility threshold. 8 U.S.C. 1631, 1632. In addition, </w:t>
      </w:r>
      <w:r w:rsidRPr="00B90317">
        <w:rPr>
          <w:rStyle w:val="StyleUnderline"/>
        </w:rPr>
        <w:t>the requirement of a legally binding Affidavit of Support obligating sponsors to support their immigrating family members above the poverty level before they will be granted admission or adjustment has significantly raised the bar for people who might, in the past, have entered and become public charges.</w:t>
      </w:r>
      <w:r w:rsidRPr="00B90317">
        <w:rPr>
          <w:sz w:val="16"/>
        </w:rPr>
        <w:t xml:space="preserve"> These new laws work toget her to limit the potential for immigrants to become dependent on the Government. </w:t>
      </w:r>
      <w:r w:rsidRPr="00B90317">
        <w:rPr>
          <w:rStyle w:val="StyleUnderline"/>
        </w:rPr>
        <w:t>The proposed rule defining "public charge" will not change or negatively affect the operation of these provisions.</w:t>
      </w:r>
    </w:p>
    <w:p w:rsidR="006F6EF3" w:rsidRDefault="006F6EF3" w:rsidP="00EE31FC">
      <w:pPr>
        <w:pStyle w:val="Heading2"/>
      </w:pPr>
      <w:r>
        <w:t>AT</w:t>
      </w:r>
      <w:r w:rsidR="006D59F7">
        <w:t>:</w:t>
      </w:r>
      <w:r>
        <w:t xml:space="preserve"> T-Legal immigration</w:t>
      </w:r>
    </w:p>
    <w:p w:rsidR="006F6EF3" w:rsidRDefault="006F6EF3" w:rsidP="006F6EF3">
      <w:pPr>
        <w:pStyle w:val="Heading4"/>
      </w:pPr>
      <w:r>
        <w:t>We meet—public charge applies to immigrants who are applying/have already received lawful permanent status</w:t>
      </w:r>
    </w:p>
    <w:p w:rsidR="006F6EF3" w:rsidRPr="000B4A96" w:rsidRDefault="006F6EF3" w:rsidP="006F6EF3">
      <w:r>
        <w:rPr>
          <w:b/>
        </w:rPr>
        <w:t xml:space="preserve">USCIS 17 </w:t>
      </w:r>
      <w:r w:rsidRPr="00782C84">
        <w:rPr>
          <w:sz w:val="18"/>
          <w:szCs w:val="18"/>
        </w:rPr>
        <w:t xml:space="preserve">(USCIS, “Public Charge,” Q: What is a public charge and when does it apply? US Citizenship and Immigration Services, </w:t>
      </w:r>
      <w:r>
        <w:rPr>
          <w:sz w:val="18"/>
          <w:szCs w:val="18"/>
        </w:rPr>
        <w:t xml:space="preserve">6/26/17, </w:t>
      </w:r>
      <w:r w:rsidRPr="00782C84">
        <w:rPr>
          <w:sz w:val="18"/>
          <w:szCs w:val="18"/>
        </w:rPr>
        <w:t>https://www.uscis.gov/greencard/public-charge)//jy</w:t>
      </w:r>
    </w:p>
    <w:p w:rsidR="006F6EF3" w:rsidRDefault="006F6EF3" w:rsidP="006F6EF3">
      <w:pPr>
        <w:rPr>
          <w:sz w:val="14"/>
        </w:rPr>
      </w:pPr>
      <w:r w:rsidRPr="007E30F3">
        <w:rPr>
          <w:u w:val="single"/>
        </w:rPr>
        <w:t>Under Section 212(a</w:t>
      </w:r>
      <w:proofErr w:type="gramStart"/>
      <w:r w:rsidRPr="007E30F3">
        <w:rPr>
          <w:u w:val="single"/>
        </w:rPr>
        <w:t>)(</w:t>
      </w:r>
      <w:proofErr w:type="gramEnd"/>
      <w:r w:rsidRPr="007E30F3">
        <w:rPr>
          <w:u w:val="single"/>
        </w:rPr>
        <w:t>4) of the</w:t>
      </w:r>
      <w:r w:rsidRPr="007E30F3">
        <w:rPr>
          <w:sz w:val="14"/>
        </w:rPr>
        <w:t xml:space="preserve"> Immigration and Nationality Act (</w:t>
      </w:r>
      <w:r w:rsidRPr="007E30F3">
        <w:rPr>
          <w:u w:val="single"/>
        </w:rPr>
        <w:t>INA), an individual seeking admission to the United States or seeking to adjust status to that of an individual lawfully admitted for permanent residence</w:t>
      </w:r>
      <w:r w:rsidRPr="007E30F3">
        <w:rPr>
          <w:sz w:val="14"/>
        </w:rPr>
        <w:t xml:space="preserve"> (green card) </w:t>
      </w:r>
      <w:r w:rsidRPr="007E30F3">
        <w:rPr>
          <w:u w:val="single"/>
        </w:rPr>
        <w:t>is inadmissible if the individual, "at the time of application for admission or adjustment of status, is likely at any time to become a public charge."</w:t>
      </w:r>
      <w:r w:rsidRPr="007E30F3">
        <w:rPr>
          <w:sz w:val="14"/>
        </w:rPr>
        <w:t xml:space="preserve"> Public charge does not apply in naturalization proceedings. If an individual is inadmissible, admission to the United States or adjustment of status is not granted</w:t>
      </w:r>
    </w:p>
    <w:p w:rsidR="00A30177" w:rsidRDefault="00A30177" w:rsidP="00A30177"/>
    <w:p w:rsidR="00DE6A7C" w:rsidRPr="00020FC7" w:rsidRDefault="00DE6A7C" w:rsidP="00DE6A7C">
      <w:pPr>
        <w:pStyle w:val="Heading4"/>
      </w:pPr>
      <w:r w:rsidRPr="00020FC7">
        <w:t>We meet- public charge rules limit legal immigration to the U.S- even if we don’t meet it proves none of their ground offense applies</w:t>
      </w:r>
    </w:p>
    <w:p w:rsidR="00DE6A7C" w:rsidRPr="00020FC7" w:rsidRDefault="00DE6A7C" w:rsidP="00DE6A7C">
      <w:r w:rsidRPr="00020FC7">
        <w:rPr>
          <w:rStyle w:val="Style13ptBold"/>
        </w:rPr>
        <w:t>Macchi, 18</w:t>
      </w:r>
      <w:proofErr w:type="gramStart"/>
      <w:r w:rsidRPr="00020FC7">
        <w:t>,  (</w:t>
      </w:r>
      <w:proofErr w:type="gramEnd"/>
      <w:r w:rsidRPr="00020FC7">
        <w:t xml:space="preserve">Victoria Macchi, Proposed Rule May Affect US Legal Immigration 7-10-2018, VOA, </w:t>
      </w:r>
      <w:hyperlink r:id="rId182" w:history="1">
        <w:r w:rsidRPr="00020FC7">
          <w:rPr>
            <w:rStyle w:val="Hyperlink"/>
          </w:rPr>
          <w:t>https://www.voanews.com/a/proposed-rule-may-affect-us-legal-immigration-/4477138.html</w:t>
        </w:r>
      </w:hyperlink>
      <w:r w:rsidRPr="00020FC7">
        <w:t>)</w:t>
      </w:r>
      <w:r>
        <w:t>//AO</w:t>
      </w:r>
    </w:p>
    <w:p w:rsidR="00DE6A7C" w:rsidRPr="00DE6A7C" w:rsidRDefault="00DE6A7C" w:rsidP="00DE6A7C">
      <w:pPr>
        <w:rPr>
          <w:sz w:val="16"/>
        </w:rPr>
      </w:pPr>
      <w:r w:rsidRPr="00020FC7">
        <w:rPr>
          <w:sz w:val="16"/>
        </w:rPr>
        <w:t xml:space="preserve">By the end of July, </w:t>
      </w:r>
      <w:r w:rsidRPr="00020FC7">
        <w:rPr>
          <w:u w:val="single"/>
        </w:rPr>
        <w:t xml:space="preserve">the Trump administration is expected to take a step closer to another sweeping policy shift that could block millions of foreigners from coming to the United States or from staying in the country if they have had access to certain public benefits, like children's health care. </w:t>
      </w:r>
      <w:r w:rsidRPr="00020FC7">
        <w:rPr>
          <w:sz w:val="16"/>
        </w:rPr>
        <w:t xml:space="preserve">One team of analysts says the revamped “public charge” policy could lead to U.S. citizens in mixed-status families not getting crucial services they need and are entitled to out of fear that it could jeopardize a relative’s immigration status. </w:t>
      </w:r>
      <w:r w:rsidRPr="00020FC7">
        <w:rPr>
          <w:u w:val="single"/>
        </w:rPr>
        <w:t>It all comes down to how the U.S. government defines a “public charge,”</w:t>
      </w:r>
      <w:r w:rsidRPr="00020FC7">
        <w:rPr>
          <w:sz w:val="16"/>
        </w:rPr>
        <w:t xml:space="preserve"> and the Department of Homeland Security (DHS) is pushing for a change. Draft versions of the document leaked to media outlets earlier this year reveal the U.S. government intends to broaden which immigrants could be considered “inadmissible” or barred from obtaining permanent residency — that is, a green card. The DHS proposal indicated the modification to the rule would be published in July, at which time it would be available for public comment and response from the agency. The draft rule was sent to the Office of Management and Budget for review in late March, and there it remains as of July 10. Who and how As it stands, when it comes to determining whether an immigrant is likely to become a “public charge,” immigration officials — those inside the U.S. judging cases where immigrants want to adjust their status, and those outside the U.S. adjudicating visas — weigh whether the applicant has received cash assistance from the government or has been institutionalized long term at the government’s expense. The new rule, according to the leaked drafts, could significantly expand that definition. The March version of the document, if kept as is, would jump from affecting 3 percent of noncitizens to 47 percent, according to a June report from the Migration Policy Institute, a nonpartisan organization that regularly analyzes data and shifts in U.S. immigration policy. Chilling effects According to leaked drafts, the Trump administration is considering </w:t>
      </w:r>
      <w:r w:rsidRPr="00020FC7">
        <w:rPr>
          <w:u w:val="single"/>
        </w:rPr>
        <w:t>a rule that could have sweeping effects on both legal immigration to the United States</w:t>
      </w:r>
      <w:r w:rsidRPr="00020FC7">
        <w:rPr>
          <w:sz w:val="16"/>
        </w:rPr>
        <w:t xml:space="preserve"> and the use of public benefits by legal immigrants and their families.</w:t>
      </w:r>
    </w:p>
    <w:p w:rsidR="00A30177" w:rsidRDefault="00A30177" w:rsidP="00A30177"/>
    <w:p w:rsidR="00DE6A7C" w:rsidRPr="006912EB" w:rsidRDefault="00DE6A7C" w:rsidP="00DE6A7C">
      <w:pPr>
        <w:pStyle w:val="Heading4"/>
      </w:pPr>
      <w:r>
        <w:t>Counter-interpretation- immigration includes public benefits and public charge grounds for denial</w:t>
      </w:r>
    </w:p>
    <w:p w:rsidR="00DE6A7C" w:rsidRDefault="00DE6A7C" w:rsidP="00DE6A7C">
      <w:r w:rsidRPr="006912EB">
        <w:rPr>
          <w:rStyle w:val="Style13ptBold"/>
        </w:rPr>
        <w:t>Boswell 95</w:t>
      </w:r>
      <w:r>
        <w:t xml:space="preserve"> (</w:t>
      </w:r>
      <w:r w:rsidRPr="007777FE">
        <w:t>Richard A. Boswell</w:t>
      </w:r>
      <w:r>
        <w:t xml:space="preserve">, </w:t>
      </w:r>
      <w:r w:rsidRPr="007777FE">
        <w:t>Professor of Law and Director of the Immigrant Rights Clinic, The University of California, Hastings College of the Law</w:t>
      </w:r>
      <w:r>
        <w:t>, “</w:t>
      </w:r>
      <w:r w:rsidRPr="007777FE">
        <w:t>RESTRICTIONS ON NON-CITIZENS' ACCESS TO PUBLIC BENEFITS: FLAWED PREMISE, UNNECESSARY RESPONSE</w:t>
      </w:r>
      <w:r>
        <w:t xml:space="preserve">”, </w:t>
      </w:r>
      <w:r w:rsidRPr="007777FE">
        <w:t>UCLA L. Rev. 1475</w:t>
      </w:r>
      <w:r>
        <w:t xml:space="preserve">, </w:t>
      </w:r>
      <w:hyperlink r:id="rId183" w:history="1">
        <w:r w:rsidRPr="00DF34A6">
          <w:rPr>
            <w:rStyle w:val="Hyperlink"/>
          </w:rPr>
          <w:t>http://www.lexisnexis.com.proxy.lib.umich.edu/lnacui2api/results/docview/docview.do?docLinkInd=true&amp;risb=21_T27722107320&amp;format=GNBFI&amp;sort=RELEVANCE&amp;startDocNo=1&amp;resultsUrlKey=29_T27722107324&amp;cisb=22_T27722107323&amp;treeMax=true&amp;treeWidth=0&amp;csi=7359&amp;docNo=2)//AO</w:t>
        </w:r>
      </w:hyperlink>
    </w:p>
    <w:p w:rsidR="00DE6A7C" w:rsidRDefault="00DE6A7C" w:rsidP="00DE6A7C">
      <w:pPr>
        <w:rPr>
          <w:u w:val="single"/>
        </w:rPr>
      </w:pPr>
      <w:r w:rsidRPr="00D008E1">
        <w:rPr>
          <w:u w:val="single"/>
        </w:rPr>
        <w:t>The subject of public benefits and its intersection with immigration law has been a topic of much discussion since the enactment of the earliest immigration laws.</w:t>
      </w:r>
      <w:r w:rsidRPr="006912EB">
        <w:rPr>
          <w:sz w:val="8"/>
        </w:rPr>
        <w:t xml:space="preserve"> The political debate that has become a major topic in recent elections is not at all new to American politics. Public benefits and alien eligibility have been at issue for nearly as long as there has been a discussion of border enforcement. At the center of this discussion is whether or not there really is an illegal immigration crisis, and whether or not there is widespread abuse of public benefit programs by foreigners in the United States. </w:t>
      </w:r>
      <w:r w:rsidRPr="00D008E1">
        <w:rPr>
          <w:u w:val="single"/>
        </w:rPr>
        <w:t>An additional and overarching question that punctuates</w:t>
      </w:r>
      <w:r>
        <w:rPr>
          <w:u w:val="single"/>
        </w:rPr>
        <w:t xml:space="preserve"> </w:t>
      </w:r>
      <w:r w:rsidRPr="00D008E1">
        <w:rPr>
          <w:u w:val="single"/>
        </w:rPr>
        <w:t>[*1476]</w:t>
      </w:r>
      <w:r>
        <w:rPr>
          <w:u w:val="single"/>
        </w:rPr>
        <w:t xml:space="preserve"> </w:t>
      </w:r>
      <w:r w:rsidRPr="00D008E1">
        <w:rPr>
          <w:u w:val="single"/>
        </w:rPr>
        <w:t>this discussion is the degree to which important moral issues have been left out of these debates on United States immigration policy.</w:t>
      </w:r>
      <w:r>
        <w:rPr>
          <w:u w:val="single"/>
        </w:rPr>
        <w:t xml:space="preserve"> </w:t>
      </w:r>
      <w:r w:rsidRPr="006912EB">
        <w:rPr>
          <w:sz w:val="8"/>
        </w:rPr>
        <w:t xml:space="preserve">The recent debates and political initiatives relating to immigrant access to public benefits are part of a recurrent historical pattern in which increased attention has been focused on immigrants during periods of perceived economic downturn. </w:t>
      </w:r>
      <w:proofErr w:type="gramStart"/>
      <w:r w:rsidRPr="006912EB">
        <w:rPr>
          <w:sz w:val="8"/>
        </w:rPr>
        <w:t>n1</w:t>
      </w:r>
      <w:proofErr w:type="gramEnd"/>
      <w:r w:rsidRPr="006912EB">
        <w:rPr>
          <w:sz w:val="8"/>
        </w:rPr>
        <w:t xml:space="preserve"> Political leaders unable to adequately deal with painful rising unemployment and fluctuations in the economy have often scapegoated those members of the society least able to protect themselves. </w:t>
      </w:r>
      <w:proofErr w:type="gramStart"/>
      <w:r w:rsidRPr="006912EB">
        <w:rPr>
          <w:sz w:val="8"/>
        </w:rPr>
        <w:t>n2</w:t>
      </w:r>
      <w:proofErr w:type="gramEnd"/>
      <w:r w:rsidRPr="006912EB">
        <w:rPr>
          <w:sz w:val="8"/>
        </w:rPr>
        <w:t xml:space="preserve"> The breakup of the Soviet Union has caused major political and economic realignments, all of which have left the American body politic with an uneasy sense of what might be in store for the future. In the past, during similar difficult political and economic periods, politicians have [*1477] blamed immigrants. </w:t>
      </w:r>
      <w:proofErr w:type="gramStart"/>
      <w:r w:rsidRPr="006912EB">
        <w:rPr>
          <w:sz w:val="8"/>
        </w:rPr>
        <w:t>n3</w:t>
      </w:r>
      <w:proofErr w:type="gramEnd"/>
      <w:r w:rsidRPr="006912EB">
        <w:rPr>
          <w:sz w:val="8"/>
        </w:rPr>
        <w:t xml:space="preserve"> But immigrants were not the cause of the country's problems in the past, just as they are not the cause of the present dislocation. </w:t>
      </w:r>
      <w:proofErr w:type="gramStart"/>
      <w:r w:rsidRPr="006912EB">
        <w:rPr>
          <w:sz w:val="8"/>
        </w:rPr>
        <w:t>n4</w:t>
      </w:r>
      <w:proofErr w:type="gramEnd"/>
      <w:r w:rsidRPr="006912EB">
        <w:rPr>
          <w:sz w:val="8"/>
        </w:rPr>
        <w:t xml:space="preserve"> The real policy debate should not be about immigration and alien access to public benefits, but how an industrial superpower can make its transition to a peacetime economy. Even the most strident advocates for restricting alien access to public benefits do not sincerely believe that the imposition of additional eligibility requirements will really remedy any of the underlying causes of the economic problems facing the country. </w:t>
      </w:r>
      <w:proofErr w:type="gramStart"/>
      <w:r w:rsidRPr="006912EB">
        <w:rPr>
          <w:sz w:val="8"/>
        </w:rPr>
        <w:t>n5</w:t>
      </w:r>
      <w:proofErr w:type="gramEnd"/>
      <w:r w:rsidRPr="006912EB">
        <w:rPr>
          <w:sz w:val="8"/>
        </w:rPr>
        <w:t xml:space="preserve"> The suggested solutions presented in the ongoing immigration debate, while attacking immigration and attempting to increase the level of hostility towards immigrants, will neither expand the economy nor increase employment opportunities. As in other periods of economic downturn and general insecurity, immigrants have taken the heat for dissatisfaction over a host of other issues. Today, immigrants are being blamed for unemployment, crime, and more generally for draining the public coffers by leeching off of governmental health and welfare programs. </w:t>
      </w:r>
      <w:r w:rsidRPr="00D008E1">
        <w:rPr>
          <w:u w:val="single"/>
        </w:rPr>
        <w:t>The current immigration debate is a symptom of general national insecurity about the future of the American economy.</w:t>
      </w:r>
      <w:r w:rsidRPr="006912EB">
        <w:rPr>
          <w:sz w:val="8"/>
        </w:rPr>
        <w:t xml:space="preserve"> The debate should not be about immigration, but about the underlying causes of unemployment, why there has been a general downturn in the economy, and how these problems can be resolved. </w:t>
      </w:r>
      <w:proofErr w:type="gramStart"/>
      <w:r w:rsidRPr="006912EB">
        <w:rPr>
          <w:sz w:val="8"/>
        </w:rPr>
        <w:t>n6</w:t>
      </w:r>
      <w:proofErr w:type="gramEnd"/>
      <w:r w:rsidRPr="006912EB">
        <w:rPr>
          <w:sz w:val="8"/>
        </w:rPr>
        <w:t xml:space="preserve"> </w:t>
      </w:r>
      <w:r w:rsidRPr="00D008E1">
        <w:rPr>
          <w:u w:val="single"/>
        </w:rPr>
        <w:t xml:space="preserve">The premise of the current debate is that alien eligibility for public benefits must be restricted to keep the public well from running dry. </w:t>
      </w:r>
      <w:r w:rsidRPr="006912EB">
        <w:rPr>
          <w:sz w:val="8"/>
        </w:rPr>
        <w:t xml:space="preserve">In this paper, I will briefly explore the history of some of the public benefits [*1478] programs. </w:t>
      </w:r>
      <w:proofErr w:type="gramStart"/>
      <w:r w:rsidRPr="006912EB">
        <w:rPr>
          <w:sz w:val="8"/>
        </w:rPr>
        <w:t>n7</w:t>
      </w:r>
      <w:proofErr w:type="gramEnd"/>
      <w:r w:rsidRPr="006912EB">
        <w:rPr>
          <w:sz w:val="8"/>
        </w:rPr>
        <w:t xml:space="preserve"> As I will detail, alien eligibility for public benefits is already severely restricted for both undocumented and documented aliens. Undocumented aliens are only eligible for limited emergency assistance. </w:t>
      </w:r>
      <w:r w:rsidRPr="006912EB">
        <w:rPr>
          <w:u w:val="single"/>
        </w:rPr>
        <w:t>Newly arrived lawful permanent residents who apply for and receive benefits place their status in jeopardy. In addition, a panoply of exclusion and deportation laws either prohibit the admission of persons who are likely to become public charges or require their removal from the United States.</w:t>
      </w:r>
      <w:r w:rsidRPr="006912EB">
        <w:rPr>
          <w:sz w:val="8"/>
        </w:rPr>
        <w:t xml:space="preserve"> In order to issue all but emergency benefits, states are required to verify that the person granted the </w:t>
      </w:r>
      <w:r w:rsidRPr="006912EB">
        <w:rPr>
          <w:sz w:val="6"/>
        </w:rPr>
        <w:t xml:space="preserve">benefits is entitled to receive them. Therefore, to the extent that undocumented aliens participate in benefit programs, the only explanation for their participation is that they have misrepresented their status, or the benefit worker has failed to determine the person's ineligibility. An additional issue in the immigration/public benefits debate is the extent to which the denial of benefits to undocumented persons may either cause a greater public health problem or result in unanticipated injuries to United States citizens. Ineligible aliens most often defer medical treatment until their problems have become life threatening and thereby more costly. Moreover, there are benefits such as primary education and school food programs that protect the society at large as much as assist the individual recipients of the benefit. Allowing undocumented aliens to participate in these programs is in the long term in the interest of the general population, especially where it is likely that they will become fully legalized members of the society. The manner in which immigration policy is discussed and defined determines the very nature of who we are as a nation. It demonstrates whether we are compassionate or punitive, and whether we are swayed by appeals to passion and prejudice, or susceptible to a more reasoned decisionmaking. It is only fitting then that questions involving immigration be addressed in moral terms. The current debate has brought forth draconian proposals, which attempt to limit access to benefits to all except United States citizens, irrespective of their ties or length of residence in this country. The debate itself is based on a faulty premise -- </w:t>
      </w:r>
      <w:proofErr w:type="gramStart"/>
      <w:r w:rsidRPr="006912EB">
        <w:rPr>
          <w:sz w:val="6"/>
        </w:rPr>
        <w:t>that</w:t>
      </w:r>
      <w:proofErr w:type="gramEnd"/>
      <w:r w:rsidRPr="006912EB">
        <w:rPr>
          <w:sz w:val="6"/>
        </w:rPr>
        <w:t xml:space="preserve"> our current economic ills are caused by immigration. Even worse, the debate has reduced [*1479] the discussion to balancing the relative costs and benefits of immigration, and has ignored the real-life human consequences of such punitive measures. While the political debate that became especially charged during the most recent political campaign season is not new, it has focused on a range of false issues. </w:t>
      </w:r>
      <w:proofErr w:type="gramStart"/>
      <w:r w:rsidRPr="006912EB">
        <w:rPr>
          <w:sz w:val="6"/>
        </w:rPr>
        <w:t>n8</w:t>
      </w:r>
      <w:proofErr w:type="gramEnd"/>
      <w:r w:rsidRPr="006912EB">
        <w:rPr>
          <w:sz w:val="6"/>
        </w:rPr>
        <w:t xml:space="preserve"> I believe eligibility by aliens for public benefits is one of these false issues. Upon careful scrutiny, the debate is more about the larger issue of federal compensation to the states for what some would argue is a federal obligation. </w:t>
      </w:r>
      <w:proofErr w:type="gramStart"/>
      <w:r w:rsidRPr="006912EB">
        <w:rPr>
          <w:sz w:val="6"/>
        </w:rPr>
        <w:t>n9</w:t>
      </w:r>
      <w:proofErr w:type="gramEnd"/>
      <w:r w:rsidRPr="006912EB">
        <w:rPr>
          <w:sz w:val="6"/>
        </w:rPr>
        <w:t xml:space="preserve"> Even before the 1980 census, states were very adept at assuring that all persons, including undocumented aliens within their borders, were accurately accounted for. </w:t>
      </w:r>
      <w:proofErr w:type="gramStart"/>
      <w:r w:rsidRPr="006912EB">
        <w:rPr>
          <w:sz w:val="6"/>
        </w:rPr>
        <w:t>n10</w:t>
      </w:r>
      <w:proofErr w:type="gramEnd"/>
      <w:r w:rsidRPr="006912EB">
        <w:rPr>
          <w:sz w:val="6"/>
        </w:rPr>
        <w:t xml:space="preserve"> With reduced federal burden-sharing and political resistance to state tax measures, the states began to fight harder for an ever dwindling share of the federal dollar. Even when viewed from a constitutional standpoint, the political debate has revolved around the following issues: (1) whether persons born in the United States should be U.S. citizens; (2) whether states have the right to preclude undocumented persons from receiving access to a number of different public benefit programs; and (3) whether states are entitled to a greater share of the federal dollar when the federal programs which they administer are used by undocumented aliens within the state. The first issue is well settled by the Constitution. The second issue is open to different interpretations. The most definitive statement, Graham v. Richardson, n11 only resolved the matter for lawful permanent residents. The [*1480] third issue, while interesting and important, is not one of immigration law or policy but revolves around notions of federalism. I. HISTORY The history of U.S. immigration law can be described as falling into three important periods. </w:t>
      </w:r>
      <w:proofErr w:type="gramStart"/>
      <w:r w:rsidRPr="006912EB">
        <w:rPr>
          <w:sz w:val="6"/>
        </w:rPr>
        <w:t>n12</w:t>
      </w:r>
      <w:proofErr w:type="gramEnd"/>
      <w:r w:rsidRPr="006912EB">
        <w:rPr>
          <w:sz w:val="6"/>
        </w:rPr>
        <w:t xml:space="preserve"> The first period, from the nation's founding until 1875, was largely characterized by few if any federal restrictions. </w:t>
      </w:r>
      <w:proofErr w:type="gramStart"/>
      <w:r w:rsidRPr="006912EB">
        <w:rPr>
          <w:sz w:val="6"/>
        </w:rPr>
        <w:t>n13</w:t>
      </w:r>
      <w:proofErr w:type="gramEnd"/>
      <w:r w:rsidRPr="006912EB">
        <w:rPr>
          <w:sz w:val="6"/>
        </w:rPr>
        <w:t xml:space="preserve"> In the second period, from 1875 until 1952, there were increasing restrictions imposed on those coming to the United States, beginning with legislation enacted in 1875 barring the admission of convicts and prostitutes. </w:t>
      </w:r>
      <w:proofErr w:type="gramStart"/>
      <w:r w:rsidRPr="006912EB">
        <w:rPr>
          <w:sz w:val="6"/>
        </w:rPr>
        <w:t>n14</w:t>
      </w:r>
      <w:proofErr w:type="gramEnd"/>
      <w:r w:rsidRPr="006912EB">
        <w:rPr>
          <w:sz w:val="6"/>
        </w:rPr>
        <w:t xml:space="preserve"> The third period, which began in 1952, is commonly regarded as the beginning of contemporary immigration law. n15 This period, which has been characterized as a period when immigration law was comprehensively codified, did not dramatically change from the earlier policy of restrictive migration through a regime of fixed quotas, extensive exclusion and deportation grounds. Within this third period of U.S. immigration law, there have been some modifications which have attempted to provide order to the admission of those fleeing persecution, n16 to impose greater controls at the border, n17 and to realign the quota system. n18 [*1481] Economic bases for exclusion and deportation have been part of U.S. immigration law since the earliest enactments. </w:t>
      </w:r>
      <w:proofErr w:type="gramStart"/>
      <w:r w:rsidRPr="006912EB">
        <w:rPr>
          <w:sz w:val="6"/>
        </w:rPr>
        <w:t>n19</w:t>
      </w:r>
      <w:proofErr w:type="gramEnd"/>
      <w:r w:rsidRPr="006912EB">
        <w:rPr>
          <w:sz w:val="6"/>
        </w:rPr>
        <w:t xml:space="preserve"> Besides the wholesale exclusion of Chinese through the Chinese Exclusion Act, n20 a provision enacted in that same year barred the admission of persons likely to become public charges. n21 An 1893 statute barred the admission of a number of groups, including those described as "paupers." n22 A 1903 statute added "professional beggars" to an ever-growing list of persons who were to be excluded, and provided for the deportation of persons who became public charges within two years after their entry. </w:t>
      </w:r>
      <w:proofErr w:type="gramStart"/>
      <w:r w:rsidRPr="006912EB">
        <w:rPr>
          <w:sz w:val="6"/>
        </w:rPr>
        <w:t>n23</w:t>
      </w:r>
      <w:proofErr w:type="gramEnd"/>
      <w:r w:rsidRPr="006912EB">
        <w:rPr>
          <w:sz w:val="6"/>
        </w:rPr>
        <w:t xml:space="preserve"> A 1907 statute further excluded persons suffering from physical or mental defects which might affect their ability to work gainfully. </w:t>
      </w:r>
      <w:proofErr w:type="gramStart"/>
      <w:r w:rsidRPr="006912EB">
        <w:rPr>
          <w:sz w:val="6"/>
        </w:rPr>
        <w:t>n24</w:t>
      </w:r>
      <w:proofErr w:type="gramEnd"/>
      <w:r w:rsidRPr="006912EB">
        <w:rPr>
          <w:sz w:val="6"/>
        </w:rPr>
        <w:t xml:space="preserve"> In 1917, Congress further expanded the deportation provisions by extending from two to five years the period within which a person could be subject to deportation for becoming a public charge. </w:t>
      </w:r>
      <w:proofErr w:type="gramStart"/>
      <w:r w:rsidRPr="006912EB">
        <w:rPr>
          <w:sz w:val="6"/>
        </w:rPr>
        <w:t>n25</w:t>
      </w:r>
      <w:proofErr w:type="gramEnd"/>
      <w:r w:rsidRPr="006912EB">
        <w:rPr>
          <w:sz w:val="6"/>
        </w:rPr>
        <w:t xml:space="preserve"> These provisions prohibiting the admission of persons unable to provide for themselves and requiring the deportation of those who had fallen into distress were incorporated into the immigration statute which was enacted in 1952. </w:t>
      </w:r>
      <w:proofErr w:type="gramStart"/>
      <w:r w:rsidRPr="006912EB">
        <w:rPr>
          <w:sz w:val="6"/>
        </w:rPr>
        <w:t>n26</w:t>
      </w:r>
      <w:proofErr w:type="gramEnd"/>
      <w:r w:rsidRPr="006912EB">
        <w:rPr>
          <w:sz w:val="6"/>
        </w:rPr>
        <w:t xml:space="preserve"> The Immigration Reform and Control Act of 1986 restricted the opportunity to become lawful residents to undocumented persons able to show that they would not need federal assistance. It also precluded many who [*1482] received legal status from participation in public benefit programs in the future. n27 The Act included a requirement that the government establish that the person had become institutionalized at public expense because of a mental disease, defect, or deficiency; however, in 1990, the Act was amended to require only that deportation occur where the person has become a public charge within five years after entry from causes not affirmatively shown to have arisen since entry. </w:t>
      </w:r>
      <w:proofErr w:type="gramStart"/>
      <w:r w:rsidRPr="006912EB">
        <w:rPr>
          <w:sz w:val="6"/>
        </w:rPr>
        <w:t>n28</w:t>
      </w:r>
      <w:proofErr w:type="gramEnd"/>
      <w:r w:rsidRPr="006912EB">
        <w:rPr>
          <w:sz w:val="6"/>
        </w:rPr>
        <w:t xml:space="preserve"> II. EXCLUSION AND DEPORTATION OF "PUBLIC CHARGES" Notwithstanding the symbol emblazoned on the Statue of Liberty calling for the tired, poor, huddled masses, and wretched refuse yearning to breathe free to come to America, the United States has hardly welcomed the poor of the world to its shores. </w:t>
      </w:r>
      <w:proofErr w:type="gramStart"/>
      <w:r w:rsidRPr="006912EB">
        <w:rPr>
          <w:sz w:val="6"/>
        </w:rPr>
        <w:t>n29</w:t>
      </w:r>
      <w:proofErr w:type="gramEnd"/>
      <w:r w:rsidRPr="006912EB">
        <w:rPr>
          <w:sz w:val="6"/>
        </w:rPr>
        <w:t xml:space="preserve"> Indeed, one of the broadest forms of exclusion has been the exclusion of those likely to become public charges. </w:t>
      </w:r>
      <w:proofErr w:type="gramStart"/>
      <w:r w:rsidRPr="006912EB">
        <w:rPr>
          <w:sz w:val="6"/>
        </w:rPr>
        <w:t>n30</w:t>
      </w:r>
      <w:proofErr w:type="gramEnd"/>
      <w:r w:rsidRPr="006912EB">
        <w:rPr>
          <w:sz w:val="6"/>
        </w:rPr>
        <w:t xml:space="preserve"> The provision is so far-reaching that there are hardly any guidelines [*1483] that control its application to those seeking admission to this country. All that is required of INS and consular officers is that they believe that the person who is seeking permission to enter the United States is "likely" to become a public charge at some distant point in the future. </w:t>
      </w:r>
      <w:proofErr w:type="gramStart"/>
      <w:r w:rsidRPr="006912EB">
        <w:rPr>
          <w:sz w:val="6"/>
        </w:rPr>
        <w:t>n31</w:t>
      </w:r>
      <w:proofErr w:type="gramEnd"/>
      <w:r w:rsidRPr="006912EB">
        <w:rPr>
          <w:sz w:val="6"/>
        </w:rPr>
        <w:t xml:space="preserve"> The expansive breadth of the exclusion statute which applies to those "likely to become public charges" is surpassed only by the virtual non-reviewability of the consular officers' decisions by the judicial branch or even by the Department of State. </w:t>
      </w:r>
      <w:proofErr w:type="gramStart"/>
      <w:r w:rsidRPr="006912EB">
        <w:rPr>
          <w:sz w:val="6"/>
        </w:rPr>
        <w:t>n32</w:t>
      </w:r>
      <w:proofErr w:type="gramEnd"/>
      <w:r w:rsidRPr="006912EB">
        <w:rPr>
          <w:sz w:val="6"/>
        </w:rPr>
        <w:t xml:space="preserve"> The Immigration and Nationality Act further allows the INS or consular officer to require that a person who is believed [*1484] likely to become a public charge post a bond or cash deposit with the government. </w:t>
      </w:r>
      <w:proofErr w:type="gramStart"/>
      <w:r w:rsidRPr="006912EB">
        <w:rPr>
          <w:sz w:val="6"/>
        </w:rPr>
        <w:t>n33</w:t>
      </w:r>
      <w:proofErr w:type="gramEnd"/>
      <w:r w:rsidRPr="006912EB">
        <w:rPr>
          <w:sz w:val="6"/>
        </w:rPr>
        <w:t xml:space="preserve"> In addition to precluding the admission of would-be immigrants, public charge exclusion can be used against lawful permanent residents returning to the United States. Under the well-established "reentry" doctrine, a permanent resident who might no longer be deportable because five years have passed since her original entry, could later be found excludable. n34 Under the reentry doctrine, a permanent resident who makes a voluntary "departure" in a "manner which [could] be regarded as meaningfully interruptive of [her] permanent residence" is treated as an applicant for admission to the United States and therefore subject to the exclusion laws. n35 [*1485] </w:t>
      </w:r>
      <w:proofErr w:type="gramStart"/>
      <w:r w:rsidRPr="006912EB">
        <w:rPr>
          <w:sz w:val="6"/>
        </w:rPr>
        <w:t>An</w:t>
      </w:r>
      <w:proofErr w:type="gramEnd"/>
      <w:r w:rsidRPr="006912EB">
        <w:rPr>
          <w:sz w:val="6"/>
        </w:rPr>
        <w:t xml:space="preserve"> additional consideration in this analysis is that there is a certain amount of fluidity in the concept of lawful permanent residency. For example, while a person might carry the documentation evidencing lawful permanent residence, in actuality she could be subject to exclusion or deportation as someone who has lost or abandoned her status. n36 It has been said that the deportation provisions are only few in number; however, in actuality there are more than one thousand different grounds upon which a foreigner might be removed from the United States. </w:t>
      </w:r>
      <w:proofErr w:type="gramStart"/>
      <w:r w:rsidRPr="006912EB">
        <w:rPr>
          <w:sz w:val="6"/>
        </w:rPr>
        <w:t>n37</w:t>
      </w:r>
      <w:proofErr w:type="gramEnd"/>
      <w:r w:rsidRPr="006912EB">
        <w:rPr>
          <w:sz w:val="6"/>
        </w:rPr>
        <w:t xml:space="preserve"> The deportation provisions, working in tandem with the exclusion provisions, allow the government to force the removal of persons who have become a public charge within five years of their admission for reasons which existed prior to their original admission. </w:t>
      </w:r>
      <w:proofErr w:type="gramStart"/>
      <w:r w:rsidRPr="006912EB">
        <w:rPr>
          <w:sz w:val="6"/>
        </w:rPr>
        <w:t>n38</w:t>
      </w:r>
      <w:proofErr w:type="gramEnd"/>
      <w:r w:rsidRPr="006912EB">
        <w:rPr>
          <w:sz w:val="6"/>
        </w:rPr>
        <w:t xml:space="preserve"> The only persons who have even a minimal amount of protection from later removal or exclusion [*1486] for "becoming poor" are lawful permanent residents of more than seven years who are returning to the United States. </w:t>
      </w:r>
      <w:proofErr w:type="gramStart"/>
      <w:r w:rsidRPr="006912EB">
        <w:rPr>
          <w:sz w:val="6"/>
        </w:rPr>
        <w:t>n39</w:t>
      </w:r>
      <w:proofErr w:type="gramEnd"/>
      <w:r w:rsidRPr="006912EB">
        <w:rPr>
          <w:sz w:val="6"/>
        </w:rPr>
        <w:t xml:space="preserve"> The meaning of the term "public charge," which triggers the application of the exclusion and deportation provisions, is not precisely defined either by the statute or decisions. n40 The Board of Immigration Appeals attempted to clarify the meaning of "public charge" as used in the immigration statute when it held that the acceptance of services provided by a state to its residents, for which no specific charges are made, does not in and of itself make the alien a public charge and therefore subject to removal. n41 One rule of thumb used by the Department of State is that programs which are supplementary in nature, such as providing training, services, or food to enhance the standard of living, as opposed to providing direct support, do not constitute the type of assistance which would result in a characterization of its recipients as potential public charges. n42 What is clear, however, [*1487] is that in order for a deportation order to be sustained the following three elements must be satisfied: (1) the state or other governing body must impose a charge for the services rendered to the alien; (2) the state or governing body must make a demand for payment of the charges upon the respondent; and (3) there must be a failure to pay for the charges. </w:t>
      </w:r>
      <w:proofErr w:type="gramStart"/>
      <w:r w:rsidRPr="006912EB">
        <w:rPr>
          <w:sz w:val="6"/>
        </w:rPr>
        <w:t>n43</w:t>
      </w:r>
      <w:proofErr w:type="gramEnd"/>
      <w:r w:rsidRPr="006912EB">
        <w:rPr>
          <w:sz w:val="6"/>
        </w:rPr>
        <w:t xml:space="preserve"> Therefore, it seems that an important consideration in whether or not a person can be deported is whether or not the person was eligible for the benefits he or she received. </w:t>
      </w:r>
      <w:proofErr w:type="gramStart"/>
      <w:r w:rsidRPr="006912EB">
        <w:rPr>
          <w:sz w:val="6"/>
        </w:rPr>
        <w:t>n44</w:t>
      </w:r>
      <w:proofErr w:type="gramEnd"/>
      <w:r w:rsidRPr="006912EB">
        <w:rPr>
          <w:sz w:val="6"/>
        </w:rPr>
        <w:t xml:space="preserve"> III. FEDERAL BENEFIT PROGRAMS </w:t>
      </w:r>
      <w:proofErr w:type="gramStart"/>
      <w:r w:rsidRPr="006912EB">
        <w:rPr>
          <w:sz w:val="6"/>
        </w:rPr>
        <w:t>There</w:t>
      </w:r>
      <w:proofErr w:type="gramEnd"/>
      <w:r w:rsidRPr="006912EB">
        <w:rPr>
          <w:sz w:val="6"/>
        </w:rPr>
        <w:t xml:space="preserve"> are more than seventy different federal programs which provide either cash or noncash aid for low income persons. </w:t>
      </w:r>
      <w:proofErr w:type="gramStart"/>
      <w:r w:rsidRPr="006912EB">
        <w:rPr>
          <w:sz w:val="6"/>
        </w:rPr>
        <w:t>n45</w:t>
      </w:r>
      <w:proofErr w:type="gramEnd"/>
      <w:r w:rsidRPr="006912EB">
        <w:rPr>
          <w:sz w:val="6"/>
        </w:rPr>
        <w:t xml:space="preserve"> These programs were first enacted at the time of the Great Depression, a period of worldwide economic havoc in which the very foundations of democratic capitalism were being tested. While it is not the purpose of this discussion to explore all of the federal assistance programs, I will briefly explore some of the major federal benefit programs and discuss their eligibility requirements. Before examining the various benefit programs it is important to distinguish between need-based assistance programs such as Medicaid and Supplemental Security Income (SSI), and insurance-like programs such as workers compensation, unemployment compensation, and social security. A third category of programs are those whose primary purpose is to fulfill another larger federal objective, such as the food stamp program, and "Women Infants and Children" (WIC). n46 [*1488] Critical to any understanding of public benefit programs is the term "permanently residing in the United States under color of law" (PRUCOL), n47 a term which refers to aliens actually living in the United States without any formal immigration status who may be eligible to receive benefits. </w:t>
      </w:r>
      <w:proofErr w:type="gramStart"/>
      <w:r w:rsidRPr="006912EB">
        <w:rPr>
          <w:sz w:val="6"/>
        </w:rPr>
        <w:t>n48</w:t>
      </w:r>
      <w:proofErr w:type="gramEnd"/>
      <w:r w:rsidRPr="006912EB">
        <w:rPr>
          <w:sz w:val="6"/>
        </w:rPr>
        <w:t xml:space="preserve"> Characterization as PRUCOL requires that the person is in the United States with the INS's tacit, if not explicit, permission to remain. </w:t>
      </w:r>
      <w:proofErr w:type="gramStart"/>
      <w:r w:rsidRPr="006912EB">
        <w:rPr>
          <w:sz w:val="6"/>
        </w:rPr>
        <w:t>n49</w:t>
      </w:r>
      <w:proofErr w:type="gramEnd"/>
      <w:r w:rsidRPr="006912EB">
        <w:rPr>
          <w:sz w:val="6"/>
        </w:rPr>
        <w:t xml:space="preserve"> PRUCOL is relevant to analyzing alien eligibility for the following programs: Aid to Families with Dependent Children (AFDC), Medicaid, Unemployment Compensation, and Supplemental Security Income (SSI). Because PRUCOL is not clearly defined in either the benefit statutes or in the immigration laws, alien eligibility for these benefit programs is difficult to determine. </w:t>
      </w:r>
      <w:proofErr w:type="gramStart"/>
      <w:r w:rsidRPr="006912EB">
        <w:rPr>
          <w:sz w:val="6"/>
        </w:rPr>
        <w:t>n50</w:t>
      </w:r>
      <w:proofErr w:type="gramEnd"/>
      <w:r w:rsidRPr="006912EB">
        <w:rPr>
          <w:sz w:val="6"/>
        </w:rPr>
        <w:t xml:space="preserve"> Persons who are generally regarded as PRUCOL are persons admitted as refugees or granted asylum, aliens paroled into the United States, those granted suspension of deportation, applicants for registry, and Cuban-Haitian entrants. Others who are sometimes considered to be PRUCOL are persons granted extended or indefinite voluntary departure, beneficiaries of approved immediate relative petitions, those for whom adjustment of status may be pending, persons under deferred action status, and those with priority dates within sixty days of being current. n51 [*1489] A. Aid to Families with Dependent Children (AFDC) Aid to Families with Dependent Children (AFDC) is a federal program established in 1935 which gives funds to states to provide financial assistance, rehabilitation and other services to needy dependent children and parents or relatives with whom the children are living. The stated goal of AFDC is to strengthen the family and enable the parents or relatives caring for the child to attain self-support and independence. </w:t>
      </w:r>
      <w:proofErr w:type="gramStart"/>
      <w:r w:rsidRPr="006912EB">
        <w:rPr>
          <w:sz w:val="6"/>
        </w:rPr>
        <w:t>n52</w:t>
      </w:r>
      <w:proofErr w:type="gramEnd"/>
      <w:r w:rsidRPr="006912EB">
        <w:rPr>
          <w:sz w:val="6"/>
        </w:rPr>
        <w:t xml:space="preserve"> The intended beneficiaries of the AFDC program are children whose parent(s) are either absent from the home or are disabled or unemployed. In order to be eligible, a dependent child and all in his or her "assistance unit" must be either U.S. citizens, lawful permanent residents, or PRUCOL. </w:t>
      </w:r>
      <w:proofErr w:type="gramStart"/>
      <w:r w:rsidRPr="006912EB">
        <w:rPr>
          <w:sz w:val="6"/>
        </w:rPr>
        <w:t>n53</w:t>
      </w:r>
      <w:proofErr w:type="gramEnd"/>
      <w:r w:rsidRPr="006912EB">
        <w:rPr>
          <w:sz w:val="6"/>
        </w:rPr>
        <w:t xml:space="preserve"> Amendments enacted in 1986 preclude Special Agricultural Workers (SAW) and other legalized persons from receiving AFDC for five years after they have been accorded their legal status. n54 While the precise meaning of PRUCOL as applied to AFDC cases is not entirely clear, it seems that deportable persons who are present and allowed to remain in the United States with the knowledge of the INS may be eligible to receive benefits under PRUCOL. n55 [*1490] B. Food Stamps The food stamp program was enacted both to assure that individuals in low income households receive adequate nutrition and to strengthen the agricultural economy. </w:t>
      </w:r>
      <w:proofErr w:type="gramStart"/>
      <w:r w:rsidRPr="006912EB">
        <w:rPr>
          <w:sz w:val="6"/>
        </w:rPr>
        <w:t>n56</w:t>
      </w:r>
      <w:proofErr w:type="gramEnd"/>
      <w:r w:rsidRPr="006912EB">
        <w:rPr>
          <w:sz w:val="6"/>
        </w:rPr>
        <w:t xml:space="preserve"> This program enables certain low income individuals to purchase more food and thereby improve their diets. The program is administered through state welfare and social service agencies under regulations promulgated by the Federal Department of Agriculture. The states are required to follow federal guidelines in determining eligibility. In order to be eligible, a household income must not be greater than 130% of the federal Poverty Income Guidelines, and the head of household must register for and accept any suitable employment. </w:t>
      </w:r>
      <w:proofErr w:type="gramStart"/>
      <w:r w:rsidRPr="006912EB">
        <w:rPr>
          <w:sz w:val="6"/>
        </w:rPr>
        <w:t>n57</w:t>
      </w:r>
      <w:proofErr w:type="gramEnd"/>
      <w:r w:rsidRPr="006912EB">
        <w:rPr>
          <w:sz w:val="6"/>
        </w:rPr>
        <w:t xml:space="preserve"> Recipients of food stamps must be either U.S. citizens, lawful permanent residents, registry applicants, refugees, asylees, persons granted withholding of deportation, or parolees. </w:t>
      </w:r>
      <w:proofErr w:type="gramStart"/>
      <w:r w:rsidRPr="006912EB">
        <w:rPr>
          <w:sz w:val="6"/>
        </w:rPr>
        <w:t>n58</w:t>
      </w:r>
      <w:proofErr w:type="gramEnd"/>
      <w:r w:rsidRPr="006912EB">
        <w:rPr>
          <w:sz w:val="6"/>
        </w:rPr>
        <w:t xml:space="preserve"> C. Supplemental Security Income (SSI) The Supplemental Security Income (SSI) program is a federally funded, need-based cash assistance program for low income persons who are over the age of sixty-five or are blind or disabled. </w:t>
      </w:r>
      <w:proofErr w:type="gramStart"/>
      <w:r w:rsidRPr="006912EB">
        <w:rPr>
          <w:sz w:val="6"/>
        </w:rPr>
        <w:t>n59</w:t>
      </w:r>
      <w:proofErr w:type="gramEnd"/>
      <w:r w:rsidRPr="006912EB">
        <w:rPr>
          <w:sz w:val="6"/>
        </w:rPr>
        <w:t xml:space="preserve"> Like AFDC, SSI was established in 1935. </w:t>
      </w:r>
      <w:proofErr w:type="gramStart"/>
      <w:r w:rsidRPr="006912EB">
        <w:rPr>
          <w:sz w:val="6"/>
        </w:rPr>
        <w:t>n60</w:t>
      </w:r>
      <w:proofErr w:type="gramEnd"/>
      <w:r w:rsidRPr="006912EB">
        <w:rPr>
          <w:sz w:val="6"/>
        </w:rPr>
        <w:t xml:space="preserve"> Unlike AFDC, SSI is operated directly by the federal government. Blindness is defined as vision in one eye which is not better than 20/200 with corrective lenses. </w:t>
      </w:r>
      <w:proofErr w:type="gramStart"/>
      <w:r w:rsidRPr="006912EB">
        <w:rPr>
          <w:sz w:val="6"/>
        </w:rPr>
        <w:t>n61</w:t>
      </w:r>
      <w:proofErr w:type="gramEnd"/>
      <w:r w:rsidRPr="006912EB">
        <w:rPr>
          <w:sz w:val="6"/>
        </w:rPr>
        <w:t xml:space="preserve"> Disability is broadly defined as a physical or mental impairment such that there is no work which the person could perform for a period of twelve continuous months. In addition to these requirements, the person's income must be at or below a set level. </w:t>
      </w:r>
      <w:proofErr w:type="gramStart"/>
      <w:r w:rsidRPr="006912EB">
        <w:rPr>
          <w:sz w:val="6"/>
        </w:rPr>
        <w:t>n62</w:t>
      </w:r>
      <w:proofErr w:type="gramEnd"/>
      <w:r w:rsidRPr="006912EB">
        <w:rPr>
          <w:sz w:val="6"/>
        </w:rPr>
        <w:t xml:space="preserve"> In order to receive benefits, a person must either be a U.S. citizen, a lawful permanent resident or PRUCOL, and may not be outside the country for [*1491] more than one month. </w:t>
      </w:r>
      <w:proofErr w:type="gramStart"/>
      <w:r w:rsidRPr="006912EB">
        <w:rPr>
          <w:sz w:val="6"/>
        </w:rPr>
        <w:t>n63</w:t>
      </w:r>
      <w:proofErr w:type="gramEnd"/>
      <w:r w:rsidRPr="006912EB">
        <w:rPr>
          <w:sz w:val="6"/>
        </w:rPr>
        <w:t xml:space="preserve"> SSI regulations define PRUCOL as persons who have been granted the following immigration benefits: asylum or refugee status, parole, stays of deportation, suspension of deportation, deferred action, withholding of deportation, or indefinite periods of voluntary departure. </w:t>
      </w:r>
      <w:proofErr w:type="gramStart"/>
      <w:r w:rsidRPr="006912EB">
        <w:rPr>
          <w:sz w:val="6"/>
        </w:rPr>
        <w:t>n64</w:t>
      </w:r>
      <w:proofErr w:type="gramEnd"/>
      <w:r w:rsidRPr="006912EB">
        <w:rPr>
          <w:sz w:val="6"/>
        </w:rPr>
        <w:t xml:space="preserve"> Persons who are eligible for SSI are also eligible for Medicaid benefits. </w:t>
      </w:r>
      <w:proofErr w:type="gramStart"/>
      <w:r w:rsidRPr="006912EB">
        <w:rPr>
          <w:sz w:val="6"/>
        </w:rPr>
        <w:t>n65</w:t>
      </w:r>
      <w:proofErr w:type="gramEnd"/>
      <w:r w:rsidRPr="006912EB">
        <w:rPr>
          <w:sz w:val="6"/>
        </w:rPr>
        <w:t xml:space="preserve"> D. Medicaid Medicaid, which was instituted in 1935, provides medical care to the needy through a program jointly funded by the federal and state governments. </w:t>
      </w:r>
      <w:proofErr w:type="gramStart"/>
      <w:r w:rsidRPr="006912EB">
        <w:rPr>
          <w:sz w:val="6"/>
        </w:rPr>
        <w:t>n66</w:t>
      </w:r>
      <w:proofErr w:type="gramEnd"/>
      <w:r w:rsidRPr="006912EB">
        <w:rPr>
          <w:sz w:val="6"/>
        </w:rPr>
        <w:t xml:space="preserve"> The assistance comes not in the form of payment to the individual, but as a reimbursement to the health care provider. The federal government sets minimum requirements in the form of eligibility, services and protection for the beneficiaries of the program as a condition to its participation. While financial eligibility requirements vary from state to state, persons eligible for AFDC or SSI are automatically eligible for Medicaid. </w:t>
      </w:r>
      <w:proofErr w:type="gramStart"/>
      <w:r w:rsidRPr="006912EB">
        <w:rPr>
          <w:sz w:val="6"/>
        </w:rPr>
        <w:t>n67</w:t>
      </w:r>
      <w:proofErr w:type="gramEnd"/>
      <w:r w:rsidRPr="006912EB">
        <w:rPr>
          <w:sz w:val="6"/>
        </w:rPr>
        <w:t xml:space="preserve"> Until 1986, the Medicaid statute did not deal with the question of alien eligibility. As the result of a federal district court decision holding that Medicaid regulations were promulgated without statutory authority, n68 Congress enacted legislation limiting participation in Medicaid to U.S. citizens, lawful permanent residents and PRUCOL aliens. n69 The 1986 Medicaid legislation provides further that all aliens, irrespective of their status, are eligible for emergency care under the Medicaid program, as long [*1492] as they meet the other requirements of the program. </w:t>
      </w:r>
      <w:proofErr w:type="gramStart"/>
      <w:r w:rsidRPr="006912EB">
        <w:rPr>
          <w:sz w:val="6"/>
        </w:rPr>
        <w:t>n70</w:t>
      </w:r>
      <w:proofErr w:type="gramEnd"/>
      <w:r w:rsidRPr="006912EB">
        <w:rPr>
          <w:sz w:val="6"/>
        </w:rPr>
        <w:t xml:space="preserve"> Under the statute, emergencies are defined as medical conditions with acute symptoms that place the patient's health in serious jeopardy, could result in serious impairment to bodily functions, or cause serious dysfunction of any bodily organ or part. </w:t>
      </w:r>
      <w:proofErr w:type="gramStart"/>
      <w:r w:rsidRPr="006912EB">
        <w:rPr>
          <w:sz w:val="6"/>
        </w:rPr>
        <w:t>n71</w:t>
      </w:r>
      <w:proofErr w:type="gramEnd"/>
      <w:r w:rsidRPr="006912EB">
        <w:rPr>
          <w:sz w:val="6"/>
        </w:rPr>
        <w:t xml:space="preserve"> E. Unemployment Compensation Insurance Unemployment compensation insurance is a joint federal-state program designed to provide unemployed persons with temporary relief while in between jobs. </w:t>
      </w:r>
      <w:proofErr w:type="gramStart"/>
      <w:r w:rsidRPr="006912EB">
        <w:rPr>
          <w:sz w:val="6"/>
        </w:rPr>
        <w:t>n72</w:t>
      </w:r>
      <w:proofErr w:type="gramEnd"/>
      <w:r w:rsidRPr="006912EB">
        <w:rPr>
          <w:sz w:val="6"/>
        </w:rPr>
        <w:t xml:space="preserve"> Federal and state funds are used primarily to administer a trust fund into which all employers contribute according to tax formulas which vary from state to state. Eligibility is not based on an individual's income, but on her earning record before becoming unemployed. As in many federal-state programs, federal law establishes the minimum requirements for unemployment programs, including eligibility. </w:t>
      </w:r>
      <w:proofErr w:type="gramStart"/>
      <w:r w:rsidRPr="006912EB">
        <w:rPr>
          <w:sz w:val="6"/>
        </w:rPr>
        <w:t>n73</w:t>
      </w:r>
      <w:proofErr w:type="gramEnd"/>
      <w:r w:rsidRPr="006912EB">
        <w:rPr>
          <w:sz w:val="6"/>
        </w:rPr>
        <w:t xml:space="preserve"> Only U.S. citizens, lawful permanent residents, PRUCOL aliens, commuter aliens, nonimmigrants with work visas, and persons with INS-issued work authorizations, with the exception of H-2, F, J, M, and Q aliens, are eligible. </w:t>
      </w:r>
      <w:proofErr w:type="gramStart"/>
      <w:r w:rsidRPr="006912EB">
        <w:rPr>
          <w:sz w:val="6"/>
        </w:rPr>
        <w:t>n74</w:t>
      </w:r>
      <w:proofErr w:type="gramEnd"/>
      <w:r w:rsidRPr="006912EB">
        <w:rPr>
          <w:sz w:val="6"/>
        </w:rPr>
        <w:t xml:space="preserve"> The Immigration Reform and Control Act of 1986 created significant changes which further restrict alien access to unemployment compensation insurance. </w:t>
      </w:r>
      <w:proofErr w:type="gramStart"/>
      <w:r w:rsidRPr="006912EB">
        <w:rPr>
          <w:sz w:val="6"/>
        </w:rPr>
        <w:t>n75</w:t>
      </w:r>
      <w:proofErr w:type="gramEnd"/>
      <w:r w:rsidRPr="006912EB">
        <w:rPr>
          <w:sz w:val="6"/>
        </w:rPr>
        <w:t xml:space="preserve"> IV. RESTRICTIONS ON ACCESS TO BENEFITS It was not until approximately 1972 that Congress began to enact restrictions on access to benefit programs based on either immigration or [*1493] citizenship status. n76 While it can generally be said that prior to 1971 Congress had not prohibited state governments from limiting access to public benefits based on alienage, Congress had imposed its own alien access restrictions even before 1956. </w:t>
      </w:r>
      <w:proofErr w:type="gramStart"/>
      <w:r w:rsidRPr="006912EB">
        <w:rPr>
          <w:sz w:val="6"/>
        </w:rPr>
        <w:t>n77</w:t>
      </w:r>
      <w:proofErr w:type="gramEnd"/>
      <w:r w:rsidRPr="006912EB">
        <w:rPr>
          <w:sz w:val="6"/>
        </w:rPr>
        <w:t xml:space="preserve"> For example, social security benefits had previously been restricted during periods when an alien was outside the United States. </w:t>
      </w:r>
      <w:proofErr w:type="gramStart"/>
      <w:r w:rsidRPr="006912EB">
        <w:rPr>
          <w:sz w:val="6"/>
        </w:rPr>
        <w:t>n78</w:t>
      </w:r>
      <w:proofErr w:type="gramEnd"/>
      <w:r w:rsidRPr="006912EB">
        <w:rPr>
          <w:sz w:val="6"/>
        </w:rPr>
        <w:t xml:space="preserve"> Additional exclusion provisions precluded aliens from receiving benefits if they were not lawful permanent residents or if they were permanent residents and convicted of a variety of crimes. n79 Another provision, enacted in 1954, provides that persons who are deported </w:t>
      </w:r>
      <w:r w:rsidRPr="006912EB">
        <w:rPr>
          <w:sz w:val="8"/>
        </w:rPr>
        <w:t xml:space="preserve">from the United States are ineligible to receive social security old age benefits even when they have paid into the program. n80 </w:t>
      </w:r>
      <w:r w:rsidRPr="007777FE">
        <w:rPr>
          <w:u w:val="single"/>
        </w:rPr>
        <w:t>In 1965 the Social Security Act was amended to require that in order to be eligible, an alien must have been lawfully admitted to permanent residence and have resided continuously in the United States for at least five years immediately before</w:t>
      </w:r>
      <w:r>
        <w:rPr>
          <w:u w:val="single"/>
        </w:rPr>
        <w:t xml:space="preserve"> </w:t>
      </w:r>
      <w:r w:rsidRPr="007777FE">
        <w:rPr>
          <w:u w:val="single"/>
        </w:rPr>
        <w:t>[*1494]</w:t>
      </w:r>
      <w:r>
        <w:rPr>
          <w:u w:val="single"/>
        </w:rPr>
        <w:t xml:space="preserve"> </w:t>
      </w:r>
      <w:r w:rsidRPr="007777FE">
        <w:rPr>
          <w:u w:val="single"/>
        </w:rPr>
        <w:t>applying for benefits. n81 Six years later in Graham v. Richardson, n82 the Supreme Court held that state-imposed restrictions on alien access to public benefits were unconstitutional because they violated the Fourteenth Amendment's Equal Protection Clause and encroached on Congress's exclusive power to regulate immigration.</w:t>
      </w:r>
    </w:p>
    <w:p w:rsidR="00DE6A7C" w:rsidRDefault="00DE6A7C" w:rsidP="00DE6A7C">
      <w:pPr>
        <w:rPr>
          <w:u w:val="single"/>
        </w:rPr>
      </w:pPr>
    </w:p>
    <w:p w:rsidR="00696B3D" w:rsidRDefault="00696B3D" w:rsidP="00696B3D"/>
    <w:p w:rsidR="0067262B" w:rsidRDefault="0067262B" w:rsidP="0067262B">
      <w:pPr>
        <w:pStyle w:val="Heading1"/>
      </w:pPr>
      <w:r>
        <w:t>CPs</w:t>
      </w:r>
    </w:p>
    <w:p w:rsidR="00C44296" w:rsidRPr="00946D8A" w:rsidRDefault="00F83520" w:rsidP="00946D8A">
      <w:pPr>
        <w:pStyle w:val="Heading2"/>
      </w:pPr>
      <w:r>
        <w:t>AT: CHC/FQHC CP</w:t>
      </w:r>
    </w:p>
    <w:p w:rsidR="00C44296" w:rsidRDefault="00EE31FC" w:rsidP="00C44296">
      <w:pPr>
        <w:pStyle w:val="Heading3"/>
      </w:pPr>
      <w:r>
        <w:t>Chilling</w:t>
      </w:r>
      <w:r w:rsidR="00C44296">
        <w:t xml:space="preserve"> effect</w:t>
      </w:r>
    </w:p>
    <w:p w:rsidR="00C44296" w:rsidRDefault="00C44296" w:rsidP="00C44296">
      <w:pPr>
        <w:pStyle w:val="Heading4"/>
      </w:pPr>
      <w:r>
        <w:t>The chilling effect deters immigrants from health centers</w:t>
      </w:r>
    </w:p>
    <w:p w:rsidR="00C44296" w:rsidRPr="00F16387" w:rsidRDefault="00C44296" w:rsidP="00C44296">
      <w:r w:rsidRPr="00F16387">
        <w:rPr>
          <w:rStyle w:val="Style13ptBold"/>
        </w:rPr>
        <w:t>Galewitz 12</w:t>
      </w:r>
      <w:r w:rsidRPr="00F16387">
        <w:t xml:space="preserve"> (Phil Galewitz, "Migrant Health Clinics Caught </w:t>
      </w:r>
      <w:proofErr w:type="gramStart"/>
      <w:r w:rsidRPr="00F16387">
        <w:t>In Crossfire Of</w:t>
      </w:r>
      <w:proofErr w:type="gramEnd"/>
      <w:r w:rsidRPr="00F16387">
        <w:t xml:space="preserve"> Immigration Debate", 6-6-2012, Kaiser Health News, https://khn.org/news/migrant-health-clinics-immigration-debate/)</w:t>
      </w:r>
      <w:r>
        <w:t>//AO</w:t>
      </w:r>
    </w:p>
    <w:p w:rsidR="00C44296" w:rsidRPr="00F16387" w:rsidRDefault="00C44296" w:rsidP="00C44296">
      <w:pPr>
        <w:rPr>
          <w:sz w:val="14"/>
        </w:rPr>
      </w:pPr>
      <w:r w:rsidRPr="00F16387">
        <w:rPr>
          <w:sz w:val="14"/>
        </w:rPr>
        <w:t xml:space="preserve">Many of the Mexican men and women picking green beans, peaches and strawberries in this lush, southeast corner of the state are fearful about seeking health care since </w:t>
      </w:r>
      <w:r w:rsidRPr="007154DA">
        <w:rPr>
          <w:u w:val="single"/>
        </w:rPr>
        <w:t>a tough new immigration law was enacted last year.</w:t>
      </w:r>
      <w:r>
        <w:rPr>
          <w:u w:val="single"/>
        </w:rPr>
        <w:t xml:space="preserve"> </w:t>
      </w:r>
      <w:r w:rsidRPr="00F16387">
        <w:rPr>
          <w:sz w:val="14"/>
        </w:rPr>
        <w:t xml:space="preserve">Marisela Clemente, outreach coordinator from Slocomb Family Health Center, is trying to ease those fears —one farm at a time. She joins eight workers taking a break at a shaded picnic table at 150-acre Aplin Farms. Dressed in blue scrubs, she jokes with the men and women in Spanish, asks after their health and urges them to visit the nearby migrant clinic where the staff speaks their language and no proof of citizenship is required. “We have to go to them because </w:t>
      </w:r>
      <w:r w:rsidRPr="007154DA">
        <w:rPr>
          <w:u w:val="single"/>
        </w:rPr>
        <w:t>they are afraid to come here to the clinic</w:t>
      </w:r>
      <w:r w:rsidRPr="00F16387">
        <w:rPr>
          <w:sz w:val="14"/>
        </w:rPr>
        <w:t xml:space="preserve">,” says Clemente, describing </w:t>
      </w:r>
      <w:r w:rsidRPr="007154DA">
        <w:rPr>
          <w:u w:val="single"/>
        </w:rPr>
        <w:t>workers’ worries they will be stopped by police and asked for papers.</w:t>
      </w:r>
      <w:r w:rsidRPr="00F16387">
        <w:rPr>
          <w:sz w:val="14"/>
        </w:rPr>
        <w:t xml:space="preserve"> </w:t>
      </w:r>
      <w:r w:rsidRPr="007154DA">
        <w:rPr>
          <w:u w:val="single"/>
        </w:rPr>
        <w:t>Such clinics, part of a 50-year-old federally funded program to treat migrant and seasonal farmworkers, have become the latest flash points in the national immigration debate. Health center officials across the country describe how local, state and national law enforcement authorities have staked out migrant clinics, detained staff members transporting patients to medical appointments and set up roadblocks near their facilities and health fairs as part of immigration crackdowns.</w:t>
      </w:r>
      <w:r>
        <w:rPr>
          <w:u w:val="single"/>
        </w:rPr>
        <w:t xml:space="preserve"> </w:t>
      </w:r>
      <w:r w:rsidRPr="00F16387">
        <w:rPr>
          <w:sz w:val="14"/>
        </w:rPr>
        <w:t>“</w:t>
      </w:r>
      <w:r w:rsidRPr="00865C22">
        <w:rPr>
          <w:u w:val="single"/>
        </w:rPr>
        <w:t>We are looking at a growing climate of fear where folks really think long and hard about accessing basic services</w:t>
      </w:r>
      <w:r w:rsidRPr="00F16387">
        <w:rPr>
          <w:sz w:val="14"/>
        </w:rPr>
        <w:t xml:space="preserve">,” says Milton Butterworth, who oversees outreach migrant health services for Blue Ridge Community Health Services in Hendersonville, N.C. </w:t>
      </w:r>
      <w:r w:rsidRPr="00865C22">
        <w:rPr>
          <w:u w:val="single"/>
        </w:rPr>
        <w:t>Even many legal workers do not seek care at the health centers because they are fearful of exposing family members who are not legal residents</w:t>
      </w:r>
      <w:r w:rsidRPr="00F16387">
        <w:rPr>
          <w:sz w:val="14"/>
        </w:rPr>
        <w:t>, says Tara Plese, a spokeswoman for the Arizona Association of Community Health Centers. “</w:t>
      </w:r>
      <w:r w:rsidRPr="00865C22">
        <w:rPr>
          <w:u w:val="single"/>
        </w:rPr>
        <w:t>There is a big fear factor and it’s a big concern from a public health perspective</w:t>
      </w:r>
      <w:r w:rsidRPr="00F16387">
        <w:rPr>
          <w:sz w:val="14"/>
        </w:rPr>
        <w:t>.” Those concerns include making sure farmworkers’ children are vaccinated, stopping the spread of infectious diseases like AIDS and treating those with chronic problems such as diabetes, officials say. Many farmworkers avoid seeking care except in emergencies.</w:t>
      </w:r>
    </w:p>
    <w:p w:rsidR="00946D8A" w:rsidRDefault="00946D8A" w:rsidP="00946D8A">
      <w:pPr>
        <w:pStyle w:val="Heading4"/>
      </w:pPr>
      <w:r>
        <w:t>Clarity that health care use can’t affect deportation key to fear and stopping disease spread</w:t>
      </w:r>
    </w:p>
    <w:p w:rsidR="00946D8A" w:rsidRPr="005E2C12" w:rsidRDefault="00946D8A" w:rsidP="00946D8A">
      <w:r w:rsidRPr="005E2C12">
        <w:rPr>
          <w:rStyle w:val="Style13ptBold"/>
        </w:rPr>
        <w:t>Adams 18</w:t>
      </w:r>
      <w:r>
        <w:t xml:space="preserve"> (</w:t>
      </w:r>
      <w:r w:rsidRPr="005E2C12">
        <w:t>Rebecca Adams, Roll Call journalist, 1/25/18, “Immigration Crackdown Raises Fears of Seeking Health Care”, https://www.rollcall.com/news/politics/immigration-crackdown-raises-fears-seeking-health-care)/CWB</w:t>
      </w:r>
    </w:p>
    <w:p w:rsidR="00946D8A" w:rsidRPr="00BD5E70" w:rsidRDefault="00946D8A" w:rsidP="00946D8A">
      <w:pPr>
        <w:rPr>
          <w:sz w:val="16"/>
        </w:rPr>
      </w:pPr>
      <w:r w:rsidRPr="00BD5E70">
        <w:rPr>
          <w:rStyle w:val="StyleUnderline"/>
        </w:rPr>
        <w:t xml:space="preserve">Immigrants </w:t>
      </w:r>
      <w:r w:rsidRPr="00BD5E70">
        <w:rPr>
          <w:sz w:val="16"/>
        </w:rPr>
        <w:t xml:space="preserve">around the country </w:t>
      </w:r>
      <w:r w:rsidRPr="00BD5E70">
        <w:rPr>
          <w:rStyle w:val="StyleUnderline"/>
        </w:rPr>
        <w:t>who are on edge about broader enforcement under the Trump administration have been skipping appointments, questioning whether enrolling in government-funded health care coverage could undermine their immigration applications and showing anxiety about visiting unfamiliar physicians, according to nearly two dozen medical providers and lawyers interviewed recently</w:t>
      </w:r>
      <w:r w:rsidRPr="00BD5E70">
        <w:rPr>
          <w:sz w:val="16"/>
        </w:rPr>
        <w:t>. Isaura, an undocumented mother of two children living in the Washington, D.C., metro area, described the deep apprehensions some immigrants feel about venturing out in the current political climate. “</w:t>
      </w:r>
      <w:r w:rsidRPr="00BD5E70">
        <w:rPr>
          <w:rStyle w:val="StyleUnderline"/>
        </w:rPr>
        <w:t>Now I feel scared to even go to a new doctor because you don’t know what can happen. You have to give all the information — give your address and personal information — and if I don’t know somebody, I don’t go,”</w:t>
      </w:r>
      <w:r w:rsidRPr="00BD5E70">
        <w:rPr>
          <w:sz w:val="16"/>
        </w:rPr>
        <w:t xml:space="preserve"> Isaura said. Her older son is asthmatic and has allergies. </w:t>
      </w:r>
      <w:r w:rsidRPr="00BD5E70">
        <w:rPr>
          <w:rStyle w:val="StyleUnderline"/>
        </w:rPr>
        <w:t>“I’m very nervous to go to a new doctor or new place because I’m scared to drive, and everyone else feels the same. Everyone feels threatened because the police can stop you,”</w:t>
      </w:r>
      <w:r w:rsidRPr="00BD5E70">
        <w:rPr>
          <w:sz w:val="16"/>
        </w:rPr>
        <w:t xml:space="preserve"> said Isaura, who asked that her last name not be used. So far, her family hasn’t had to visit a new physician. She feels comfortable taking her children to familiar clinicians that serve a large number of immigrants, but would be concerned about getting care elsewhere. </w:t>
      </w:r>
      <w:r w:rsidRPr="00BD5E70">
        <w:rPr>
          <w:rStyle w:val="StyleUnderline"/>
        </w:rPr>
        <w:t>With fears of arrest causing undocumented residents to recalibrate their everyday lives — including fewer trips for medical care — the consequences could cascade beyond the immigrant population. Skipped vaccinations or treatments could hasten the spread of infectious diseases. Avoiding treatment for chronic ailments invites a cascade of potential trouble, including more expensive and invasive care later. And when the patient is uninsured, those costs often are absorbed either by government health programs or by hospitals, which may cover the expense by hiking prices for insured patients.</w:t>
      </w:r>
      <w:r w:rsidRPr="00BD5E70">
        <w:rPr>
          <w:sz w:val="16"/>
        </w:rPr>
        <w:t xml:space="preserve"> “</w:t>
      </w:r>
      <w:r w:rsidRPr="00BD5E70">
        <w:rPr>
          <w:rStyle w:val="StyleUnderline"/>
        </w:rPr>
        <w:t>Immigrants are no more dangerous than anyone else, but when we craft policies that drive any population underground, it puts all of the rest of our health at risk, particularly for contagious diseases,”</w:t>
      </w:r>
      <w:r w:rsidRPr="00BD5E70">
        <w:rPr>
          <w:sz w:val="16"/>
        </w:rPr>
        <w:t xml:space="preserve"> said Georges Benjamin, the executive director of the American Public Health Association. Karen Mountain, the chief executive officer for the Migrant Clinicians Network, a nonprofit medical network, said thousands of clinicians are reporting higher no-show rates and a reluctance by immigrants, both those here legally and illegally, to get needed care. “I’m in the business of trying to help people when they are ill, and I am unable to do that effectively when people are too afraid to seek care,” Mountain said. </w:t>
      </w:r>
      <w:r w:rsidRPr="00BD5E70">
        <w:rPr>
          <w:rStyle w:val="StyleUnderline"/>
        </w:rPr>
        <w:t xml:space="preserve">When patients are “scared to death” to seek even routine care, she adds, that “should be a concern to all taxpayers.” Among those affected are children, including many born in America: 88 percent of children living with an immigrant parent are U.S. </w:t>
      </w:r>
      <w:proofErr w:type="gramStart"/>
      <w:r w:rsidRPr="00BD5E70">
        <w:rPr>
          <w:rStyle w:val="StyleUnderline"/>
        </w:rPr>
        <w:t>citizens.</w:t>
      </w:r>
      <w:proofErr w:type="gramEnd"/>
      <w:r w:rsidRPr="00BD5E70">
        <w:rPr>
          <w:sz w:val="16"/>
        </w:rPr>
        <w:t xml:space="preserve"> </w:t>
      </w:r>
    </w:p>
    <w:p w:rsidR="00946D8A" w:rsidRPr="00B55AD5" w:rsidRDefault="00946D8A" w:rsidP="00946D8A"/>
    <w:p w:rsidR="00946D8A" w:rsidRDefault="00946D8A" w:rsidP="00CF386D"/>
    <w:p w:rsidR="00C44296" w:rsidRDefault="00EE31FC" w:rsidP="00C44296">
      <w:pPr>
        <w:pStyle w:val="Heading3"/>
      </w:pPr>
      <w:r>
        <w:t>CHCs Fail</w:t>
      </w:r>
    </w:p>
    <w:p w:rsidR="00C44296" w:rsidRDefault="00C44296" w:rsidP="00C44296">
      <w:pPr>
        <w:pStyle w:val="Heading4"/>
      </w:pPr>
      <w:r>
        <w:t>CHCs at max capacity now- disparities are from uninsured and homeless rates, not quality of care</w:t>
      </w:r>
    </w:p>
    <w:p w:rsidR="00C44296" w:rsidRPr="00B81550" w:rsidRDefault="00C44296" w:rsidP="00C44296">
      <w:r w:rsidRPr="00B81550">
        <w:rPr>
          <w:rStyle w:val="Style13ptBold"/>
        </w:rPr>
        <w:t>Kaiser Foundation 13</w:t>
      </w:r>
      <w:r>
        <w:t xml:space="preserve"> (Henry J. Kaiser Family Foundation, The Kaiser Commission on Medicaid and the Uninsured, June 2013, “Quality of Care in Community Health Centers and Factors Associated </w:t>
      </w:r>
      <w:proofErr w:type="gramStart"/>
      <w:r>
        <w:t>With</w:t>
      </w:r>
      <w:proofErr w:type="gramEnd"/>
      <w:r>
        <w:t xml:space="preserve"> Performance”, </w:t>
      </w:r>
      <w:r w:rsidRPr="00B81550">
        <w:t>https://kaiserfamilyfoundation.files.wordpress.com/2013/06/8447.pdf</w:t>
      </w:r>
      <w:r>
        <w:t>)/CWB</w:t>
      </w:r>
    </w:p>
    <w:p w:rsidR="00C44296" w:rsidRPr="00B81550" w:rsidRDefault="00C44296" w:rsidP="00C44296">
      <w:pPr>
        <w:rPr>
          <w:sz w:val="16"/>
        </w:rPr>
      </w:pPr>
      <w:r w:rsidRPr="00B81550">
        <w:rPr>
          <w:sz w:val="16"/>
        </w:rPr>
        <w:t xml:space="preserve">Federally funded community health centers are a key source of comprehensive primary care for medically underserved communities, serving more than 20 million patients in 2011. The Affordable Care Act </w:t>
      </w:r>
      <w:r w:rsidRPr="00B81550">
        <w:rPr>
          <w:rStyle w:val="StyleUnderline"/>
        </w:rPr>
        <w:t>(ACA) expanded the health center program significantly</w:t>
      </w:r>
      <w:r w:rsidRPr="00B81550">
        <w:rPr>
          <w:sz w:val="16"/>
        </w:rPr>
        <w:t xml:space="preserve"> to help meet the increased demand for health care that is expected as millions of the uninsured gain health coverage, beginning in 2014. Especially given health centers’ growing role, evidence of the quality of care they provide is of keen interest. </w:t>
      </w:r>
      <w:r w:rsidRPr="00B81550">
        <w:rPr>
          <w:rStyle w:val="Emphasis"/>
        </w:rPr>
        <w:t>Most research shows high performance by health centers relative to various standards</w:t>
      </w:r>
      <w:r w:rsidRPr="00B81550">
        <w:rPr>
          <w:rStyle w:val="StyleUnderline"/>
        </w:rPr>
        <w:t>, but some gaps have also been found, and suitable benchmarks for assessing the quality of care provided by health centers, which serve a uniquely disadvantaged population, have been lacking</w:t>
      </w:r>
      <w:r w:rsidRPr="00B81550">
        <w:rPr>
          <w:sz w:val="16"/>
        </w:rPr>
        <w:t xml:space="preserve">. Recently, the Kaiser Commission on Medicaid and the Uninsured (KCMU) partnered with the George Washington University to analyze health center performance relative to Medicaid managed care organizations (MCO), which also serve a low-income population, on important measures of quality of care – diabetes control, blood pressure control, and receipt of a Pap test in the past three years. The study also aimed to identify </w:t>
      </w:r>
      <w:r w:rsidRPr="00B81550">
        <w:rPr>
          <w:rStyle w:val="StyleUnderline"/>
        </w:rPr>
        <w:t>factors</w:t>
      </w:r>
      <w:r w:rsidRPr="00B81550">
        <w:rPr>
          <w:sz w:val="16"/>
        </w:rPr>
        <w:t xml:space="preserve"> that</w:t>
      </w:r>
      <w:r w:rsidRPr="00B81550">
        <w:rPr>
          <w:rStyle w:val="StyleUnderline"/>
        </w:rPr>
        <w:t xml:space="preserve"> differ significantly between high-performing and lower-performing health centers</w:t>
      </w:r>
      <w:r w:rsidRPr="00B81550">
        <w:rPr>
          <w:sz w:val="16"/>
        </w:rPr>
        <w:t xml:space="preserve">. Using data reported in the federal 2010 Uniform Data System (UDS) by health centers and the 2008 Healthcare Effectiveness Data and Information Set (HEDIS) for Medicaid MCOs, we defined health centers as “high-performing” if their rates exceeded the 75th percentile of Medicaid MCO HEDIS scores on all three of our quality measures. We defined health centers as “lower-performing” if their rates were below the mean Medicaid MCO HEDIS score on all three measures. Key findings » </w:t>
      </w:r>
      <w:r w:rsidRPr="00B81550">
        <w:rPr>
          <w:rStyle w:val="StyleUnderline"/>
        </w:rPr>
        <w:t>More than 1 in every 10 health centers was high-performing; few were lower-performing.</w:t>
      </w:r>
      <w:r w:rsidRPr="00B81550">
        <w:rPr>
          <w:sz w:val="16"/>
        </w:rPr>
        <w:t xml:space="preserve"> In all, 12% of health centers (130) met our definition of high performance, ranking above three-quarters of Medicaid MCOs on all three of our quality measures. Fewer than 4% of health centers (41) met our definition of lower performance, lagging behind the average Medicaid MCO on all three measures. 2 » High-performing health centers reported a diabetes control rate of 79%, compared to the Medicaid MCO high-performance benchmark of 62%, and their rates were also roughly 10 percentage points above the Medicaid MCO high-performance benchmarks on the other two measures. However, the lower </w:t>
      </w:r>
      <w:proofErr w:type="gramStart"/>
      <w:r w:rsidRPr="00B81550">
        <w:rPr>
          <w:sz w:val="16"/>
        </w:rPr>
        <w:t>performers</w:t>
      </w:r>
      <w:proofErr w:type="gramEnd"/>
      <w:r w:rsidRPr="00B81550">
        <w:rPr>
          <w:sz w:val="16"/>
        </w:rPr>
        <w:t xml:space="preserve"> health centers lagged about 10 percentage points behind the average Medicaid MCO on the chronic care measures and much further behind on Pap testing. » Most health centers met or exceeded the Medicaid MCO high-performance benchmarks for the two chronic care measures, but lagged behind the average Medicaid MCO on the Pap test measure. When health center performance is analyzed measure by measure, rather than on the basis of all three measures together, the data show that 80% of health centers exceeded the Medicaid MCO high-performance benchmark on diabetes control, and over half exceeded that standard on blood pressure control. However, 70% of health centers had Pap test rates below the mean Medicaid MCO score on this measure. » </w:t>
      </w:r>
      <w:r w:rsidRPr="00B81550">
        <w:rPr>
          <w:rStyle w:val="Emphasis"/>
        </w:rPr>
        <w:t>High-performing health centers were concentrated in certain states, as were lower performers.</w:t>
      </w:r>
      <w:r w:rsidRPr="00B81550">
        <w:rPr>
          <w:sz w:val="16"/>
        </w:rPr>
        <w:t xml:space="preserve"> Although the 130 </w:t>
      </w:r>
      <w:r w:rsidRPr="00B81550">
        <w:rPr>
          <w:rStyle w:val="StyleUnderline"/>
        </w:rPr>
        <w:t>high-performing health centers were located in</w:t>
      </w:r>
      <w:r w:rsidRPr="00B81550">
        <w:rPr>
          <w:sz w:val="16"/>
        </w:rPr>
        <w:t xml:space="preserve"> 35 states, one-third of them were in </w:t>
      </w:r>
      <w:r w:rsidRPr="00B81550">
        <w:rPr>
          <w:rStyle w:val="StyleUnderline"/>
        </w:rPr>
        <w:t>California (24), New York (10), and Massachusetts (10)—states that are home to just 18% of all health centers</w:t>
      </w:r>
      <w:r w:rsidRPr="00B81550">
        <w:rPr>
          <w:sz w:val="16"/>
        </w:rPr>
        <w:t xml:space="preserve">. In these three states and eight others where high performers accounted for at least 1 in 5 of all health centers in the state, there were no lower-performing health centers. </w:t>
      </w:r>
      <w:r w:rsidRPr="00B81550">
        <w:rPr>
          <w:rStyle w:val="StyleUnderline"/>
        </w:rPr>
        <w:t>The 41 lower-performing health centers were</w:t>
      </w:r>
      <w:r w:rsidRPr="00B81550">
        <w:rPr>
          <w:sz w:val="16"/>
        </w:rPr>
        <w:t xml:space="preserve"> sprinkled across 23 states, but nearly one-third were </w:t>
      </w:r>
      <w:r w:rsidRPr="00B81550">
        <w:rPr>
          <w:rStyle w:val="StyleUnderline"/>
        </w:rPr>
        <w:t>in</w:t>
      </w:r>
      <w:r w:rsidRPr="00B81550">
        <w:rPr>
          <w:sz w:val="16"/>
        </w:rPr>
        <w:t xml:space="preserve"> three southern states – </w:t>
      </w:r>
      <w:r w:rsidRPr="00B81550">
        <w:rPr>
          <w:rStyle w:val="StyleUnderline"/>
        </w:rPr>
        <w:t>Louisiana (5), Texas (4), and Florida (4).</w:t>
      </w:r>
      <w:r w:rsidRPr="00B81550">
        <w:rPr>
          <w:sz w:val="16"/>
        </w:rPr>
        <w:t xml:space="preserve"> Louisiana had, by far, the largest share of lower performers relative to its total number of health centers (23%), and it had no high performers. No significant difference in urban-rural location was found between high- and lower performers. » </w:t>
      </w:r>
      <w:r w:rsidRPr="00B81550">
        <w:rPr>
          <w:rStyle w:val="StyleUnderline"/>
        </w:rPr>
        <w:t>Lower-performing health centers had a significantly higher uninsured rate than high performers, and an extremely high homeless rate</w:t>
      </w:r>
      <w:r w:rsidRPr="00B81550">
        <w:rPr>
          <w:sz w:val="16"/>
        </w:rPr>
        <w:t xml:space="preserve">. While both health center groups had high rates of uninsured patients, the rate was significantly higher among the lower performers – 50% versus 36%. The share of patients with Medicaid was roughly one-third in both groups, but lower-performing health centers had significantly smaller shares of patients with Medicare and privately insured patients. The homeless rate was 40% in lower-performing health centers – ten times the average rate in the high performers. » Although total revenues per health center patient did not differ between high- and lower-performing health centers, both the Medicaid share of total revenues and Medicaid revenues per Medicaid patient were greater in the high-performing group. Medicaid provided over one-third of total revenues in highperforming health centers, but a quarter of total revenues in lower performers. Medicaid revenues per Medicaid patient were 30% higher in high-performing health centers – $652, compared to $496 in lower-performing health centers. The two health center groups were similar in their ratios of physicians and enabling services providers to patients. Implications Medicaid MCO high performance is a demanding benchmark to use for health centers, considering that all MCO patients are insured, whereas a large share of health center patients are uninsured, making timely preventive care and successful management of their chronic conditions harder to achieve. In this light, the finding that more than 1 in 10 health centers were consistently high-performing, and that most performed well relative to Medicaid MCOs in managing diabetes and high blood pressure, is notable. Focused study of high-performing health centers may inform current efforts to understand the foundations of high-performing systems of care more generally. 3 </w:t>
      </w:r>
      <w:r w:rsidRPr="00B81550">
        <w:rPr>
          <w:rStyle w:val="Emphasis"/>
        </w:rPr>
        <w:t>The very high uninsured and homeless rates associated with lower-performing health centers point to the possibility that the lower performance of these facilities reflects the challenging profile of their patients rather than the quality of care they provide.</w:t>
      </w:r>
      <w:r w:rsidRPr="00B81550">
        <w:rPr>
          <w:sz w:val="16"/>
        </w:rPr>
        <w:t xml:space="preserve"> At the same time, the higher rates of private and Medicare coverage associated with high performers suggest that the ACA’s coverage expansion could help usher improvements in health center performance. In any case, risk-adjusting quality measurement may help to ensure that health centers serving those who are most difficult to reach and treat are evaluated fairly.</w:t>
      </w:r>
      <w:r w:rsidRPr="00B81550">
        <w:rPr>
          <w:rStyle w:val="StyleUnderline"/>
        </w:rPr>
        <w:t xml:space="preserve"> Looking ahead, </w:t>
      </w:r>
      <w:r w:rsidRPr="00B81550">
        <w:rPr>
          <w:rStyle w:val="Emphasis"/>
        </w:rPr>
        <w:t>even highly effective health center strategies cannot fully overcome the pressures posed by systemic shortages</w:t>
      </w:r>
      <w:r w:rsidRPr="00B81550">
        <w:rPr>
          <w:rStyle w:val="StyleUnderline"/>
        </w:rPr>
        <w:t xml:space="preserve"> of primary care providers and specialists in medically underserved communities and the burden </w:t>
      </w:r>
      <w:r w:rsidRPr="00B81550">
        <w:rPr>
          <w:rStyle w:val="Emphasis"/>
        </w:rPr>
        <w:t>of high uninsured rates and homeless rates</w:t>
      </w:r>
      <w:r w:rsidRPr="00B81550">
        <w:rPr>
          <w:rStyle w:val="StyleUnderline"/>
        </w:rPr>
        <w:t xml:space="preserve"> in many health centers. </w:t>
      </w:r>
      <w:r w:rsidRPr="00B81550">
        <w:rPr>
          <w:sz w:val="16"/>
        </w:rPr>
        <w:t>Stable and adequate support for the health center program, as well as effective implementation of the expansion of Medicaid and federally subsidized private coverage under the ACA, will be vital to ensure that this mainstay of the primary care safety-net remains strong and resilient.</w:t>
      </w:r>
    </w:p>
    <w:p w:rsidR="00C44296" w:rsidRPr="00AF5C4F" w:rsidRDefault="00C44296" w:rsidP="00C44296"/>
    <w:p w:rsidR="00C44296" w:rsidRDefault="00C44296" w:rsidP="00C44296">
      <w:pPr>
        <w:pStyle w:val="Heading4"/>
      </w:pPr>
      <w:r>
        <w:t>The CP fails—too expensive, low reimbursement rates, staffing shortages, limited capacity, unsustainable funding, and political turbulence</w:t>
      </w:r>
    </w:p>
    <w:p w:rsidR="00C44296" w:rsidRPr="00F31A70" w:rsidRDefault="00C44296" w:rsidP="00C44296">
      <w:pPr>
        <w:rPr>
          <w:sz w:val="18"/>
          <w:szCs w:val="18"/>
        </w:rPr>
      </w:pPr>
      <w:r>
        <w:rPr>
          <w:b/>
        </w:rPr>
        <w:t xml:space="preserve">Capital Link and Capital Fund 14 </w:t>
      </w:r>
      <w:r w:rsidRPr="00F829BF">
        <w:rPr>
          <w:sz w:val="18"/>
          <w:szCs w:val="18"/>
        </w:rPr>
        <w:t xml:space="preserve">(Capital Link is a national, non-profit organization that has worked with hundreds of health centers and Primary Care Associations over the past 15 years to plan capital projects, finance growth, and identify ways to improve performance, Capital Fund supports the growth and development of community-based health centers serving low-income and uninsured populations by providing capital structured to meet health centers’ needs, Community Health Center Financial Perspectives, Issue 5, “Identifying the Risks of Health Center Failure: A Guide for Health Centers,” pg. </w:t>
      </w:r>
      <w:r>
        <w:rPr>
          <w:sz w:val="18"/>
          <w:szCs w:val="18"/>
        </w:rPr>
        <w:t>7</w:t>
      </w:r>
      <w:r w:rsidRPr="00F829BF">
        <w:rPr>
          <w:sz w:val="18"/>
          <w:szCs w:val="18"/>
        </w:rPr>
        <w:t>, 2014, http://www.caplink.org/images/stories/Resources/reports/Report-Identifying-the-Risks-of-Health-Center-Failure.pdf)</w:t>
      </w:r>
      <w:r>
        <w:rPr>
          <w:sz w:val="18"/>
          <w:szCs w:val="18"/>
        </w:rPr>
        <w:t>//jy</w:t>
      </w:r>
    </w:p>
    <w:p w:rsidR="00C44296" w:rsidRDefault="00C44296" w:rsidP="00C44296">
      <w:pPr>
        <w:rPr>
          <w:u w:val="single"/>
        </w:rPr>
      </w:pPr>
      <w:r w:rsidRPr="00911818">
        <w:rPr>
          <w:sz w:val="14"/>
        </w:rPr>
        <w:t xml:space="preserve">Pressure to Integrate Mental Health and Substance Abuse Services: One of the core tenets of the ACA is an attempt to ensure that all health insurance options cover at least a core package of health care services— known as Essential Health Benefits. One of the essential health benefits is mental health and substance abuse services. While health centers have been slowly integrating behavioral health services into their practices, the ACA will accelerate that process. Unfortunately, in many states, </w:t>
      </w:r>
      <w:r w:rsidRPr="00911818">
        <w:rPr>
          <w:u w:val="single"/>
        </w:rPr>
        <w:t xml:space="preserve">reimbursement rates for mental health and substance abuse services are notoriously low. </w:t>
      </w:r>
      <w:r w:rsidRPr="00911818">
        <w:rPr>
          <w:sz w:val="14"/>
        </w:rPr>
        <w:t xml:space="preserve">In addition, </w:t>
      </w:r>
      <w:r w:rsidRPr="00911818">
        <w:rPr>
          <w:u w:val="single"/>
        </w:rPr>
        <w:t>there is a growing shortage of mental health providers due to the sudden increase in demand for their services</w:t>
      </w:r>
      <w:r w:rsidRPr="00911818">
        <w:rPr>
          <w:sz w:val="14"/>
        </w:rPr>
        <w:t xml:space="preserve"> as the health care system begins to finally acknowledge the frequent existence of co-occurring mental and physical disorders (especially in the “hot-spotter” population —those who are the highest utilizers of emergency rooms and other subsidized health care services). While the broader provision of behavioral health services will be essential to achieving the national goal of reducing overall health care costs, </w:t>
      </w:r>
      <w:r w:rsidRPr="00911818">
        <w:rPr>
          <w:u w:val="single"/>
        </w:rPr>
        <w:t>the delivery of these services at the clinic level can be expensive and may put negative pressure on operating margins</w:t>
      </w:r>
      <w:r w:rsidRPr="00911818">
        <w:rPr>
          <w:sz w:val="14"/>
        </w:rPr>
        <w:t xml:space="preserve">. Pressure to Expand to Serve Almost Twice the Current Patient Base: As stated, </w:t>
      </w:r>
      <w:r w:rsidRPr="00911818">
        <w:rPr>
          <w:u w:val="single"/>
        </w:rPr>
        <w:t>the goal of the current administration is to eventually grow the number of patients served by health centers to nearly 35 million. Given the aforementioned provider shortages, this level of growth will be a challenge to accomplish.</w:t>
      </w:r>
      <w:r w:rsidRPr="00911818">
        <w:rPr>
          <w:sz w:val="14"/>
        </w:rPr>
        <w:t xml:space="preserve"> However, this growth mandate is reflected in HRSA’s ongoing effort to provide grant opportunities to all health centers. As described in more detail in this analysis, it appears that </w:t>
      </w:r>
      <w:r w:rsidRPr="00911818">
        <w:rPr>
          <w:u w:val="single"/>
        </w:rPr>
        <w:t>poorly planned or implemented capacity growth</w:t>
      </w:r>
      <w:r w:rsidRPr="00911818">
        <w:rPr>
          <w:sz w:val="14"/>
        </w:rPr>
        <w:t xml:space="preserve"> may </w:t>
      </w:r>
      <w:r w:rsidRPr="00911818">
        <w:rPr>
          <w:u w:val="single"/>
        </w:rPr>
        <w:t>have contributed to</w:t>
      </w:r>
      <w:r w:rsidRPr="00911818">
        <w:rPr>
          <w:sz w:val="14"/>
        </w:rPr>
        <w:t xml:space="preserve"> some of the </w:t>
      </w:r>
      <w:r w:rsidRPr="00911818">
        <w:rPr>
          <w:u w:val="single"/>
        </w:rPr>
        <w:t>financial problems</w:t>
      </w:r>
      <w:r w:rsidRPr="00911818">
        <w:rPr>
          <w:sz w:val="14"/>
        </w:rPr>
        <w:t xml:space="preserve"> experienced by the test group. Finally, there are two basic characteristics of the health center business model that have nothing to do with the changing healthcare environment but still must be evaluated or acknowledged: Heavy Reliance on Government Grants and Government Payers (Medicaid/Medicare): Given the importance of federal Section 330 operating grants and Medicaid/Medicare as payers to health centers, a </w:t>
      </w:r>
      <w:r w:rsidRPr="00911818">
        <w:rPr>
          <w:u w:val="single"/>
        </w:rPr>
        <w:t>chance taken on any given health center is a chance taken on the federal budget and on the longevity of a social safety net that is broadly (but not universally) popular. Mounting political pressures due to the cost of these two large entitlement programs will challenge health centers to navigate through potentially turbulent waters</w:t>
      </w:r>
      <w:r w:rsidRPr="00911818">
        <w:rPr>
          <w:sz w:val="14"/>
        </w:rPr>
        <w:t>. Significant Reliance on Donated Goods and Services: Despite what is arguably a viable basic business model</w:t>
      </w:r>
      <w:r w:rsidRPr="00911818">
        <w:rPr>
          <w:u w:val="single"/>
        </w:rPr>
        <w:t>, many health centers need to raise charitable donations and/or secure donated goods and services in order to break even</w:t>
      </w:r>
      <w:r w:rsidRPr="00911818">
        <w:rPr>
          <w:sz w:val="14"/>
        </w:rPr>
        <w:t xml:space="preserve">. It is not uncommon for health centers to secure low- or no-rent space from their local hospital or a government entity, and these arrangements represent true cost savings. </w:t>
      </w:r>
      <w:r w:rsidRPr="00911818">
        <w:rPr>
          <w:u w:val="single"/>
        </w:rPr>
        <w:t>In some newer and/or more rural health centers, local doctors may donate their time. This</w:t>
      </w:r>
      <w:r w:rsidRPr="00911818">
        <w:rPr>
          <w:sz w:val="14"/>
        </w:rPr>
        <w:t xml:space="preserve"> has a positive financial impact on the center, but also </w:t>
      </w:r>
      <w:r w:rsidRPr="00911818">
        <w:rPr>
          <w:u w:val="single"/>
        </w:rPr>
        <w:t>adds uncertainty as it relies on the donor’s continued generosity.</w:t>
      </w:r>
    </w:p>
    <w:p w:rsidR="00C44296" w:rsidRPr="006C6192" w:rsidRDefault="00C44296" w:rsidP="00C44296"/>
    <w:p w:rsidR="00C44296" w:rsidRDefault="00C44296" w:rsidP="00C44296">
      <w:pPr>
        <w:pStyle w:val="Heading4"/>
      </w:pPr>
      <w:r>
        <w:t>FQHCs are unsustainable—staff and funding shortages, lack of access to specialty care, and failure to coordination prevent effectiveness</w:t>
      </w:r>
    </w:p>
    <w:p w:rsidR="00C44296" w:rsidRDefault="00C44296" w:rsidP="00C44296">
      <w:r>
        <w:rPr>
          <w:b/>
        </w:rPr>
        <w:t xml:space="preserve">Russell 13 </w:t>
      </w:r>
      <w:r w:rsidRPr="007018AF">
        <w:rPr>
          <w:sz w:val="18"/>
          <w:szCs w:val="18"/>
        </w:rPr>
        <w:t>(Laura Russell, “Federally Qualified Health Centers: Are They Effective,” Center for Healthcare Research &amp; Transformation, 7/23/13, https://www.chrt.org/publication/federally-qualified-health-centers-effective/)//jy</w:t>
      </w:r>
    </w:p>
    <w:p w:rsidR="00C44296" w:rsidRDefault="00C44296" w:rsidP="00C44296">
      <w:pPr>
        <w:rPr>
          <w:u w:val="single"/>
        </w:rPr>
      </w:pPr>
      <w:r w:rsidRPr="0009278B">
        <w:rPr>
          <w:sz w:val="14"/>
        </w:rPr>
        <w:t xml:space="preserve">Overall, </w:t>
      </w:r>
      <w:r w:rsidRPr="00022670">
        <w:rPr>
          <w:u w:val="single"/>
        </w:rPr>
        <w:t>FQHCs</w:t>
      </w:r>
      <w:r w:rsidRPr="0009278B">
        <w:rPr>
          <w:sz w:val="14"/>
        </w:rPr>
        <w:t xml:space="preserve"> appear to be achieving their original legislative goals. They </w:t>
      </w:r>
      <w:r w:rsidRPr="00022670">
        <w:rPr>
          <w:u w:val="single"/>
        </w:rPr>
        <w:t>face</w:t>
      </w:r>
      <w:r w:rsidRPr="0009278B">
        <w:rPr>
          <w:sz w:val="14"/>
        </w:rPr>
        <w:t xml:space="preserve"> significant challenges, however, including </w:t>
      </w:r>
      <w:r w:rsidRPr="00022670">
        <w:rPr>
          <w:u w:val="single"/>
        </w:rPr>
        <w:t>long-term sustainability, clinical staff shortages, lack of access to specialty care and insufficient collaboration with hospitals and other safety net providers</w:t>
      </w:r>
      <w:r w:rsidRPr="0009278B">
        <w:rPr>
          <w:sz w:val="14"/>
        </w:rPr>
        <w:t xml:space="preserve">. Having experienced significant appropriations cuts, </w:t>
      </w:r>
      <w:r w:rsidRPr="0009278B">
        <w:rPr>
          <w:u w:val="single"/>
        </w:rPr>
        <w:t>adequate funding for health centers remains a challenge for their long-term sustainability</w:t>
      </w:r>
      <w:r w:rsidRPr="0009278B">
        <w:rPr>
          <w:sz w:val="14"/>
        </w:rPr>
        <w:t xml:space="preserve">. As millions of people obtain coverage, </w:t>
      </w:r>
      <w:r w:rsidRPr="0009278B">
        <w:rPr>
          <w:u w:val="single"/>
        </w:rPr>
        <w:t>health centers expect substantial clinical staff shortages</w:t>
      </w:r>
      <w:r w:rsidRPr="0009278B">
        <w:rPr>
          <w:sz w:val="14"/>
        </w:rPr>
        <w:t>, including primary care physicians, nurses, dentists and mental health professionals.</w:t>
      </w:r>
      <w:hyperlink r:id="rId184" w:anchor="footnote-primary-26" w:history="1">
        <w:r w:rsidRPr="0009278B">
          <w:rPr>
            <w:rStyle w:val="Hyperlink"/>
            <w:sz w:val="14"/>
          </w:rPr>
          <w:t>26</w:t>
        </w:r>
      </w:hyperlink>
      <w:r w:rsidRPr="0009278B">
        <w:rPr>
          <w:sz w:val="14"/>
        </w:rPr>
        <w:t xml:space="preserve"> </w:t>
      </w:r>
      <w:r w:rsidRPr="0009278B">
        <w:rPr>
          <w:u w:val="single"/>
        </w:rPr>
        <w:t>They continue to have difficulty securing specialty referrals for health center patients</w:t>
      </w:r>
      <w:r w:rsidRPr="0009278B">
        <w:rPr>
          <w:sz w:val="14"/>
        </w:rPr>
        <w:t xml:space="preserve">, often due to specialists’ refusal to accept Medicaid or uninsured patients. </w:t>
      </w:r>
      <w:r w:rsidRPr="0009278B">
        <w:rPr>
          <w:u w:val="single"/>
        </w:rPr>
        <w:t>Finally, health centers often find it challenging to coordinate with other health care and social service providers. These issues need to be addressed for health centers to fully achieve their goals.</w:t>
      </w:r>
    </w:p>
    <w:p w:rsidR="00C44296" w:rsidRPr="006C6192" w:rsidRDefault="00C44296" w:rsidP="00C44296"/>
    <w:p w:rsidR="00C44296" w:rsidRDefault="00C44296" w:rsidP="00C44296">
      <w:pPr>
        <w:pStyle w:val="Heading4"/>
      </w:pPr>
      <w:r>
        <w:t>CHCs fail- care quality is significantly worse than the country average and immigrants don’t seek adequate care</w:t>
      </w:r>
    </w:p>
    <w:p w:rsidR="00C44296" w:rsidRPr="00B22355" w:rsidRDefault="00C44296" w:rsidP="00C44296">
      <w:r w:rsidRPr="00B22355">
        <w:rPr>
          <w:rStyle w:val="Style13ptBold"/>
        </w:rPr>
        <w:t>Galewitz and Monies 12</w:t>
      </w:r>
      <w:r w:rsidRPr="00B22355">
        <w:t xml:space="preserve"> (Phil Galewitz and Paul Monies, "Community Health Centers </w:t>
      </w:r>
      <w:proofErr w:type="gramStart"/>
      <w:r w:rsidRPr="00B22355">
        <w:t>Under</w:t>
      </w:r>
      <w:proofErr w:type="gramEnd"/>
      <w:r w:rsidRPr="00B22355">
        <w:t xml:space="preserve"> Pressure to Improve Care", 4-17-2012, Kaiser Health News, https://khn.org/news/community-health-centers-under-pressure/)</w:t>
      </w:r>
      <w:r>
        <w:t>//AO</w:t>
      </w:r>
    </w:p>
    <w:p w:rsidR="00C44296" w:rsidRDefault="00C44296" w:rsidP="00C44296">
      <w:pPr>
        <w:rPr>
          <w:sz w:val="16"/>
        </w:rPr>
      </w:pPr>
      <w:r w:rsidRPr="00B22355">
        <w:rPr>
          <w:sz w:val="16"/>
        </w:rPr>
        <w:t xml:space="preserve">STONE MOUNTAIN, Ga. – – </w:t>
      </w:r>
      <w:r w:rsidRPr="00C10556">
        <w:rPr>
          <w:u w:val="single"/>
        </w:rPr>
        <w:t>At Oakhurst Medical Center, just 20 percent of kids have received all their recommended immunizations by age 2.</w:t>
      </w:r>
      <w:r>
        <w:rPr>
          <w:u w:val="single"/>
        </w:rPr>
        <w:t xml:space="preserve"> </w:t>
      </w:r>
      <w:r w:rsidRPr="00C10556">
        <w:rPr>
          <w:u w:val="single"/>
        </w:rPr>
        <w:t>Adults don’t fare much better at this community health center,</w:t>
      </w:r>
      <w:r w:rsidRPr="00B22355">
        <w:rPr>
          <w:sz w:val="16"/>
        </w:rPr>
        <w:t xml:space="preserve"> which provides primary care to 14,000 mostly poor people in a town famous for its granite monolith and “Confederate Mount Rushmore,” just east of Atlanta. </w:t>
      </w:r>
      <w:r w:rsidRPr="00C10556">
        <w:rPr>
          <w:u w:val="single"/>
        </w:rPr>
        <w:t>Less than half of the diabetics and a little more than a third of those with high blood pressure had their conditions under control in 2010 — far below national averages for the entire adult U.S. population, the latest federal data show.</w:t>
      </w:r>
      <w:r>
        <w:rPr>
          <w:u w:val="single"/>
        </w:rPr>
        <w:t xml:space="preserve"> </w:t>
      </w:r>
      <w:r w:rsidRPr="00B22355">
        <w:rPr>
          <w:sz w:val="16"/>
        </w:rPr>
        <w:t xml:space="preserve">“We can do better,” says Oakhurst Chief Executive Officer Jeffrey Taylor, who ticks off </w:t>
      </w:r>
      <w:r w:rsidRPr="00C10556">
        <w:rPr>
          <w:u w:val="single"/>
        </w:rPr>
        <w:t>some of his challenges: high obesity rates; many African immigrants unaccustomed to seeking vaccinations and other preventive care, and 40 percent of patients without health insurance.</w:t>
      </w:r>
      <w:r>
        <w:rPr>
          <w:u w:val="single"/>
        </w:rPr>
        <w:t xml:space="preserve"> </w:t>
      </w:r>
      <w:r w:rsidRPr="00B22355">
        <w:rPr>
          <w:sz w:val="16"/>
        </w:rPr>
        <w:t xml:space="preserve">While Oakhurst is an extreme example, </w:t>
      </w:r>
      <w:r w:rsidRPr="00C10556">
        <w:rPr>
          <w:u w:val="single"/>
        </w:rPr>
        <w:t>hundreds of the nation’s nearly 1,200 federally funded community health centers fall short on key quality of care measures, according to federal data analyzed by KHN and USA Today.</w:t>
      </w:r>
      <w:r>
        <w:rPr>
          <w:u w:val="single"/>
        </w:rPr>
        <w:t xml:space="preserve"> </w:t>
      </w:r>
      <w:r w:rsidRPr="00C10556">
        <w:rPr>
          <w:u w:val="single"/>
        </w:rPr>
        <w:t>The centers’ performance most often lagged national averages on helping diabetics keep their blood sugar under control and screening women for cervical cancer.</w:t>
      </w:r>
      <w:r>
        <w:rPr>
          <w:u w:val="single"/>
        </w:rPr>
        <w:t xml:space="preserve"> </w:t>
      </w:r>
      <w:r w:rsidRPr="00B22355">
        <w:rPr>
          <w:sz w:val="16"/>
        </w:rPr>
        <w:t xml:space="preserve">20 Million Patients Seen After doubling the number of patients served in the past decade to more than 20 million people a year, the mostly privately run, nonprofit centers are coming under increased pressure as they gear up for a major expansion under the health care law. Beginning in 2014, about 30 million Americans are expected to gain health coverage, half through Medicaid, the state-federal insurance program for the poor. </w:t>
      </w:r>
      <w:r w:rsidRPr="00C10556">
        <w:rPr>
          <w:u w:val="single"/>
        </w:rPr>
        <w:t>Congress authorized $10 billion to expand the centers’ capacity on the assumption many of the newly covered would seek care there.</w:t>
      </w:r>
      <w:r w:rsidRPr="00B22355">
        <w:rPr>
          <w:sz w:val="16"/>
        </w:rPr>
        <w:t xml:space="preserve"> Since 2008, they have also been required to report data to the federal government on six performance measures, including how well they care for their patients with diabetes and high blood pressure, screening rates for cervical cancer, vaccination rates for children, provision of timely prenatal care and rates of low birth-weight babies. A KHN-USA Today analysis of the 2010 health center data, obtained through the U.S. Freedom of Information Act, shows the level of care varies widely, including by region: Centers in the South generally perform worse than those in New England, the Midwest and California. The analysis also found that: — </w:t>
      </w:r>
      <w:proofErr w:type="gramStart"/>
      <w:r w:rsidRPr="00B22355">
        <w:rPr>
          <w:sz w:val="16"/>
        </w:rPr>
        <w:t>Nearly</w:t>
      </w:r>
      <w:proofErr w:type="gramEnd"/>
      <w:r w:rsidRPr="00B22355">
        <w:rPr>
          <w:sz w:val="16"/>
        </w:rPr>
        <w:t xml:space="preserve"> 75 percent of centers performed significantly worse — at least 10 percent below the national average for the entire U.S. population — for cervical cancer screening rates. </w:t>
      </w:r>
      <w:r w:rsidRPr="00C10556">
        <w:rPr>
          <w:u w:val="single"/>
        </w:rPr>
        <w:t>While 75 percent of U.S. women had at least one Pap test for cervical cancer in the past three years, the average was 58 percent for women in community health centers, according to federal data.</w:t>
      </w:r>
      <w:r>
        <w:rPr>
          <w:u w:val="single"/>
        </w:rPr>
        <w:t xml:space="preserve"> </w:t>
      </w:r>
      <w:r w:rsidRPr="00B22355">
        <w:rPr>
          <w:sz w:val="16"/>
        </w:rPr>
        <w:t>–</w:t>
      </w:r>
      <w:r w:rsidRPr="00C10556">
        <w:rPr>
          <w:u w:val="single"/>
        </w:rPr>
        <w:t>About 73 percent performed significantly below average in helping diabetics maintain their blood sugar levels.</w:t>
      </w:r>
      <w:r w:rsidRPr="00B22355">
        <w:rPr>
          <w:sz w:val="16"/>
        </w:rPr>
        <w:t xml:space="preserve"> — </w:t>
      </w:r>
      <w:r w:rsidRPr="00C10556">
        <w:rPr>
          <w:u w:val="single"/>
        </w:rPr>
        <w:t>About 28 percent of centers performed significantly below average for immunizing 2-year-olds.</w:t>
      </w:r>
      <w:r>
        <w:rPr>
          <w:u w:val="single"/>
        </w:rPr>
        <w:t xml:space="preserve"> </w:t>
      </w:r>
      <w:r w:rsidRPr="00B22355">
        <w:rPr>
          <w:sz w:val="16"/>
        </w:rPr>
        <w:t>— Georgia was the only state to rank near the bottom on four of the six quality measures. — Four other states — Louisiana, Virginia, Kansas and Kentucky — ranked near the bottom for three measures. “Of course this raises a concern for us,” says Cindy Zeldin, executive director of Georgians for a Healthy Future, an Atlanta-based consumer health advocacy group. “</w:t>
      </w:r>
      <w:r w:rsidRPr="00C10556">
        <w:rPr>
          <w:u w:val="single"/>
        </w:rPr>
        <w:t>We have so many uninsured for whom the community health centers are one of the few places where they can go for primary care</w:t>
      </w:r>
      <w:r w:rsidRPr="00B22355">
        <w:rPr>
          <w:sz w:val="16"/>
        </w:rPr>
        <w:t>.” Still, Zeldin says she is not surprised that patients at Georgia’s 27 health centers fare worse given the state’s high rates of obesity and diabetes.</w:t>
      </w:r>
    </w:p>
    <w:p w:rsidR="00C44296" w:rsidRDefault="00C44296" w:rsidP="00C44296">
      <w:pPr>
        <w:rPr>
          <w:u w:val="single"/>
        </w:rPr>
      </w:pPr>
    </w:p>
    <w:p w:rsidR="00C44296" w:rsidRDefault="00C44296" w:rsidP="00C44296"/>
    <w:p w:rsidR="00721D38" w:rsidRPr="00F933AF" w:rsidRDefault="00721D38" w:rsidP="00721D38">
      <w:pPr>
        <w:pStyle w:val="Heading2"/>
        <w:rPr>
          <w:rFonts w:cs="Calibri"/>
        </w:rPr>
      </w:pPr>
      <w:r w:rsidRPr="00F933AF">
        <w:rPr>
          <w:rFonts w:cs="Calibri"/>
        </w:rPr>
        <w:t>AT: States CP</w:t>
      </w:r>
    </w:p>
    <w:p w:rsidR="00721D38" w:rsidRPr="00F933AF" w:rsidRDefault="00721D38" w:rsidP="00721D38">
      <w:pPr>
        <w:pStyle w:val="Heading4"/>
        <w:rPr>
          <w:rFonts w:cs="Calibri"/>
        </w:rPr>
      </w:pPr>
      <w:r w:rsidRPr="00F933AF">
        <w:rPr>
          <w:rFonts w:cs="Calibri"/>
        </w:rPr>
        <w:t>States fail- BIA tricks and federal overlap</w:t>
      </w:r>
    </w:p>
    <w:p w:rsidR="00721D38" w:rsidRPr="00F933AF" w:rsidRDefault="00721D38" w:rsidP="00721D38">
      <w:pPr>
        <w:rPr>
          <w:rFonts w:cs="Calibri"/>
        </w:rPr>
      </w:pPr>
      <w:r w:rsidRPr="00F933AF">
        <w:rPr>
          <w:rStyle w:val="Style13ptBold"/>
          <w:rFonts w:cs="Calibri"/>
        </w:rPr>
        <w:t>Moore 17</w:t>
      </w:r>
      <w:r w:rsidRPr="00F933AF">
        <w:rPr>
          <w:rFonts w:cs="Calibri"/>
        </w:rPr>
        <w:t xml:space="preserve"> (Andrew F. Moore, Associate Professor of Law at the University of Detroit, 2017, “THE IMMIGRANT PARADOX: PROTECTING IMMIGRANTS THROUGH BETTER MENTAL HEALTH CARE”, Albany Law Review, LexisNexis)/CWB</w:t>
      </w:r>
    </w:p>
    <w:p w:rsidR="00721D38" w:rsidRPr="00F933AF" w:rsidRDefault="00721D38" w:rsidP="00721D38">
      <w:pPr>
        <w:rPr>
          <w:rFonts w:cs="Calibri"/>
          <w:sz w:val="16"/>
        </w:rPr>
      </w:pPr>
      <w:r w:rsidRPr="00F933AF">
        <w:rPr>
          <w:rFonts w:cs="Calibri"/>
          <w:sz w:val="16"/>
        </w:rPr>
        <w:t xml:space="preserve">Again, however, </w:t>
      </w:r>
      <w:r w:rsidRPr="00F933AF">
        <w:rPr>
          <w:rStyle w:val="StyleUnderline"/>
          <w:rFonts w:cs="Calibri"/>
        </w:rPr>
        <w:t>those advocating for states to aid immigrants must be aware of hidden traps in the immigration system. These courts may also require immigrants to plead guilty.</w:t>
      </w:r>
      <w:r w:rsidRPr="00F933AF">
        <w:rPr>
          <w:rFonts w:cs="Calibri"/>
          <w:sz w:val="16"/>
        </w:rPr>
        <w:t xml:space="preserve"> </w:t>
      </w:r>
      <w:proofErr w:type="gramStart"/>
      <w:r w:rsidRPr="00F933AF">
        <w:rPr>
          <w:rFonts w:cs="Calibri"/>
          <w:sz w:val="16"/>
        </w:rPr>
        <w:t>n342</w:t>
      </w:r>
      <w:proofErr w:type="gramEnd"/>
      <w:r w:rsidRPr="00F933AF">
        <w:rPr>
          <w:rFonts w:cs="Calibri"/>
          <w:sz w:val="16"/>
        </w:rPr>
        <w:t xml:space="preserve"> </w:t>
      </w:r>
      <w:r w:rsidRPr="00F933AF">
        <w:rPr>
          <w:rStyle w:val="StyleUnderline"/>
          <w:rFonts w:cs="Calibri"/>
        </w:rPr>
        <w:t xml:space="preserve">Some operate on a suspended sentence approach, or provide for an expungement after successful completion of a program. </w:t>
      </w:r>
      <w:proofErr w:type="gramStart"/>
      <w:r w:rsidRPr="00F933AF">
        <w:rPr>
          <w:rFonts w:cs="Calibri"/>
          <w:sz w:val="16"/>
        </w:rPr>
        <w:t>n343</w:t>
      </w:r>
      <w:proofErr w:type="gramEnd"/>
      <w:r w:rsidRPr="00F933AF">
        <w:rPr>
          <w:rFonts w:cs="Calibri"/>
          <w:sz w:val="16"/>
        </w:rPr>
        <w:t xml:space="preserve"> The INA has a far more expansive definition of the term "conviction" than is commonly understood. </w:t>
      </w:r>
      <w:proofErr w:type="gramStart"/>
      <w:r w:rsidRPr="00F933AF">
        <w:rPr>
          <w:rFonts w:cs="Calibri"/>
          <w:sz w:val="16"/>
        </w:rPr>
        <w:t>n344</w:t>
      </w:r>
      <w:proofErr w:type="gramEnd"/>
      <w:r w:rsidRPr="00F933AF">
        <w:rPr>
          <w:rFonts w:cs="Calibri"/>
          <w:sz w:val="16"/>
        </w:rPr>
        <w:t xml:space="preserve"> Any plea or admission of facts sufficient for a finding of guilt coupled with "some form of punishment, penalty, or restraint" is a conviction for immigration purposes. </w:t>
      </w:r>
      <w:proofErr w:type="gramStart"/>
      <w:r w:rsidRPr="00F933AF">
        <w:rPr>
          <w:rFonts w:cs="Calibri"/>
          <w:sz w:val="16"/>
        </w:rPr>
        <w:t>n345</w:t>
      </w:r>
      <w:proofErr w:type="gramEnd"/>
      <w:r w:rsidRPr="00F933AF">
        <w:rPr>
          <w:rFonts w:cs="Calibri"/>
          <w:sz w:val="16"/>
        </w:rPr>
        <w:t xml:space="preserve"> Moreover, </w:t>
      </w:r>
      <w:r w:rsidRPr="00F933AF">
        <w:rPr>
          <w:rStyle w:val="StyleUnderline"/>
          <w:rFonts w:cs="Calibri"/>
        </w:rPr>
        <w:t xml:space="preserve">the BIA has decided that post-conviction relief, such as expungements or deferred adjudication, does not count to erase a conviction if it is granted to alleviate consequences in the immigration system. </w:t>
      </w:r>
      <w:proofErr w:type="gramStart"/>
      <w:r w:rsidRPr="00F933AF">
        <w:rPr>
          <w:rStyle w:val="StyleUnderline"/>
          <w:rFonts w:cs="Calibri"/>
        </w:rPr>
        <w:t>n346</w:t>
      </w:r>
      <w:proofErr w:type="gramEnd"/>
      <w:r w:rsidRPr="00F933AF">
        <w:rPr>
          <w:rStyle w:val="StyleUnderline"/>
          <w:rFonts w:cs="Calibri"/>
        </w:rPr>
        <w:t xml:space="preserve"> Therefore, while under [*118] state law there is no conviction, under federal immigration law there is and that conviction can support deportability on criminal grounds</w:t>
      </w:r>
      <w:r w:rsidRPr="00F933AF">
        <w:rPr>
          <w:rFonts w:cs="Calibri"/>
          <w:sz w:val="16"/>
        </w:rPr>
        <w:t xml:space="preserve">. The above example captures the </w:t>
      </w:r>
      <w:r w:rsidRPr="00F933AF">
        <w:rPr>
          <w:rStyle w:val="StyleUnderline"/>
          <w:rFonts w:cs="Calibri"/>
        </w:rPr>
        <w:t>unfortunate approach by the federal immigration system to work at cross purposes to state attempts</w:t>
      </w:r>
      <w:r w:rsidRPr="00F933AF">
        <w:rPr>
          <w:rFonts w:cs="Calibri"/>
          <w:sz w:val="16"/>
        </w:rPr>
        <w:t xml:space="preserve"> to protect and rehabilitate those with mental health and addiction issues. It is particularly unfortunate given the proven effectiveness of mental health and drug courts. </w:t>
      </w:r>
      <w:proofErr w:type="gramStart"/>
      <w:r w:rsidRPr="00F933AF">
        <w:rPr>
          <w:rFonts w:cs="Calibri"/>
          <w:sz w:val="16"/>
        </w:rPr>
        <w:t>n347</w:t>
      </w:r>
      <w:proofErr w:type="gramEnd"/>
      <w:r w:rsidRPr="00F933AF">
        <w:rPr>
          <w:rFonts w:cs="Calibri"/>
          <w:sz w:val="16"/>
        </w:rPr>
        <w:t xml:space="preserve"> Therefore, </w:t>
      </w:r>
      <w:r w:rsidRPr="00F933AF">
        <w:rPr>
          <w:rStyle w:val="StyleUnderline"/>
          <w:rFonts w:cs="Calibri"/>
        </w:rPr>
        <w:t xml:space="preserve">states must be careful </w:t>
      </w:r>
      <w:r w:rsidRPr="00F933AF">
        <w:rPr>
          <w:rFonts w:cs="Calibri"/>
          <w:sz w:val="16"/>
        </w:rPr>
        <w:t xml:space="preserve">if they want to re-craft diversionary programs to truly aid immigrants, which has already been proposed outside of the immigration context. </w:t>
      </w:r>
      <w:proofErr w:type="gramStart"/>
      <w:r w:rsidRPr="00F933AF">
        <w:rPr>
          <w:rFonts w:cs="Calibri"/>
          <w:sz w:val="16"/>
        </w:rPr>
        <w:t>n348</w:t>
      </w:r>
      <w:proofErr w:type="gramEnd"/>
      <w:r w:rsidRPr="00F933AF">
        <w:rPr>
          <w:rFonts w:cs="Calibri"/>
          <w:sz w:val="16"/>
        </w:rPr>
        <w:t xml:space="preserve"> Most importantly, </w:t>
      </w:r>
      <w:r w:rsidRPr="00F933AF">
        <w:rPr>
          <w:rStyle w:val="StyleUnderline"/>
          <w:rFonts w:cs="Calibri"/>
        </w:rPr>
        <w:t>such programs should operate at the earliest pre-trial stages to avoid plea requirements of any kind.</w:t>
      </w:r>
    </w:p>
    <w:p w:rsidR="009F7A23" w:rsidRPr="00F933AF" w:rsidRDefault="009F7A23" w:rsidP="009F7A23">
      <w:pPr>
        <w:rPr>
          <w:rFonts w:cs="Calibri"/>
        </w:rPr>
      </w:pPr>
    </w:p>
    <w:p w:rsidR="0067262B" w:rsidRDefault="0067262B" w:rsidP="0067262B">
      <w:pPr>
        <w:pStyle w:val="Heading1"/>
      </w:pPr>
      <w:r>
        <w:t>DAs</w:t>
      </w:r>
    </w:p>
    <w:p w:rsidR="00C44296" w:rsidRDefault="00C44296" w:rsidP="00C44296">
      <w:pPr>
        <w:pStyle w:val="Heading2"/>
        <w:rPr>
          <w:rFonts w:cs="Calibri"/>
        </w:rPr>
      </w:pPr>
      <w:r w:rsidRPr="00F933AF">
        <w:rPr>
          <w:rFonts w:cs="Calibri"/>
        </w:rPr>
        <w:t>AT: Hospitals DA</w:t>
      </w:r>
    </w:p>
    <w:p w:rsidR="004675AB" w:rsidRPr="004675AB" w:rsidRDefault="004675AB" w:rsidP="004675AB">
      <w:pPr>
        <w:pStyle w:val="Heading3"/>
      </w:pPr>
      <w:r>
        <w:t xml:space="preserve">No Link </w:t>
      </w:r>
    </w:p>
    <w:p w:rsidR="00C44296" w:rsidRPr="00F933AF" w:rsidRDefault="00C44296" w:rsidP="00C44296">
      <w:pPr>
        <w:pStyle w:val="Heading4"/>
        <w:rPr>
          <w:rFonts w:cs="Calibri"/>
        </w:rPr>
      </w:pPr>
      <w:r w:rsidRPr="00F933AF">
        <w:rPr>
          <w:rFonts w:cs="Calibri"/>
        </w:rPr>
        <w:t>No turns – immigrants don’t suck up resources – prefer studies</w:t>
      </w:r>
    </w:p>
    <w:p w:rsidR="00C44296" w:rsidRPr="00F933AF" w:rsidRDefault="00C44296" w:rsidP="00C44296">
      <w:pPr>
        <w:spacing w:after="0"/>
        <w:rPr>
          <w:rFonts w:cs="Calibri"/>
        </w:rPr>
      </w:pPr>
      <w:r w:rsidRPr="00F933AF">
        <w:rPr>
          <w:rStyle w:val="Style13ptBold"/>
          <w:rFonts w:cs="Calibri"/>
        </w:rPr>
        <w:t>Mohanty et al. 5</w:t>
      </w:r>
      <w:r w:rsidRPr="00F933AF">
        <w:rPr>
          <w:rFonts w:cs="Calibri"/>
        </w:rPr>
        <w:t xml:space="preserve"> (Sarita, MD, MPH, Executive Director, Community-Clinical Care Integration for Kaiser Foundation Health Plan, Northern California, with a region-wide focus on operations, strategy, and care management and coordination for MediCal and Dual-Eligible populations. Dr. Sarita Mohanty has over 15 years of experience in health care delivery, utilization management, care management, quality improvement, pharmacy, disease management, and health services research. Her key areas of expertise include integration and care coordination for safety net systems of care, chronic disease management, palliative care, and specialty care access, including the integration of physical health, behavioral health, and the non-medical/social care needs. She completed her Internal Medicine/Primary Care training at Beth Israel Deaconess Medical Center and a research fellowship at Harvard Medical School and Cambridge Health Alliance. Subsequently, she joined the faculty at the University </w:t>
      </w:r>
      <w:proofErr w:type="gramStart"/>
      <w:r w:rsidRPr="00F933AF">
        <w:rPr>
          <w:rFonts w:cs="Calibri"/>
        </w:rPr>
        <w:t>of</w:t>
      </w:r>
      <w:proofErr w:type="gramEnd"/>
      <w:r w:rsidRPr="00F933AF">
        <w:rPr>
          <w:rFonts w:cs="Calibri"/>
        </w:rPr>
        <w:t xml:space="preserve"> Southern California (USC) as Assistant Professor of Medicine. At USC, she conducted health services research focused on barriers to access faced by safety net patients.  American Journal of Public Health, August 2005. “Health Care Expenditures of Immigrants in the United States: A Nationally Representative Analysis”) NREM/Lil’ GBN</w:t>
      </w:r>
    </w:p>
    <w:p w:rsidR="00C44296" w:rsidRPr="00F933AF" w:rsidRDefault="00C44296" w:rsidP="00C44296">
      <w:pPr>
        <w:spacing w:after="0"/>
        <w:rPr>
          <w:rFonts w:cs="Calibri"/>
        </w:rPr>
      </w:pPr>
      <w:r w:rsidRPr="00F933AF">
        <w:rPr>
          <w:rFonts w:cs="Calibri"/>
        </w:rPr>
        <w:t>https://ajph.aphapublications.org/doi/abs/10.2105/AJPH.2004.044602</w:t>
      </w:r>
    </w:p>
    <w:p w:rsidR="00C44296" w:rsidRPr="00F933AF" w:rsidRDefault="00C44296" w:rsidP="00C44296">
      <w:pPr>
        <w:spacing w:after="0"/>
        <w:rPr>
          <w:rStyle w:val="StyleUnderline"/>
          <w:rFonts w:cs="Calibri"/>
        </w:rPr>
      </w:pPr>
      <w:r w:rsidRPr="00F933AF">
        <w:rPr>
          <w:rFonts w:cs="Calibri"/>
          <w:sz w:val="16"/>
        </w:rPr>
        <w:t xml:space="preserve">Objectives. </w:t>
      </w:r>
      <w:r w:rsidRPr="00F933AF">
        <w:rPr>
          <w:rStyle w:val="StyleUnderline"/>
          <w:rFonts w:cs="Calibri"/>
        </w:rPr>
        <w:t>We compared the health care expenditures of immigrants residing in the United States with health care expenditures of US-born persons.</w:t>
      </w:r>
      <w:r w:rsidRPr="00F933AF">
        <w:rPr>
          <w:rFonts w:cs="Calibri"/>
          <w:sz w:val="16"/>
        </w:rPr>
        <w:t xml:space="preserve"> Methods. </w:t>
      </w:r>
      <w:r w:rsidRPr="00F933AF">
        <w:rPr>
          <w:rStyle w:val="StyleUnderline"/>
          <w:rFonts w:cs="Calibri"/>
        </w:rPr>
        <w:t>We used the 1998 Medical Expenditure Panel Survey linked to the 1996–1997 National Health Interview Survey to analyze data on 18398 US-born persons and 2843 immigrants</w:t>
      </w:r>
      <w:r w:rsidRPr="00F933AF">
        <w:rPr>
          <w:rFonts w:cs="Calibri"/>
          <w:sz w:val="16"/>
        </w:rPr>
        <w:t xml:space="preserve">. </w:t>
      </w:r>
      <w:r w:rsidRPr="00F933AF">
        <w:rPr>
          <w:rStyle w:val="StyleUnderline"/>
          <w:rFonts w:cs="Calibri"/>
        </w:rPr>
        <w:t>Using a 2-part regression model, we estimated total health care expenditures, as well as expenditures for emergency department (ED) visits, office-based visits, hospital-based outpatient visits, inpatient visits, and prescription drugs</w:t>
      </w:r>
      <w:r w:rsidRPr="00F933AF">
        <w:rPr>
          <w:rFonts w:cs="Calibri"/>
          <w:sz w:val="16"/>
        </w:rPr>
        <w:t xml:space="preserve">. Results. </w:t>
      </w:r>
      <w:r w:rsidRPr="00F933AF">
        <w:rPr>
          <w:rStyle w:val="StyleUnderline"/>
          <w:rFonts w:cs="Calibri"/>
        </w:rPr>
        <w:t>Immigrants accounted for $39.5 billion</w:t>
      </w:r>
      <w:r w:rsidRPr="00F933AF">
        <w:rPr>
          <w:rFonts w:cs="Calibri"/>
          <w:sz w:val="16"/>
        </w:rPr>
        <w:t xml:space="preserve"> (SE=$4 billion) </w:t>
      </w:r>
      <w:r w:rsidRPr="00F933AF">
        <w:rPr>
          <w:rStyle w:val="StyleUnderline"/>
          <w:rFonts w:cs="Calibri"/>
        </w:rPr>
        <w:t>in health care expenditures</w:t>
      </w:r>
      <w:r w:rsidRPr="00F933AF">
        <w:rPr>
          <w:rFonts w:cs="Calibri"/>
          <w:sz w:val="16"/>
        </w:rPr>
        <w:t xml:space="preserve">. </w:t>
      </w:r>
      <w:r w:rsidRPr="00F933AF">
        <w:rPr>
          <w:rStyle w:val="StyleUnderline"/>
          <w:rFonts w:cs="Calibri"/>
        </w:rPr>
        <w:t xml:space="preserve">After multivariate adjustment, per capita total health care expenditures of </w:t>
      </w:r>
      <w:r w:rsidRPr="00F933AF">
        <w:rPr>
          <w:rStyle w:val="Emphasis"/>
          <w:rFonts w:cs="Calibri"/>
        </w:rPr>
        <w:t>immigrants were 55% lower than</w:t>
      </w:r>
      <w:r w:rsidRPr="00F933AF">
        <w:rPr>
          <w:rFonts w:cs="Calibri"/>
          <w:sz w:val="16"/>
        </w:rPr>
        <w:t xml:space="preserve"> those </w:t>
      </w:r>
      <w:r w:rsidRPr="00F933AF">
        <w:rPr>
          <w:rStyle w:val="Emphasis"/>
          <w:rFonts w:cs="Calibri"/>
        </w:rPr>
        <w:t>of US-born persons</w:t>
      </w:r>
      <w:r w:rsidRPr="00F933AF">
        <w:rPr>
          <w:rFonts w:cs="Calibri"/>
          <w:sz w:val="16"/>
        </w:rPr>
        <w:t xml:space="preserve"> ($1139 vs $2546). Similarly, </w:t>
      </w:r>
      <w:r w:rsidRPr="00F933AF">
        <w:rPr>
          <w:rStyle w:val="StyleUnderline"/>
          <w:rFonts w:cs="Calibri"/>
        </w:rPr>
        <w:t xml:space="preserve">expenditures for uninsured and publicly insured immigrants were approximately half </w:t>
      </w:r>
      <w:r w:rsidRPr="00F933AF">
        <w:rPr>
          <w:rFonts w:cs="Calibri"/>
          <w:sz w:val="16"/>
        </w:rPr>
        <w:t xml:space="preserve">those </w:t>
      </w:r>
      <w:r w:rsidRPr="00F933AF">
        <w:rPr>
          <w:rStyle w:val="StyleUnderline"/>
          <w:rFonts w:cs="Calibri"/>
        </w:rPr>
        <w:t>of</w:t>
      </w:r>
      <w:r w:rsidRPr="00F933AF">
        <w:rPr>
          <w:rFonts w:cs="Calibri"/>
          <w:sz w:val="16"/>
        </w:rPr>
        <w:t xml:space="preserve"> their </w:t>
      </w:r>
      <w:r w:rsidRPr="00F933AF">
        <w:rPr>
          <w:rStyle w:val="StyleUnderline"/>
          <w:rFonts w:cs="Calibri"/>
        </w:rPr>
        <w:t>US-born counterparts</w:t>
      </w:r>
      <w:r w:rsidRPr="00F933AF">
        <w:rPr>
          <w:rFonts w:cs="Calibri"/>
          <w:sz w:val="16"/>
        </w:rPr>
        <w:t xml:space="preserve">. Immigrant children had 74% lower per capita health care expenditures than US-born children. However, </w:t>
      </w:r>
      <w:r w:rsidRPr="00F933AF">
        <w:rPr>
          <w:rStyle w:val="StyleUnderline"/>
          <w:rFonts w:cs="Calibri"/>
        </w:rPr>
        <w:t>ED expenditures were more than 3 times higher for immigrant children than for US-born children</w:t>
      </w:r>
      <w:r w:rsidRPr="00F933AF">
        <w:rPr>
          <w:rFonts w:cs="Calibri"/>
          <w:sz w:val="16"/>
        </w:rPr>
        <w:t xml:space="preserve">. Conclusions. </w:t>
      </w:r>
      <w:r w:rsidRPr="00F933AF">
        <w:rPr>
          <w:rStyle w:val="StyleUnderline"/>
          <w:rFonts w:cs="Calibri"/>
        </w:rPr>
        <w:t>Health care expenditures are substantially lower for immigrants than for US-born persons</w:t>
      </w:r>
      <w:r w:rsidRPr="00F933AF">
        <w:rPr>
          <w:rFonts w:cs="Calibri"/>
          <w:sz w:val="16"/>
        </w:rPr>
        <w:t xml:space="preserve">. </w:t>
      </w:r>
      <w:r w:rsidRPr="00F933AF">
        <w:rPr>
          <w:rStyle w:val="Emphasis"/>
          <w:rFonts w:cs="Calibri"/>
        </w:rPr>
        <w:t>Our study refutes the assumption</w:t>
      </w:r>
      <w:r w:rsidRPr="00F933AF">
        <w:rPr>
          <w:rFonts w:cs="Calibri"/>
          <w:sz w:val="16"/>
        </w:rPr>
        <w:t xml:space="preserve"> that </w:t>
      </w:r>
      <w:r w:rsidRPr="00F933AF">
        <w:rPr>
          <w:rStyle w:val="StyleUnderline"/>
          <w:rFonts w:cs="Calibri"/>
        </w:rPr>
        <w:t>immigrants represent a disproportionate financial burden on the US health care system.</w:t>
      </w:r>
    </w:p>
    <w:p w:rsidR="00C44296" w:rsidRPr="00F933AF" w:rsidRDefault="00C44296" w:rsidP="00C44296">
      <w:pPr>
        <w:pStyle w:val="Heading4"/>
        <w:rPr>
          <w:rFonts w:cs="Calibri"/>
        </w:rPr>
      </w:pPr>
      <w:r w:rsidRPr="00F933AF">
        <w:rPr>
          <w:rFonts w:cs="Calibri"/>
        </w:rPr>
        <w:t>Immigrants use less healthcare</w:t>
      </w:r>
    </w:p>
    <w:p w:rsidR="00C44296" w:rsidRPr="00F933AF" w:rsidRDefault="00C44296" w:rsidP="00C44296">
      <w:pPr>
        <w:spacing w:after="0"/>
        <w:rPr>
          <w:rFonts w:cs="Calibri"/>
        </w:rPr>
      </w:pPr>
      <w:r w:rsidRPr="00F933AF">
        <w:rPr>
          <w:rStyle w:val="Style13ptBold"/>
          <w:rFonts w:cs="Calibri"/>
        </w:rPr>
        <w:t>Goldman et al. 6</w:t>
      </w:r>
      <w:r w:rsidRPr="00F933AF">
        <w:rPr>
          <w:rFonts w:cs="Calibri"/>
        </w:rPr>
        <w:t xml:space="preserve"> (Dana, Director and Leonard D. Schaeffer Director’s Chair, Schaeffer Center for Health Policy &amp; Economics Distinguished Professor, University of Southern California Professor, Price School of Public Policy and USC School of Pharmacy. Health Affairs, 25, no.6 (2006):1700-</w:t>
      </w:r>
      <w:proofErr w:type="gramStart"/>
      <w:r w:rsidRPr="00F933AF">
        <w:rPr>
          <w:rFonts w:cs="Calibri"/>
        </w:rPr>
        <w:t>1711 ,</w:t>
      </w:r>
      <w:proofErr w:type="gramEnd"/>
      <w:r w:rsidRPr="00F933AF">
        <w:rPr>
          <w:rFonts w:cs="Calibri"/>
        </w:rPr>
        <w:t xml:space="preserve"> “Immigrants And The Cost Of Medical Care,”) NREM/Lil; GBN</w:t>
      </w:r>
    </w:p>
    <w:p w:rsidR="00C44296" w:rsidRPr="00F933AF" w:rsidRDefault="00C44296" w:rsidP="00C44296">
      <w:pPr>
        <w:spacing w:after="0"/>
        <w:rPr>
          <w:rFonts w:cs="Calibri"/>
        </w:rPr>
      </w:pPr>
      <w:proofErr w:type="gramStart"/>
      <w:r w:rsidRPr="00F933AF">
        <w:rPr>
          <w:rFonts w:cs="Calibri"/>
        </w:rPr>
        <w:t>doi</w:t>
      </w:r>
      <w:proofErr w:type="gramEnd"/>
      <w:r w:rsidRPr="00F933AF">
        <w:rPr>
          <w:rFonts w:cs="Calibri"/>
        </w:rPr>
        <w:t>: 10.1377/hlthaff.25.6.1700</w:t>
      </w:r>
    </w:p>
    <w:p w:rsidR="00C44296" w:rsidRDefault="00C44296" w:rsidP="00C44296">
      <w:pPr>
        <w:rPr>
          <w:rStyle w:val="StyleUnderline"/>
          <w:rFonts w:cs="Calibri"/>
        </w:rPr>
      </w:pPr>
      <w:r w:rsidRPr="00F933AF">
        <w:rPr>
          <w:rFonts w:cs="Calibri"/>
          <w:sz w:val="16"/>
        </w:rPr>
        <w:t xml:space="preserve">Several salient </w:t>
      </w:r>
      <w:r w:rsidRPr="00F933AF">
        <w:rPr>
          <w:rStyle w:val="StyleUnderline"/>
          <w:rFonts w:cs="Calibri"/>
        </w:rPr>
        <w:t>dimensions of the “</w:t>
      </w:r>
      <w:r w:rsidRPr="00F933AF">
        <w:rPr>
          <w:rStyle w:val="Emphasis"/>
          <w:rFonts w:cs="Calibri"/>
        </w:rPr>
        <w:t>medical cost crisis</w:t>
      </w:r>
      <w:r w:rsidRPr="00F933AF">
        <w:rPr>
          <w:rStyle w:val="StyleUnderline"/>
          <w:rFonts w:cs="Calibri"/>
        </w:rPr>
        <w:t>”</w:t>
      </w:r>
      <w:r w:rsidRPr="00F933AF">
        <w:rPr>
          <w:rFonts w:cs="Calibri"/>
          <w:sz w:val="16"/>
        </w:rPr>
        <w:t xml:space="preserve"> have received much attention, but one </w:t>
      </w:r>
      <w:r w:rsidRPr="00F933AF">
        <w:rPr>
          <w:rStyle w:val="StyleUnderline"/>
          <w:rFonts w:cs="Calibri"/>
        </w:rPr>
        <w:t>neglected</w:t>
      </w:r>
      <w:r w:rsidRPr="00F933AF">
        <w:rPr>
          <w:rFonts w:cs="Calibri"/>
          <w:sz w:val="16"/>
        </w:rPr>
        <w:t xml:space="preserve"> topic involves </w:t>
      </w:r>
      <w:r w:rsidRPr="00F933AF">
        <w:rPr>
          <w:rStyle w:val="StyleUnderline"/>
          <w:rFonts w:cs="Calibri"/>
        </w:rPr>
        <w:t>the role of immigrants in shaping levels and trends in the costs of providing medical care.</w:t>
      </w:r>
      <w:r w:rsidRPr="00F933AF">
        <w:rPr>
          <w:rFonts w:cs="Calibri"/>
          <w:sz w:val="16"/>
        </w:rPr>
        <w:t xml:space="preserve"> Notable </w:t>
      </w:r>
      <w:r w:rsidRPr="00F933AF">
        <w:rPr>
          <w:rStyle w:val="StyleUnderline"/>
          <w:rFonts w:cs="Calibri"/>
        </w:rPr>
        <w:t>research demonstrated lower medical care use among</w:t>
      </w:r>
      <w:r w:rsidRPr="00F933AF">
        <w:rPr>
          <w:rFonts w:cs="Calibri"/>
          <w:sz w:val="16"/>
        </w:rPr>
        <w:t xml:space="preserve"> undocumented </w:t>
      </w:r>
      <w:r w:rsidRPr="00F933AF">
        <w:rPr>
          <w:rStyle w:val="StyleUnderline"/>
          <w:rFonts w:cs="Calibri"/>
        </w:rPr>
        <w:t>Latinos</w:t>
      </w:r>
      <w:r w:rsidRPr="00F933AF">
        <w:rPr>
          <w:rFonts w:cs="Calibri"/>
          <w:sz w:val="16"/>
        </w:rPr>
        <w:t xml:space="preserve">; however, it </w:t>
      </w:r>
      <w:r w:rsidRPr="00F933AF">
        <w:rPr>
          <w:rStyle w:val="StyleUnderline"/>
          <w:rFonts w:cs="Calibri"/>
        </w:rPr>
        <w:t>did not estimate the comparative medical costs of all types of immigrants</w:t>
      </w:r>
      <w:r w:rsidRPr="00F933AF">
        <w:rPr>
          <w:rFonts w:cs="Calibri"/>
          <w:sz w:val="16"/>
        </w:rPr>
        <w:t xml:space="preserve">.1 Similarly, other </w:t>
      </w:r>
      <w:r w:rsidRPr="00F933AF">
        <w:rPr>
          <w:rStyle w:val="StyleUnderline"/>
          <w:rFonts w:cs="Calibri"/>
        </w:rPr>
        <w:t>research</w:t>
      </w:r>
      <w:r w:rsidRPr="00F933AF">
        <w:rPr>
          <w:rFonts w:cs="Calibri"/>
          <w:sz w:val="16"/>
        </w:rPr>
        <w:t xml:space="preserve"> has </w:t>
      </w:r>
      <w:r w:rsidRPr="00F933AF">
        <w:rPr>
          <w:rStyle w:val="StyleUnderline"/>
          <w:rFonts w:cs="Calibri"/>
        </w:rPr>
        <w:t xml:space="preserve">documented lower per capita health spending by the foreign-born but was </w:t>
      </w:r>
      <w:r w:rsidRPr="00F933AF">
        <w:rPr>
          <w:rStyle w:val="Emphasis"/>
          <w:rFonts w:cs="Calibri"/>
        </w:rPr>
        <w:t>unable to distinguish</w:t>
      </w:r>
      <w:r w:rsidRPr="00F933AF">
        <w:rPr>
          <w:rStyle w:val="StyleUnderline"/>
          <w:rFonts w:cs="Calibri"/>
        </w:rPr>
        <w:t xml:space="preserve"> among the foreign-born by their naturalization or legal status</w:t>
      </w:r>
      <w:r w:rsidRPr="00F933AF">
        <w:rPr>
          <w:rFonts w:cs="Calibri"/>
          <w:sz w:val="16"/>
        </w:rPr>
        <w:t xml:space="preserve">.2 The relative absence of reliable cost numbers partly reflects the strong emotion surrounding immigration throughout U.S. history. Emotional pleas by advocates on both sides of the immigration divide are given especially free rein when </w:t>
      </w:r>
      <w:r w:rsidRPr="00F933AF">
        <w:rPr>
          <w:rStyle w:val="StyleUnderline"/>
          <w:rFonts w:cs="Calibri"/>
        </w:rPr>
        <w:t>scientific evidence is incomplete. Immigrants are a rapidly growing part of the population</w:t>
      </w:r>
      <w:r w:rsidRPr="00F933AF">
        <w:rPr>
          <w:rFonts w:cs="Calibri"/>
          <w:sz w:val="16"/>
        </w:rPr>
        <w:t xml:space="preserve">. According to the 2000 census, there were thirty-two million foreign-born people living in the United States—one in nine of the total U.S. population. Estimates indicate that the U.S. population will add 120 million people by 2050, 80 million of whom are or will be here as the direct or indirect consequence of immigration.3 </w:t>
      </w:r>
      <w:proofErr w:type="gramStart"/>
      <w:r w:rsidRPr="00F933AF">
        <w:rPr>
          <w:rFonts w:cs="Calibri"/>
          <w:sz w:val="16"/>
        </w:rPr>
        <w:t>An</w:t>
      </w:r>
      <w:proofErr w:type="gramEnd"/>
      <w:r w:rsidRPr="00F933AF">
        <w:rPr>
          <w:rFonts w:cs="Calibri"/>
          <w:sz w:val="16"/>
        </w:rPr>
        <w:t xml:space="preserve"> equally dramatic trend is the rapidly changing fraction of undocumented immigrants. Among immigrants in the United States for less than five years in 2002, almost half were un1700 November/December 2006 DataWatc h DOI 10.1377/hlthaff.25.6.1700 ©2006 Project HOPE–The People-to-People Health Foundation, Inc. Dana Goldman is a corporate chair and director of the Bing Center for Health Economics, RAND, in Santa Monica, California, and the National Bureau of Economic Research (NBER). James Smith (smith@rand.org) is a corporate chair and senior economist at RAND. Neeraj Sood is an associate economist at RAND and the NBER. </w:t>
      </w:r>
      <w:proofErr w:type="gramStart"/>
      <w:r w:rsidRPr="00F933AF">
        <w:rPr>
          <w:rFonts w:cs="Calibri"/>
          <w:sz w:val="16"/>
        </w:rPr>
        <w:t>by</w:t>
      </w:r>
      <w:proofErr w:type="gramEnd"/>
      <w:r w:rsidRPr="00F933AF">
        <w:rPr>
          <w:rFonts w:cs="Calibri"/>
          <w:sz w:val="16"/>
        </w:rPr>
        <w:t xml:space="preserve"> guest Downloaded from content.healthaffairs.org by Health Affairs on November 5, 2014 documented. In 1970 the figure was less than 5 percent.4 Rival concerns have been raised about the costs of providing health care to immigrants—especially those who are here illegally. </w:t>
      </w:r>
      <w:r w:rsidRPr="00F933AF">
        <w:rPr>
          <w:rStyle w:val="StyleUnderline"/>
          <w:rFonts w:cs="Calibri"/>
        </w:rPr>
        <w:t xml:space="preserve">The relative unavailability of health insurance raises concerns about long-term health effects if immigrants do not obtain needed medical care. But the </w:t>
      </w:r>
      <w:r w:rsidRPr="00F933AF">
        <w:rPr>
          <w:rStyle w:val="Emphasis"/>
          <w:rFonts w:cs="Calibri"/>
        </w:rPr>
        <w:t>costs of providing health care to immigrants</w:t>
      </w:r>
      <w:r w:rsidRPr="00F933AF">
        <w:rPr>
          <w:rStyle w:val="StyleUnderline"/>
          <w:rFonts w:cs="Calibri"/>
        </w:rPr>
        <w:t xml:space="preserve"> could be large, especially where they are heavily concentrated</w:t>
      </w:r>
      <w:r w:rsidRPr="00F933AF">
        <w:rPr>
          <w:rFonts w:cs="Calibri"/>
          <w:sz w:val="16"/>
        </w:rPr>
        <w:t xml:space="preserve">. Los Angeles County is the largest such community in the country. We employed </w:t>
      </w:r>
      <w:r w:rsidRPr="00F933AF">
        <w:rPr>
          <w:rStyle w:val="StyleUnderline"/>
          <w:rFonts w:cs="Calibri"/>
        </w:rPr>
        <w:t>novel data on health status and use of services, place of birth, and legal status of a representative sample of residents of Los Angeles County in 2000. These data allowed us to estimate service use and costs of care for nonelderly adults by nativity and type of immigrant</w:t>
      </w:r>
      <w:r w:rsidRPr="00F933AF">
        <w:rPr>
          <w:rFonts w:cs="Calibri"/>
          <w:sz w:val="16"/>
        </w:rPr>
        <w:t xml:space="preserve">, including the undocumented. Because of a dearth of </w:t>
      </w:r>
      <w:r w:rsidRPr="00F933AF">
        <w:rPr>
          <w:rStyle w:val="StyleUnderline"/>
          <w:rFonts w:cs="Calibri"/>
        </w:rPr>
        <w:t>objective cost estimates for the foreign-born, we also extrapolated our results to the entire United States. Although</w:t>
      </w:r>
      <w:r w:rsidRPr="00F933AF">
        <w:rPr>
          <w:rFonts w:cs="Calibri"/>
          <w:sz w:val="16"/>
        </w:rPr>
        <w:t xml:space="preserve"> our cost estimates are by no means insignificant in absolute terms, </w:t>
      </w:r>
      <w:r w:rsidRPr="00F933AF">
        <w:rPr>
          <w:rStyle w:val="StyleUnderline"/>
          <w:rFonts w:cs="Calibri"/>
        </w:rPr>
        <w:t>the expense of providing medical care to the foreign-born—especially the public-sector cost—is much less than their population representation. This gap is largest for the undocumented.</w:t>
      </w:r>
    </w:p>
    <w:p w:rsidR="004675AB" w:rsidRPr="004675AB" w:rsidRDefault="004675AB" w:rsidP="004675AB">
      <w:pPr>
        <w:pStyle w:val="Heading3"/>
        <w:rPr>
          <w:rStyle w:val="StyleUnderline"/>
          <w:rFonts w:cs="Calibri"/>
          <w:sz w:val="32"/>
        </w:rPr>
      </w:pPr>
      <w:r w:rsidRPr="004675AB">
        <w:rPr>
          <w:rStyle w:val="StyleUnderline"/>
          <w:rFonts w:cs="Calibri"/>
          <w:sz w:val="32"/>
        </w:rPr>
        <w:t>Hospitals Fail</w:t>
      </w:r>
    </w:p>
    <w:p w:rsidR="00C44296" w:rsidRPr="00F933AF" w:rsidRDefault="00C44296" w:rsidP="00C44296">
      <w:pPr>
        <w:pStyle w:val="Heading4"/>
        <w:rPr>
          <w:rStyle w:val="StyleUnderline"/>
          <w:rFonts w:cs="Calibri"/>
          <w:sz w:val="26"/>
          <w:u w:val="none"/>
        </w:rPr>
      </w:pPr>
      <w:r w:rsidRPr="00F933AF">
        <w:rPr>
          <w:rStyle w:val="StyleUnderline"/>
          <w:rFonts w:cs="Calibri"/>
          <w:sz w:val="26"/>
          <w:u w:val="none"/>
        </w:rPr>
        <w:t>Hospitals fail – multiple shortcomings</w:t>
      </w:r>
    </w:p>
    <w:p w:rsidR="00C44296" w:rsidRPr="00F933AF" w:rsidRDefault="00C44296" w:rsidP="00C44296">
      <w:pPr>
        <w:spacing w:after="0"/>
        <w:rPr>
          <w:rFonts w:cs="Calibri"/>
        </w:rPr>
      </w:pPr>
      <w:r w:rsidRPr="00F933AF">
        <w:rPr>
          <w:rStyle w:val="Style13ptBold"/>
          <w:rFonts w:cs="Calibri"/>
        </w:rPr>
        <w:t>Paalova 17</w:t>
      </w:r>
      <w:r w:rsidRPr="00F933AF">
        <w:rPr>
          <w:rFonts w:cs="Calibri"/>
        </w:rPr>
        <w:t xml:space="preserve"> (Alia, reporter for Becker’s Hospital Review. Becker’s Hospital Review, 9-9-2017. “The importance of preventive care strategies in a changing healthcare environment”) NREM/Lil’ GBN</w:t>
      </w:r>
    </w:p>
    <w:p w:rsidR="00C44296" w:rsidRPr="00F933AF" w:rsidRDefault="00C44296" w:rsidP="00C44296">
      <w:pPr>
        <w:spacing w:after="0"/>
        <w:rPr>
          <w:rFonts w:cs="Calibri"/>
        </w:rPr>
      </w:pPr>
      <w:r w:rsidRPr="00F933AF">
        <w:rPr>
          <w:rFonts w:cs="Calibri"/>
        </w:rPr>
        <w:t>https://www.beckershospitalreview.com/population-health/the-importance-of-preventive-care-strategies-in-a-changing-healthcare-environment.html</w:t>
      </w:r>
    </w:p>
    <w:p w:rsidR="00C44296" w:rsidRPr="00F933AF" w:rsidRDefault="00C44296" w:rsidP="00C44296">
      <w:pPr>
        <w:spacing w:after="0"/>
        <w:rPr>
          <w:rStyle w:val="StyleUnderline"/>
          <w:rFonts w:cs="Calibri"/>
          <w:sz w:val="16"/>
          <w:u w:val="none"/>
        </w:rPr>
      </w:pPr>
      <w:r w:rsidRPr="00F933AF">
        <w:rPr>
          <w:rStyle w:val="StyleUnderline"/>
          <w:rFonts w:cs="Calibri"/>
        </w:rPr>
        <w:t>Hospital</w:t>
      </w:r>
      <w:r w:rsidRPr="00F933AF">
        <w:rPr>
          <w:rStyle w:val="StyleUnderline"/>
          <w:rFonts w:cs="Calibri"/>
          <w:sz w:val="16"/>
          <w:u w:val="none"/>
        </w:rPr>
        <w:t xml:space="preserve"> leaders </w:t>
      </w:r>
      <w:r w:rsidRPr="00F933AF">
        <w:rPr>
          <w:rStyle w:val="Emphasis"/>
          <w:rFonts w:cs="Calibri"/>
        </w:rPr>
        <w:t>face numerous challenges</w:t>
      </w:r>
      <w:r w:rsidRPr="00F933AF">
        <w:rPr>
          <w:rStyle w:val="StyleUnderline"/>
          <w:rFonts w:cs="Calibri"/>
          <w:sz w:val="16"/>
          <w:u w:val="none"/>
        </w:rPr>
        <w:t xml:space="preserve"> </w:t>
      </w:r>
      <w:r w:rsidRPr="00F933AF">
        <w:rPr>
          <w:rStyle w:val="StyleUnderline"/>
          <w:rFonts w:cs="Calibri"/>
        </w:rPr>
        <w:t>to implementing preventive care strategies</w:t>
      </w:r>
      <w:r w:rsidRPr="00F933AF">
        <w:rPr>
          <w:rStyle w:val="StyleUnderline"/>
          <w:rFonts w:cs="Calibri"/>
          <w:sz w:val="16"/>
          <w:u w:val="none"/>
        </w:rPr>
        <w:t xml:space="preserve">, with one of the most daunting </w:t>
      </w:r>
      <w:r w:rsidRPr="00F933AF">
        <w:rPr>
          <w:rStyle w:val="StyleUnderline"/>
          <w:rFonts w:cs="Calibri"/>
        </w:rPr>
        <w:t>being the shift from the traditional fee-for-service delivery model,</w:t>
      </w:r>
      <w:r w:rsidRPr="00F933AF">
        <w:rPr>
          <w:rStyle w:val="StyleUnderline"/>
          <w:rFonts w:cs="Calibri"/>
          <w:sz w:val="16"/>
          <w:u w:val="none"/>
        </w:rPr>
        <w:t xml:space="preserve"> according to Dr. Bulger. "We have </w:t>
      </w:r>
      <w:r w:rsidRPr="00F933AF">
        <w:rPr>
          <w:rStyle w:val="StyleUnderline"/>
          <w:rFonts w:cs="Calibri"/>
        </w:rPr>
        <w:t>a sick-care system</w:t>
      </w:r>
      <w:r w:rsidRPr="00F933AF">
        <w:rPr>
          <w:rStyle w:val="StyleUnderline"/>
          <w:rFonts w:cs="Calibri"/>
          <w:sz w:val="16"/>
          <w:u w:val="none"/>
        </w:rPr>
        <w:t xml:space="preserve"> in the country, </w:t>
      </w:r>
      <w:r w:rsidRPr="00F933AF">
        <w:rPr>
          <w:rStyle w:val="StyleUnderline"/>
          <w:rFonts w:cs="Calibri"/>
        </w:rPr>
        <w:t>not a healthcare system</w:t>
      </w:r>
      <w:r w:rsidRPr="00F933AF">
        <w:rPr>
          <w:rStyle w:val="StyleUnderline"/>
          <w:rFonts w:cs="Calibri"/>
          <w:sz w:val="16"/>
          <w:u w:val="none"/>
        </w:rPr>
        <w:t xml:space="preserve">, and that's our first problem," he said. Dr. Bulger referred to how </w:t>
      </w:r>
      <w:r w:rsidRPr="00F933AF">
        <w:rPr>
          <w:rStyle w:val="StyleUnderline"/>
          <w:rFonts w:cs="Calibri"/>
        </w:rPr>
        <w:t>physicians</w:t>
      </w:r>
      <w:r w:rsidRPr="00F933AF">
        <w:rPr>
          <w:rStyle w:val="StyleUnderline"/>
          <w:rFonts w:cs="Calibri"/>
          <w:sz w:val="16"/>
          <w:u w:val="none"/>
        </w:rPr>
        <w:t xml:space="preserve"> were traditionally </w:t>
      </w:r>
      <w:r w:rsidRPr="00F933AF">
        <w:rPr>
          <w:rStyle w:val="StyleUnderline"/>
          <w:rFonts w:cs="Calibri"/>
        </w:rPr>
        <w:t>trained to treat the disease or crisis at hand rather than preventing the disease in the first place.</w:t>
      </w:r>
      <w:r w:rsidRPr="00F933AF">
        <w:rPr>
          <w:rStyle w:val="StyleUnderline"/>
          <w:rFonts w:cs="Calibri"/>
          <w:sz w:val="16"/>
          <w:u w:val="none"/>
        </w:rPr>
        <w:t xml:space="preserve"> </w:t>
      </w:r>
      <w:r w:rsidRPr="00F933AF">
        <w:rPr>
          <w:rStyle w:val="StyleUnderline"/>
          <w:rFonts w:cs="Calibri"/>
        </w:rPr>
        <w:t>Value-based medicine essentially reverses that value model, meaning physicians are rewarded for keeping patients out of the hospital</w:t>
      </w:r>
      <w:r w:rsidRPr="00F933AF">
        <w:rPr>
          <w:rStyle w:val="StyleUnderline"/>
          <w:rFonts w:cs="Calibri"/>
          <w:sz w:val="16"/>
          <w:u w:val="none"/>
        </w:rPr>
        <w:t xml:space="preserve">. </w:t>
      </w:r>
      <w:r w:rsidRPr="00F933AF">
        <w:rPr>
          <w:rStyle w:val="StyleUnderline"/>
          <w:rFonts w:cs="Calibri"/>
        </w:rPr>
        <w:t>Navigating</w:t>
      </w:r>
      <w:r w:rsidRPr="00F933AF">
        <w:rPr>
          <w:rStyle w:val="StyleUnderline"/>
          <w:rFonts w:cs="Calibri"/>
          <w:sz w:val="16"/>
          <w:u w:val="none"/>
        </w:rPr>
        <w:t xml:space="preserve"> this profound </w:t>
      </w:r>
      <w:r w:rsidRPr="00F933AF">
        <w:rPr>
          <w:rStyle w:val="Emphasis"/>
          <w:rFonts w:cs="Calibri"/>
        </w:rPr>
        <w:t>culture change is extremely difficult</w:t>
      </w:r>
      <w:r w:rsidRPr="00F933AF">
        <w:rPr>
          <w:rStyle w:val="StyleUnderline"/>
          <w:rFonts w:cs="Calibri"/>
          <w:sz w:val="16"/>
          <w:u w:val="none"/>
        </w:rPr>
        <w:t xml:space="preserve"> </w:t>
      </w:r>
      <w:r w:rsidRPr="00F933AF">
        <w:rPr>
          <w:rStyle w:val="StyleUnderline"/>
          <w:rFonts w:cs="Calibri"/>
        </w:rPr>
        <w:t>for all stakeholders and could slow efforts to implement adult vaccination programs</w:t>
      </w:r>
      <w:r w:rsidRPr="00F933AF">
        <w:rPr>
          <w:rStyle w:val="StyleUnderline"/>
          <w:rFonts w:cs="Calibri"/>
          <w:sz w:val="16"/>
          <w:u w:val="none"/>
        </w:rPr>
        <w:t xml:space="preserve">. Another </w:t>
      </w:r>
      <w:r w:rsidRPr="00F933AF">
        <w:rPr>
          <w:rStyle w:val="StyleUnderline"/>
          <w:rFonts w:cs="Calibri"/>
        </w:rPr>
        <w:t>challenge is leadership through this transition to value-based models</w:t>
      </w:r>
      <w:r w:rsidRPr="00F933AF">
        <w:rPr>
          <w:rStyle w:val="StyleUnderline"/>
          <w:rFonts w:cs="Calibri"/>
          <w:sz w:val="16"/>
          <w:u w:val="none"/>
        </w:rPr>
        <w:t xml:space="preserve">, according to Dr. Nygaard. "[The industry] is struggling with leadership development to manage all of these changes," he said. Finally, another barrier that </w:t>
      </w:r>
      <w:r w:rsidRPr="00F933AF">
        <w:rPr>
          <w:rStyle w:val="StyleUnderline"/>
          <w:rFonts w:cs="Calibri"/>
        </w:rPr>
        <w:t>curbs use of vaccinations is the subjective nature with which physicians can view the value or necessity of immunization</w:t>
      </w:r>
      <w:r w:rsidRPr="00F933AF">
        <w:rPr>
          <w:rStyle w:val="StyleUnderline"/>
          <w:rFonts w:cs="Calibri"/>
          <w:sz w:val="16"/>
          <w:u w:val="none"/>
        </w:rPr>
        <w:t xml:space="preserve">. Though this is not a tangible barrier, Dr. Silvers said it can be </w:t>
      </w:r>
      <w:r w:rsidRPr="00F933AF">
        <w:rPr>
          <w:rStyle w:val="StyleUnderline"/>
          <w:rFonts w:cs="Calibri"/>
        </w:rPr>
        <w:t>a challenge to reinforce objectivity in the medical community about vaccinations and preventive medicine</w:t>
      </w:r>
      <w:r w:rsidRPr="00F933AF">
        <w:rPr>
          <w:rStyle w:val="StyleUnderline"/>
          <w:rFonts w:cs="Calibri"/>
          <w:sz w:val="16"/>
          <w:u w:val="none"/>
        </w:rPr>
        <w:t xml:space="preserve">. All three speakers agreed that </w:t>
      </w:r>
      <w:r w:rsidRPr="00F933AF">
        <w:rPr>
          <w:rStyle w:val="Emphasis"/>
          <w:rFonts w:cs="Calibri"/>
        </w:rPr>
        <w:t>a lack of education about</w:t>
      </w:r>
      <w:r w:rsidRPr="00F933AF">
        <w:rPr>
          <w:rStyle w:val="StyleUnderline"/>
          <w:rFonts w:cs="Calibri"/>
          <w:sz w:val="16"/>
          <w:u w:val="none"/>
        </w:rPr>
        <w:t xml:space="preserve"> the importance of </w:t>
      </w:r>
      <w:r w:rsidRPr="00F933AF">
        <w:rPr>
          <w:rStyle w:val="StyleUnderline"/>
          <w:rFonts w:cs="Calibri"/>
        </w:rPr>
        <w:t>preventive medicine</w:t>
      </w:r>
      <w:r w:rsidRPr="00F933AF">
        <w:rPr>
          <w:rStyle w:val="StyleUnderline"/>
          <w:rFonts w:cs="Calibri"/>
          <w:sz w:val="16"/>
          <w:u w:val="none"/>
        </w:rPr>
        <w:t xml:space="preserve"> contributed to the challenges.</w:t>
      </w:r>
    </w:p>
    <w:p w:rsidR="00C44296" w:rsidRPr="00F933AF" w:rsidRDefault="00C44296" w:rsidP="00C44296">
      <w:pPr>
        <w:rPr>
          <w:rFonts w:cs="Calibri"/>
        </w:rPr>
      </w:pPr>
    </w:p>
    <w:p w:rsidR="00C44296" w:rsidRDefault="00C44296" w:rsidP="00C44296"/>
    <w:p w:rsidR="00183BF2" w:rsidRPr="00F933AF" w:rsidRDefault="00183BF2" w:rsidP="00183BF2">
      <w:pPr>
        <w:pStyle w:val="Heading2"/>
      </w:pPr>
      <w:r w:rsidRPr="00F933AF">
        <w:t>AT: USCIS Disads</w:t>
      </w:r>
    </w:p>
    <w:p w:rsidR="00183BF2" w:rsidRPr="00F933AF" w:rsidRDefault="009B5BE6" w:rsidP="009B5BE6">
      <w:pPr>
        <w:pStyle w:val="Heading3"/>
      </w:pPr>
      <w:r>
        <w:t>Non-unique</w:t>
      </w:r>
    </w:p>
    <w:p w:rsidR="00183BF2" w:rsidRPr="00F933AF" w:rsidRDefault="00183BF2" w:rsidP="00183BF2">
      <w:pPr>
        <w:pStyle w:val="Heading4"/>
        <w:rPr>
          <w:rFonts w:cs="Calibri"/>
        </w:rPr>
      </w:pPr>
      <w:r w:rsidRPr="00F933AF">
        <w:rPr>
          <w:rFonts w:cs="Calibri"/>
        </w:rPr>
        <w:t>Public charge denials increasing- wastes time and money separating families</w:t>
      </w:r>
    </w:p>
    <w:p w:rsidR="00183BF2" w:rsidRPr="00F933AF" w:rsidRDefault="00183BF2" w:rsidP="00183BF2">
      <w:pPr>
        <w:rPr>
          <w:rFonts w:cs="Calibri"/>
        </w:rPr>
      </w:pPr>
      <w:r w:rsidRPr="00F933AF">
        <w:rPr>
          <w:rStyle w:val="Style13ptBold"/>
          <w:rFonts w:cs="Calibri"/>
        </w:rPr>
        <w:t>Gray 5/24</w:t>
      </w:r>
      <w:r w:rsidRPr="00F933AF">
        <w:rPr>
          <w:rFonts w:cs="Calibri"/>
        </w:rPr>
        <w:t xml:space="preserve"> (Lindsay Gray, partner at Whitlock and Gray LLC, immigration law firm, 5/24/18, “Keeping Families Apart: Trump’s Update to the Public Charge Provision”, http://www.whitlockgray.com/2018/05/24/public-charge/)/CWB</w:t>
      </w:r>
    </w:p>
    <w:p w:rsidR="00183BF2" w:rsidRPr="00F933AF" w:rsidRDefault="00183BF2" w:rsidP="00183BF2">
      <w:pPr>
        <w:rPr>
          <w:rStyle w:val="Emphasis"/>
          <w:rFonts w:cs="Calibri"/>
        </w:rPr>
      </w:pPr>
      <w:r w:rsidRPr="00F933AF">
        <w:rPr>
          <w:rStyle w:val="StyleUnderline"/>
          <w:rFonts w:cs="Calibri"/>
        </w:rPr>
        <w:t xml:space="preserve">In another </w:t>
      </w:r>
      <w:r w:rsidRPr="00F933AF">
        <w:rPr>
          <w:rStyle w:val="Emphasis"/>
          <w:rFonts w:cs="Calibri"/>
        </w:rPr>
        <w:t>attempt to keep families apart</w:t>
      </w:r>
      <w:r w:rsidRPr="00F933AF">
        <w:rPr>
          <w:rStyle w:val="StyleUnderline"/>
          <w:rFonts w:cs="Calibri"/>
        </w:rPr>
        <w:t>, the Trump Administration has updated the legal guidance governing who is inadmissible because they are “likely to become a public charge.”</w:t>
      </w:r>
      <w:r w:rsidRPr="00F933AF">
        <w:rPr>
          <w:rFonts w:cs="Calibri"/>
          <w:sz w:val="16"/>
        </w:rPr>
        <w:t xml:space="preserve"> This post covers the new guidance and what we’ve seen so far. Public Charge: The Old Standard </w:t>
      </w:r>
      <w:r w:rsidRPr="00F933AF">
        <w:rPr>
          <w:rStyle w:val="StyleUnderline"/>
          <w:rFonts w:cs="Calibri"/>
        </w:rPr>
        <w:t xml:space="preserve">It </w:t>
      </w:r>
      <w:r w:rsidRPr="00F933AF">
        <w:rPr>
          <w:rStyle w:val="Emphasis"/>
          <w:rFonts w:cs="Calibri"/>
        </w:rPr>
        <w:t>used to be</w:t>
      </w:r>
      <w:r w:rsidRPr="00F933AF">
        <w:rPr>
          <w:rStyle w:val="StyleUnderline"/>
          <w:rFonts w:cs="Calibri"/>
        </w:rPr>
        <w:t xml:space="preserve"> that when someone petitioned for a family member who was living abroad, the public charge grounds of admissibility was fairly straightforward to address</w:t>
      </w:r>
      <w:r w:rsidRPr="00F933AF">
        <w:rPr>
          <w:rFonts w:cs="Calibri"/>
          <w:sz w:val="16"/>
        </w:rPr>
        <w:t xml:space="preserve">. The petitioner would file a Form I-864 and provide supporting documentation like tax returns, W-2s, and pay stubs to show that he or she met the income requirements to support that person. So long as the petitioner could show that he or she made more than 125% of the federal poverty guidelines for the household (including the intending immigrant), not much more was said. And if the petitioner did not meet this requirement, one could simply go find a U.S. citizen or green card holding friend of family member to file as a “joint sponsor” and all would be well. Public Charge: the Changes Past Receipt of Public Assistance </w:t>
      </w:r>
      <w:r w:rsidRPr="00F933AF">
        <w:rPr>
          <w:rStyle w:val="StyleUnderline"/>
          <w:rFonts w:cs="Calibri"/>
        </w:rPr>
        <w:t xml:space="preserve">The </w:t>
      </w:r>
      <w:hyperlink r:id="rId185" w:history="1">
        <w:r w:rsidRPr="00F933AF">
          <w:rPr>
            <w:rStyle w:val="StyleUnderline"/>
            <w:rFonts w:cs="Calibri"/>
          </w:rPr>
          <w:t>new foreign affairs manual (FAM) guidance</w:t>
        </w:r>
      </w:hyperlink>
      <w:r w:rsidRPr="00F933AF">
        <w:rPr>
          <w:rStyle w:val="StyleUnderline"/>
          <w:rFonts w:cs="Calibri"/>
        </w:rPr>
        <w:t xml:space="preserve"> says that a consular officer may consider “past or current receipt of public assistance of any type” in determining whether an applicant is likely to become a public charge, although officers must make a determination based on the present circumstances. </w:t>
      </w:r>
      <w:r w:rsidRPr="00F933AF">
        <w:rPr>
          <w:rFonts w:cs="Calibri"/>
          <w:sz w:val="16"/>
        </w:rPr>
        <w:t xml:space="preserve">While this is intended to make sure that officers consider the timing and circumstances of the public assistance, </w:t>
      </w:r>
      <w:r w:rsidRPr="00F933AF">
        <w:rPr>
          <w:rStyle w:val="StyleUnderline"/>
          <w:rFonts w:cs="Calibri"/>
        </w:rPr>
        <w:t>this discretion can also result in some officers finding that anyone who has previously received public assistance is inadmissible on public charge grounds.</w:t>
      </w:r>
      <w:r w:rsidRPr="00F933AF">
        <w:rPr>
          <w:rStyle w:val="Emphasis"/>
          <w:rFonts w:cs="Calibri"/>
        </w:rPr>
        <w:t xml:space="preserve"> I-864</w:t>
      </w:r>
      <w:r w:rsidRPr="00F933AF">
        <w:rPr>
          <w:rStyle w:val="StyleUnderline"/>
          <w:rFonts w:cs="Calibri"/>
        </w:rPr>
        <w:t xml:space="preserve"> Affidavit of Support is </w:t>
      </w:r>
      <w:r w:rsidRPr="00F933AF">
        <w:rPr>
          <w:rStyle w:val="Emphasis"/>
          <w:rFonts w:cs="Calibri"/>
        </w:rPr>
        <w:t>no longer enough</w:t>
      </w:r>
      <w:r w:rsidRPr="00F933AF">
        <w:rPr>
          <w:rStyle w:val="StyleUnderline"/>
          <w:rFonts w:cs="Calibri"/>
        </w:rPr>
        <w:t xml:space="preserve"> </w:t>
      </w:r>
      <w:proofErr w:type="gramStart"/>
      <w:r w:rsidRPr="00F933AF">
        <w:rPr>
          <w:rStyle w:val="StyleUnderline"/>
          <w:rFonts w:cs="Calibri"/>
        </w:rPr>
        <w:t>Where</w:t>
      </w:r>
      <w:proofErr w:type="gramEnd"/>
      <w:r w:rsidRPr="00F933AF">
        <w:rPr>
          <w:rStyle w:val="StyleUnderline"/>
          <w:rFonts w:cs="Calibri"/>
        </w:rPr>
        <w:t xml:space="preserve"> it used to be sufficient</w:t>
      </w:r>
      <w:r w:rsidRPr="00F933AF">
        <w:rPr>
          <w:rFonts w:cs="Calibri"/>
          <w:sz w:val="16"/>
        </w:rPr>
        <w:t>, the affidavit of support is no longer enough. The updated FAM says that a “properly filed and sufficient, non-fraudulent” Affidavit of Support by itself may not satisfy the INA 212(a</w:t>
      </w:r>
      <w:proofErr w:type="gramStart"/>
      <w:r w:rsidRPr="00F933AF">
        <w:rPr>
          <w:rFonts w:cs="Calibri"/>
          <w:sz w:val="16"/>
        </w:rPr>
        <w:t>)(</w:t>
      </w:r>
      <w:proofErr w:type="gramEnd"/>
      <w:r w:rsidRPr="00F933AF">
        <w:rPr>
          <w:rFonts w:cs="Calibri"/>
          <w:sz w:val="16"/>
        </w:rPr>
        <w:t xml:space="preserve">4) public charge requirement. Now, the I-864 is only considered to be one factor in the totality of the circumstances. The things a consular officer can consider include (a) age, (b) health, (c) family status, (d) assets, resources, financial status, and (e) education and skills. In the end, its up to the officer’s discretion to determine if someone is inadmissible or not, instead of simply comparing numbers on </w:t>
      </w:r>
      <w:proofErr w:type="gramStart"/>
      <w:r w:rsidRPr="00F933AF">
        <w:rPr>
          <w:rFonts w:cs="Calibri"/>
          <w:sz w:val="16"/>
        </w:rPr>
        <w:t>the I</w:t>
      </w:r>
      <w:proofErr w:type="gramEnd"/>
      <w:r w:rsidRPr="00F933AF">
        <w:rPr>
          <w:rFonts w:cs="Calibri"/>
          <w:sz w:val="16"/>
        </w:rPr>
        <w:t xml:space="preserve">-864 and its supporting documents. What We’re Seeing </w:t>
      </w:r>
      <w:r w:rsidRPr="00F933AF">
        <w:rPr>
          <w:rStyle w:val="StyleUnderline"/>
          <w:rFonts w:cs="Calibri"/>
        </w:rPr>
        <w:t xml:space="preserve">We’re already beginning to see an </w:t>
      </w:r>
      <w:r w:rsidRPr="00F933AF">
        <w:rPr>
          <w:rStyle w:val="Emphasis"/>
          <w:rFonts w:cs="Calibri"/>
        </w:rPr>
        <w:t>increase in denials</w:t>
      </w:r>
      <w:r w:rsidRPr="00F933AF">
        <w:rPr>
          <w:rStyle w:val="StyleUnderline"/>
          <w:rFonts w:cs="Calibri"/>
        </w:rPr>
        <w:t xml:space="preserve"> on public charge grounds</w:t>
      </w:r>
      <w:r w:rsidRPr="00F933AF">
        <w:rPr>
          <w:rFonts w:cs="Calibri"/>
          <w:sz w:val="16"/>
        </w:rPr>
        <w:t xml:space="preserve">, especially out of Ciudad Juarez (CDJ), which processes all of the immigrant visas in Mexico. </w:t>
      </w:r>
      <w:r w:rsidRPr="00F933AF">
        <w:rPr>
          <w:rStyle w:val="StyleUnderline"/>
          <w:rFonts w:cs="Calibri"/>
        </w:rPr>
        <w:t xml:space="preserve">Denying a case on public charge grounds also revokes any approval of an </w:t>
      </w:r>
      <w:hyperlink r:id="rId186" w:history="1">
        <w:r w:rsidRPr="00F933AF">
          <w:rPr>
            <w:rStyle w:val="StyleUnderline"/>
            <w:rFonts w:cs="Calibri"/>
          </w:rPr>
          <w:t>I-601A</w:t>
        </w:r>
      </w:hyperlink>
      <w:r w:rsidRPr="00F933AF">
        <w:rPr>
          <w:rStyle w:val="StyleUnderline"/>
          <w:rFonts w:cs="Calibri"/>
        </w:rPr>
        <w:t xml:space="preserve">, which is a huge detriment to applicants because it becomes </w:t>
      </w:r>
      <w:r w:rsidRPr="00F933AF">
        <w:rPr>
          <w:rStyle w:val="Emphasis"/>
          <w:rFonts w:cs="Calibri"/>
        </w:rPr>
        <w:t>wasted months, time, and money</w:t>
      </w:r>
      <w:r w:rsidRPr="00F933AF">
        <w:rPr>
          <w:rStyle w:val="StyleUnderline"/>
          <w:rFonts w:cs="Calibri"/>
        </w:rPr>
        <w:t xml:space="preserve">. It also means that immigrants who are denied on public charge grounds need to file a </w:t>
      </w:r>
      <w:hyperlink r:id="rId187" w:history="1">
        <w:r w:rsidRPr="00F933AF">
          <w:rPr>
            <w:rStyle w:val="StyleUnderline"/>
            <w:rFonts w:cs="Calibri"/>
          </w:rPr>
          <w:t>waiver of inadmissibility</w:t>
        </w:r>
      </w:hyperlink>
      <w:r w:rsidRPr="00F933AF">
        <w:rPr>
          <w:rStyle w:val="StyleUnderline"/>
          <w:rFonts w:cs="Calibri"/>
        </w:rPr>
        <w:t xml:space="preserve"> outside the United States, and </w:t>
      </w:r>
      <w:r w:rsidRPr="00F933AF">
        <w:rPr>
          <w:rStyle w:val="Emphasis"/>
          <w:rFonts w:cs="Calibri"/>
        </w:rPr>
        <w:t>the current processing times are over a year. This could prove to tear families apart and unduly burden hardworking Americans who need their loved ones in the U.S.</w:t>
      </w:r>
    </w:p>
    <w:p w:rsidR="009B5BE6" w:rsidRDefault="009B5BE6" w:rsidP="009B5BE6">
      <w:pPr>
        <w:pStyle w:val="Heading3"/>
      </w:pPr>
      <w:r>
        <w:t>Form I-864 Turn</w:t>
      </w:r>
    </w:p>
    <w:p w:rsidR="009B5BE6" w:rsidRPr="0023169C" w:rsidRDefault="009B5BE6" w:rsidP="009B5BE6">
      <w:pPr>
        <w:pStyle w:val="Heading4"/>
      </w:pPr>
      <w:r w:rsidRPr="0023169C">
        <w:t>Form I-864 to prove applicants meet public charge restrictions adds delay to backlog</w:t>
      </w:r>
    </w:p>
    <w:p w:rsidR="009B5BE6" w:rsidRPr="0023169C" w:rsidRDefault="009B5BE6" w:rsidP="009B5BE6">
      <w:r w:rsidRPr="0023169C">
        <w:rPr>
          <w:rStyle w:val="Style13ptBold"/>
        </w:rPr>
        <w:t>Williams Law 16</w:t>
      </w:r>
      <w:r w:rsidRPr="0023169C">
        <w:t xml:space="preserve"> (Dylan Williams Law LLC, 5/28/16, “Immigrant Visa Process: Delays and Setbacks”, http://dyanwilliamslaw.com/2016/05/immigrant-visa-process-delays-and-setbacks/)/CWB</w:t>
      </w:r>
    </w:p>
    <w:p w:rsidR="009B5BE6" w:rsidRDefault="009B5BE6" w:rsidP="009B5BE6">
      <w:pPr>
        <w:rPr>
          <w:sz w:val="16"/>
        </w:rPr>
      </w:pPr>
      <w:r w:rsidRPr="0023169C">
        <w:rPr>
          <w:rStyle w:val="StyleUnderline"/>
        </w:rPr>
        <w:t xml:space="preserve">Delays and Setbacks Backlog in the Preference Categories </w:t>
      </w:r>
      <w:proofErr w:type="gramStart"/>
      <w:r w:rsidRPr="0023169C">
        <w:rPr>
          <w:rStyle w:val="StyleUnderline"/>
        </w:rPr>
        <w:t>The</w:t>
      </w:r>
      <w:proofErr w:type="gramEnd"/>
      <w:r w:rsidRPr="0023169C">
        <w:rPr>
          <w:rStyle w:val="StyleUnderline"/>
        </w:rPr>
        <w:t xml:space="preserve"> priority date marks the applicant’s place in the visa queue</w:t>
      </w:r>
      <w:r w:rsidRPr="0023169C">
        <w:rPr>
          <w:sz w:val="16"/>
        </w:rPr>
        <w:t xml:space="preserve">. In family-sponsored, preference categories, the priority date is the date USCIS received the Form I-130, Petition for Alien Relative, or in certain cases, the Form I-360, Petition for Amerasian, Widow(er) or Special Immigrant. In employment-based categories, the priority date is the date the Department of Labor (DOL) received the application for alien labor certification or the date USCIS received the I-140 petition (if no alien labor certification is required). In certain cases, it’s the date USCIS received the Form I-360 petition (EB-4, fourth preference category) or the Form I-526, Immigrant Petition by Alien Entrepreneur (EB-5, fifth preference category). In October 2015, the Department of State made </w:t>
      </w:r>
      <w:hyperlink r:id="rId188" w:tgtFrame="_blank" w:history="1">
        <w:r w:rsidRPr="0023169C">
          <w:rPr>
            <w:rStyle w:val="Hyperlink"/>
            <w:sz w:val="16"/>
          </w:rPr>
          <w:t>changes to the monthly Visa Bulletin</w:t>
        </w:r>
      </w:hyperlink>
      <w:r w:rsidRPr="0023169C">
        <w:rPr>
          <w:sz w:val="16"/>
        </w:rPr>
        <w:t xml:space="preserve"> so there are now two different dates to track: the Application Final Action Dates (AFAD) and the Dates for Filing Applications (DFA). AFADs are the cut-off dates that determine when an immigrant visa becomes available. If your priority date is earlier than the cut-off date in the AFAD chart, or the AFAD is “current” (“C”) for the preference category and country of chargeabilty, you may receive an immigrant visa following completion of the application process. DFAs are the cut-off dates that determine when the applicant should receive instructions from the NVC to submit documents for consular processing. When your priority date is earlier than the cut-off date in the DFA chart, you may submit required documents to the NVC, following receipt of instructions to do so. When demand exceeds supply of visas for a given year in a given category or country, a visa backlog forms. It usually takes several years for a visa to become available. In the F4 (brother or sister of adult U.S. citizen) category, for example, the wait for a visa to become available is usually 10+ years. Challenges with Submitting Required Forms and Documents At the appropriate time, </w:t>
      </w:r>
      <w:r w:rsidRPr="0023169C">
        <w:rPr>
          <w:rStyle w:val="StyleUnderline"/>
        </w:rPr>
        <w:t>the NVC will send instructions to the visa applicant to pay the appropriate fees</w:t>
      </w:r>
      <w:r w:rsidRPr="0023169C">
        <w:rPr>
          <w:sz w:val="16"/>
        </w:rPr>
        <w:t xml:space="preserve">: Form DS-260, online immigrant visa application fee, and </w:t>
      </w:r>
      <w:r w:rsidRPr="0023169C">
        <w:rPr>
          <w:rStyle w:val="StyleUnderline"/>
        </w:rPr>
        <w:t>Form I-864, Affidavit of Support fee</w:t>
      </w:r>
      <w:r w:rsidRPr="0023169C">
        <w:rPr>
          <w:sz w:val="16"/>
        </w:rPr>
        <w:t xml:space="preserve"> (in all family-based immigration cases and in certain employment-based immigration cases). </w:t>
      </w:r>
      <w:r w:rsidRPr="0023169C">
        <w:rPr>
          <w:rStyle w:val="StyleUnderline"/>
        </w:rPr>
        <w:t>After the fees are paid, the NVC will request the visa applicant to submit the required documents</w:t>
      </w:r>
      <w:r w:rsidRPr="0023169C">
        <w:rPr>
          <w:sz w:val="16"/>
        </w:rPr>
        <w:t xml:space="preserve">, including DS-260 application form and civil documents (e.g. birth certificate, police certificate, and photocopy of valid passport biographic data page). </w:t>
      </w:r>
      <w:r w:rsidRPr="0023169C">
        <w:rPr>
          <w:rStyle w:val="StyleUnderline"/>
        </w:rPr>
        <w:t xml:space="preserve">Visa applicants must also submit a Form I-864 and supporting financial documents </w:t>
      </w:r>
      <w:hyperlink r:id="rId189" w:tgtFrame="_blank" w:history="1">
        <w:r w:rsidRPr="0023169C">
          <w:rPr>
            <w:rStyle w:val="StyleUnderline"/>
          </w:rPr>
          <w:t>proving they will not become a public charge</w:t>
        </w:r>
      </w:hyperlink>
      <w:r w:rsidRPr="0023169C">
        <w:rPr>
          <w:rStyle w:val="StyleUnderline"/>
        </w:rPr>
        <w:t xml:space="preserve"> to the U.S. government (in all family-based immigration cases, and in certain employment-based immigration cases where a U.S. citizen or permanent resident relative filed the Form I-140 petition or where such a relative has a significant ownership interest in the entity that filed the petition). The NVC will issue a Request for Evidence if the visa applicant fails to submit all the required documents, such as his birth certificate, police certificate, and Form I-864 with supporting financial evidence</w:t>
      </w:r>
      <w:r w:rsidRPr="0023169C">
        <w:rPr>
          <w:sz w:val="16"/>
        </w:rPr>
        <w:t>.</w:t>
      </w:r>
    </w:p>
    <w:p w:rsidR="009B5BE6" w:rsidRDefault="009B5BE6" w:rsidP="009B5BE6">
      <w:pPr>
        <w:pStyle w:val="Heading3"/>
      </w:pPr>
      <w:r>
        <w:t>Physicals Turn</w:t>
      </w:r>
    </w:p>
    <w:p w:rsidR="009B5BE6" w:rsidRDefault="009B5BE6" w:rsidP="009B5BE6">
      <w:pPr>
        <w:pStyle w:val="Heading4"/>
      </w:pPr>
      <w:r>
        <w:t>Public charge restrictions require physicals which add to the delay and backlog</w:t>
      </w:r>
    </w:p>
    <w:p w:rsidR="009B5BE6" w:rsidRPr="002B0D41" w:rsidRDefault="009B5BE6" w:rsidP="009B5BE6">
      <w:r w:rsidRPr="002B0D41">
        <w:rPr>
          <w:rStyle w:val="Style13ptBold"/>
        </w:rPr>
        <w:t>Morales nd</w:t>
      </w:r>
      <w:r>
        <w:t xml:space="preserve"> (Jeanne Morales, JD from Texas Tech, immigration attorney, not dated, “</w:t>
      </w:r>
      <w:r>
        <w:rPr>
          <w:shd w:val="clear" w:color="auto" w:fill="FFFFFF"/>
        </w:rPr>
        <w:t xml:space="preserve">Renewing Green Cards”, </w:t>
      </w:r>
      <w:r w:rsidRPr="002B0D41">
        <w:rPr>
          <w:shd w:val="clear" w:color="auto" w:fill="FFFFFF"/>
        </w:rPr>
        <w:t>http://www.jeannemorales.com/immigration/u-s-green-card/common-green-card-issues/renewing-green-cards/</w:t>
      </w:r>
      <w:r>
        <w:rPr>
          <w:shd w:val="clear" w:color="auto" w:fill="FFFFFF"/>
        </w:rPr>
        <w:t>)/CWB</w:t>
      </w:r>
    </w:p>
    <w:p w:rsidR="009B5BE6" w:rsidRPr="002B0D41" w:rsidRDefault="009B5BE6" w:rsidP="009B5BE6">
      <w:pPr>
        <w:rPr>
          <w:sz w:val="16"/>
        </w:rPr>
      </w:pPr>
      <w:r w:rsidRPr="002B0D41">
        <w:rPr>
          <w:sz w:val="16"/>
        </w:rPr>
        <w:t xml:space="preserve">Jeanne Morales: </w:t>
      </w:r>
      <w:r w:rsidRPr="002B0D41">
        <w:rPr>
          <w:rStyle w:val="StyleUnderline"/>
        </w:rPr>
        <w:t>With most things that we submit to the government, there’s no firm timeline. There’s a huge demand for these types of things, depending on which service center.</w:t>
      </w:r>
      <w:r w:rsidRPr="002B0D41">
        <w:rPr>
          <w:sz w:val="16"/>
        </w:rPr>
        <w:t xml:space="preserve"> The government splits the work between different centers in the United States. They all have different processing times. The only thing that does have a deadline is a work permit. Those have to be processed in 90 days. Other than that, the processing can take 90 days to nine months. </w:t>
      </w:r>
      <w:r w:rsidRPr="002B0D41">
        <w:rPr>
          <w:rStyle w:val="StyleUnderline"/>
        </w:rPr>
        <w:t>It depends on what’s going on with the backlog. If there’s anything wrong with your situation, if since the last time you renewed your green card, you’ve gotten a criminal record or something like that, will cause a delay for sure. Sometimes the delay is just a backlog.</w:t>
      </w:r>
      <w:r w:rsidRPr="002B0D41">
        <w:rPr>
          <w:sz w:val="16"/>
        </w:rPr>
        <w:t xml:space="preserve"> Initial Physical Interviewer: Does a person have to submit to any sort of tests, like medical tests? Jeanne Morales: </w:t>
      </w:r>
      <w:r w:rsidRPr="002B0D41">
        <w:rPr>
          <w:rStyle w:val="StyleUnderline"/>
        </w:rPr>
        <w:t>To get the initial green card you, as part of the process, you’ll have to get an immigrant physical.</w:t>
      </w:r>
      <w:r w:rsidRPr="002B0D41">
        <w:rPr>
          <w:sz w:val="16"/>
        </w:rPr>
        <w:t xml:space="preserve"> There are two main goals in requiring the immigrant physical. 1) Is to make sure you have all necessary inoculations and you are not currently contagious with something like tuberculosis or things like that. You only have to do complete the physical once, when you first get your green card. 2) As part of the initial process, </w:t>
      </w:r>
      <w:r w:rsidRPr="002B0D41">
        <w:rPr>
          <w:rStyle w:val="StyleUnderline"/>
        </w:rPr>
        <w:t>the person sponsoring you has to file some paperwork showing that the household has sufficient income to insure that you won’t become a public charge. There are documents about income and tax returns that your sponsor must file in order to prove to the government that you’re not going to enter the United States, then immediately go on welfare.</w:t>
      </w:r>
    </w:p>
    <w:p w:rsidR="00183BF2" w:rsidRDefault="00183BF2" w:rsidP="00183BF2"/>
    <w:p w:rsidR="006F6EF3" w:rsidRPr="005D033A" w:rsidRDefault="006F6EF3" w:rsidP="006F6EF3">
      <w:pPr>
        <w:pStyle w:val="Heading2"/>
      </w:pPr>
      <w:r>
        <w:t>AT</w:t>
      </w:r>
      <w:r w:rsidR="00B059DC">
        <w:t>:</w:t>
      </w:r>
      <w:r>
        <w:t xml:space="preserve"> Crime DA</w:t>
      </w:r>
    </w:p>
    <w:p w:rsidR="006F6EF3" w:rsidRDefault="006F6EF3" w:rsidP="006F6EF3">
      <w:pPr>
        <w:pStyle w:val="Heading4"/>
      </w:pPr>
      <w:r>
        <w:t>The neg’s internal link is morally and statistically wrong—immigrants are less likely to commit crimes than native citizens—their crisis rhetoric replicates the same xenophobic rhetoric which was employed to exclude immigrants on the basis on mental health</w:t>
      </w:r>
    </w:p>
    <w:p w:rsidR="006F6EF3" w:rsidRPr="0039206E" w:rsidRDefault="006F6EF3" w:rsidP="006F6EF3">
      <w:r>
        <w:rPr>
          <w:b/>
        </w:rPr>
        <w:t xml:space="preserve">Moore 17 </w:t>
      </w:r>
      <w:r w:rsidRPr="006561C8">
        <w:rPr>
          <w:sz w:val="18"/>
          <w:szCs w:val="18"/>
        </w:rPr>
        <w:t xml:space="preserve">(Andrew F. Moore, associate professor of law at the University of Detroit Mercy School of Law, Lexis Nexis, “The Immigration Paradox: Protecting Immigrants </w:t>
      </w:r>
      <w:proofErr w:type="gramStart"/>
      <w:r w:rsidRPr="006561C8">
        <w:rPr>
          <w:sz w:val="18"/>
          <w:szCs w:val="18"/>
        </w:rPr>
        <w:t>Through</w:t>
      </w:r>
      <w:proofErr w:type="gramEnd"/>
      <w:r w:rsidRPr="006561C8">
        <w:rPr>
          <w:sz w:val="18"/>
          <w:szCs w:val="18"/>
        </w:rPr>
        <w:t xml:space="preserve"> Better Mental Health Care,</w:t>
      </w:r>
      <w:r>
        <w:rPr>
          <w:sz w:val="18"/>
          <w:szCs w:val="18"/>
        </w:rPr>
        <w:t>” V. Ways to Address the Problem,</w:t>
      </w:r>
      <w:r w:rsidRPr="006561C8">
        <w:rPr>
          <w:sz w:val="18"/>
          <w:szCs w:val="18"/>
        </w:rPr>
        <w:t xml:space="preserve"> 2017, pg. </w:t>
      </w:r>
      <w:r>
        <w:rPr>
          <w:sz w:val="18"/>
          <w:szCs w:val="18"/>
        </w:rPr>
        <w:t>12-</w:t>
      </w:r>
      <w:r w:rsidRPr="006561C8">
        <w:rPr>
          <w:sz w:val="18"/>
          <w:szCs w:val="18"/>
        </w:rPr>
        <w:t>1</w:t>
      </w:r>
      <w:r>
        <w:rPr>
          <w:sz w:val="18"/>
          <w:szCs w:val="18"/>
        </w:rPr>
        <w:t>3</w:t>
      </w:r>
      <w:r w:rsidRPr="006561C8">
        <w:rPr>
          <w:sz w:val="18"/>
          <w:szCs w:val="18"/>
        </w:rPr>
        <w:t>)//jy</w:t>
      </w:r>
    </w:p>
    <w:p w:rsidR="006F6EF3" w:rsidRDefault="006F6EF3" w:rsidP="006F6EF3">
      <w:pPr>
        <w:rPr>
          <w:sz w:val="14"/>
        </w:rPr>
      </w:pPr>
      <w:r w:rsidRPr="000F61B0">
        <w:rPr>
          <w:sz w:val="14"/>
        </w:rPr>
        <w:t xml:space="preserve">V. Ways to Address the Problem The main challenge to advocating for expanded access to mental health care for immigrants comes in the age-old framing of the issue as one of unworthy immigrants draining national resources. </w:t>
      </w:r>
      <w:proofErr w:type="gramStart"/>
      <w:r w:rsidRPr="000F61B0">
        <w:rPr>
          <w:sz w:val="14"/>
        </w:rPr>
        <w:t>n309</w:t>
      </w:r>
      <w:proofErr w:type="gramEnd"/>
      <w:r w:rsidRPr="000F61B0">
        <w:rPr>
          <w:sz w:val="14"/>
        </w:rPr>
        <w:t xml:space="preserve"> </w:t>
      </w:r>
      <w:r w:rsidRPr="00AC2FAC">
        <w:rPr>
          <w:u w:val="single"/>
        </w:rPr>
        <w:t>For opponents of increased expenditures for mental health</w:t>
      </w:r>
      <w:r w:rsidRPr="000F61B0">
        <w:rPr>
          <w:sz w:val="14"/>
        </w:rPr>
        <w:t xml:space="preserve">, the </w:t>
      </w:r>
      <w:r w:rsidRPr="000F61B0">
        <w:rPr>
          <w:i/>
          <w:sz w:val="14"/>
        </w:rPr>
        <w:t>removal statistics</w:t>
      </w:r>
      <w:r w:rsidRPr="000F61B0">
        <w:rPr>
          <w:sz w:val="14"/>
        </w:rPr>
        <w:t xml:space="preserve"> above </w:t>
      </w:r>
      <w:r w:rsidRPr="00AC2FAC">
        <w:rPr>
          <w:u w:val="single"/>
        </w:rPr>
        <w:t>only strengthen the argument for having a more aggressive removal system</w:t>
      </w:r>
      <w:r w:rsidRPr="000F61B0">
        <w:rPr>
          <w:sz w:val="14"/>
        </w:rPr>
        <w:t xml:space="preserve">. </w:t>
      </w:r>
      <w:proofErr w:type="gramStart"/>
      <w:r w:rsidRPr="000F61B0">
        <w:rPr>
          <w:sz w:val="14"/>
        </w:rPr>
        <w:t>n310</w:t>
      </w:r>
      <w:proofErr w:type="gramEnd"/>
      <w:r w:rsidRPr="000F61B0">
        <w:rPr>
          <w:sz w:val="14"/>
        </w:rPr>
        <w:t xml:space="preserve"> </w:t>
      </w:r>
      <w:r w:rsidRPr="00AC2FAC">
        <w:rPr>
          <w:u w:val="single"/>
        </w:rPr>
        <w:t>Their belief is that immigrants are more likely to be dependent and commit crimes that disrupt the fabric of our society</w:t>
      </w:r>
      <w:r w:rsidRPr="000F61B0">
        <w:rPr>
          <w:sz w:val="14"/>
        </w:rPr>
        <w:t xml:space="preserve">. </w:t>
      </w:r>
      <w:proofErr w:type="gramStart"/>
      <w:r w:rsidRPr="000F61B0">
        <w:rPr>
          <w:sz w:val="14"/>
        </w:rPr>
        <w:t>n311</w:t>
      </w:r>
      <w:proofErr w:type="gramEnd"/>
      <w:r w:rsidRPr="000F61B0">
        <w:rPr>
          <w:sz w:val="14"/>
        </w:rPr>
        <w:t xml:space="preserve"> </w:t>
      </w:r>
      <w:r w:rsidRPr="00AC2FAC">
        <w:rPr>
          <w:u w:val="single"/>
        </w:rPr>
        <w:t>The reasons for these misperceptions stretch back to the beginnings of this country</w:t>
      </w:r>
      <w:r w:rsidRPr="000F61B0">
        <w:rPr>
          <w:sz w:val="14"/>
        </w:rPr>
        <w:t xml:space="preserve"> and reappear with particular force at particular times. n312 [*113] It is a bitter irony that </w:t>
      </w:r>
      <w:r w:rsidRPr="00AC2FAC">
        <w:rPr>
          <w:u w:val="single"/>
        </w:rPr>
        <w:t>professional psychological studies show exactly the opposite of the above assumptions</w:t>
      </w:r>
      <w:r w:rsidRPr="000F61B0">
        <w:rPr>
          <w:sz w:val="14"/>
        </w:rPr>
        <w:t xml:space="preserve">. </w:t>
      </w:r>
      <w:proofErr w:type="gramStart"/>
      <w:r w:rsidRPr="000F61B0">
        <w:rPr>
          <w:sz w:val="14"/>
        </w:rPr>
        <w:t>n313</w:t>
      </w:r>
      <w:proofErr w:type="gramEnd"/>
      <w:r w:rsidRPr="000F61B0">
        <w:rPr>
          <w:sz w:val="14"/>
        </w:rPr>
        <w:t xml:space="preserve"> </w:t>
      </w:r>
      <w:r w:rsidRPr="000F61B0">
        <w:rPr>
          <w:u w:val="single"/>
        </w:rPr>
        <w:t xml:space="preserve">Immigrants arrive in the United States with stronger mental health statistics and a lower-than-average manifestation of mental problems and substance abuse problems. </w:t>
      </w:r>
      <w:r w:rsidRPr="000F61B0">
        <w:rPr>
          <w:sz w:val="14"/>
        </w:rPr>
        <w:t xml:space="preserve">Their mental health and substance abuse problems increase the longer they are in the United States. </w:t>
      </w:r>
      <w:proofErr w:type="gramStart"/>
      <w:r w:rsidRPr="000F61B0">
        <w:rPr>
          <w:sz w:val="14"/>
        </w:rPr>
        <w:t>n314</w:t>
      </w:r>
      <w:proofErr w:type="gramEnd"/>
      <w:r w:rsidRPr="000F61B0">
        <w:rPr>
          <w:sz w:val="14"/>
        </w:rPr>
        <w:t xml:space="preserve"> Likewise, the </w:t>
      </w:r>
      <w:r w:rsidRPr="000F61B0">
        <w:rPr>
          <w:u w:val="single"/>
        </w:rPr>
        <w:t>perceptions about criminality are contradicted by voluminous data showing that crime does not increase with immigrant concentration and, overall, the crime rate among immigrants is lower than among native-born Americans</w:t>
      </w:r>
      <w:r w:rsidRPr="000F61B0">
        <w:rPr>
          <w:sz w:val="14"/>
        </w:rPr>
        <w:t xml:space="preserve">. n315 There are plenty of sources attempting to strengthen these misperceptions, n316 including the Trump administration's efforts at portraying immigrant crime as particularly bad by directing the U.S. Department of Homeland Security to post anecdotal numbers on the crimes committed by immigrants. </w:t>
      </w:r>
      <w:proofErr w:type="gramStart"/>
      <w:r w:rsidRPr="000F61B0">
        <w:rPr>
          <w:sz w:val="14"/>
        </w:rPr>
        <w:t>n317</w:t>
      </w:r>
      <w:proofErr w:type="gramEnd"/>
      <w:r w:rsidRPr="000F61B0">
        <w:rPr>
          <w:sz w:val="14"/>
        </w:rPr>
        <w:t xml:space="preserve"> There is also a tragic loop of consequences. As noted in the psychological studies, </w:t>
      </w:r>
      <w:r w:rsidRPr="000F61B0">
        <w:rPr>
          <w:u w:val="single"/>
        </w:rPr>
        <w:t>immigrants are less likely to turn to mental health assistance for a variety of reason, including the fear that it</w:t>
      </w:r>
      <w:r w:rsidRPr="000F61B0">
        <w:rPr>
          <w:sz w:val="14"/>
        </w:rPr>
        <w:t xml:space="preserve"> [*114] </w:t>
      </w:r>
      <w:r w:rsidRPr="000F61B0">
        <w:rPr>
          <w:u w:val="single"/>
        </w:rPr>
        <w:t>will be used against them in the immigration system</w:t>
      </w:r>
      <w:r w:rsidRPr="000F61B0">
        <w:rPr>
          <w:sz w:val="14"/>
        </w:rPr>
        <w:t xml:space="preserve">. </w:t>
      </w:r>
      <w:proofErr w:type="gramStart"/>
      <w:r w:rsidRPr="000F61B0">
        <w:rPr>
          <w:sz w:val="14"/>
        </w:rPr>
        <w:t>n318</w:t>
      </w:r>
      <w:proofErr w:type="gramEnd"/>
      <w:r w:rsidRPr="000F61B0">
        <w:rPr>
          <w:sz w:val="14"/>
        </w:rPr>
        <w:t xml:space="preserve"> At the same time, immigrants are perceived as having a greater reliance on public support programs that would include mental health care. </w:t>
      </w:r>
      <w:proofErr w:type="gramStart"/>
      <w:r w:rsidRPr="000F61B0">
        <w:rPr>
          <w:sz w:val="14"/>
        </w:rPr>
        <w:t>n319</w:t>
      </w:r>
      <w:proofErr w:type="gramEnd"/>
      <w:r w:rsidRPr="000F61B0">
        <w:rPr>
          <w:sz w:val="14"/>
        </w:rPr>
        <w:t xml:space="preserve"> </w:t>
      </w:r>
      <w:r w:rsidRPr="000F61B0">
        <w:rPr>
          <w:u w:val="single"/>
        </w:rPr>
        <w:t>Untreated issues result in behavior that reinforces misperceptions about immigrants, promoting the belief that they commit more crimes</w:t>
      </w:r>
      <w:r w:rsidRPr="000F61B0">
        <w:rPr>
          <w:sz w:val="14"/>
        </w:rPr>
        <w:t xml:space="preserve">. </w:t>
      </w:r>
      <w:proofErr w:type="gramStart"/>
      <w:r w:rsidRPr="000F61B0">
        <w:rPr>
          <w:sz w:val="14"/>
        </w:rPr>
        <w:t>n320</w:t>
      </w:r>
      <w:proofErr w:type="gramEnd"/>
      <w:r w:rsidRPr="000F61B0">
        <w:rPr>
          <w:sz w:val="14"/>
        </w:rPr>
        <w:t xml:space="preserve"> Immigration law's emphasis on low-level offenses such as drug possession completes the cycle by requiring their removal. n32</w:t>
      </w:r>
    </w:p>
    <w:p w:rsidR="006F6EF3" w:rsidRDefault="006F6EF3" w:rsidP="006F6EF3"/>
    <w:p w:rsidR="00E5343F" w:rsidRPr="00F933AF" w:rsidRDefault="00E5343F" w:rsidP="0067262B">
      <w:pPr>
        <w:pStyle w:val="Heading1"/>
      </w:pPr>
      <w:r w:rsidRPr="00F933AF">
        <w:t>AT: Ks</w:t>
      </w:r>
    </w:p>
    <w:p w:rsidR="00E5343F" w:rsidRDefault="00E5343F" w:rsidP="00F933AF">
      <w:pPr>
        <w:pStyle w:val="Heading2"/>
        <w:rPr>
          <w:rFonts w:cs="Calibri"/>
        </w:rPr>
      </w:pPr>
      <w:r w:rsidRPr="00F933AF">
        <w:rPr>
          <w:rFonts w:cs="Calibri"/>
        </w:rPr>
        <w:t xml:space="preserve">General </w:t>
      </w:r>
    </w:p>
    <w:p w:rsidR="004675AB" w:rsidRPr="004675AB" w:rsidRDefault="004675AB" w:rsidP="004675AB">
      <w:pPr>
        <w:pStyle w:val="Heading3"/>
      </w:pPr>
      <w:r>
        <w:t>Pragmatism</w:t>
      </w:r>
    </w:p>
    <w:p w:rsidR="00E5343F" w:rsidRPr="00F933AF" w:rsidRDefault="00E5343F" w:rsidP="00E5343F">
      <w:pPr>
        <w:pStyle w:val="Heading4"/>
        <w:rPr>
          <w:rStyle w:val="Style13ptBold"/>
          <w:rFonts w:cs="Calibri"/>
          <w:b/>
        </w:rPr>
      </w:pPr>
      <w:r w:rsidRPr="00F933AF">
        <w:rPr>
          <w:rStyle w:val="Style13ptBold"/>
          <w:rFonts w:cs="Calibri"/>
          <w:b/>
        </w:rPr>
        <w:t xml:space="preserve">Political engagement is necessary and can create effective legal change – being critical of squo government policy is different from becoming part of the establishment </w:t>
      </w:r>
    </w:p>
    <w:p w:rsidR="00E5343F" w:rsidRPr="00F933AF" w:rsidRDefault="00E5343F" w:rsidP="00E5343F">
      <w:pPr>
        <w:rPr>
          <w:rFonts w:cs="Calibri"/>
        </w:rPr>
      </w:pPr>
      <w:r w:rsidRPr="00F933AF">
        <w:rPr>
          <w:rStyle w:val="Style13ptBold"/>
          <w:rFonts w:cs="Calibri"/>
        </w:rPr>
        <w:t>Block et al. 15</w:t>
      </w:r>
      <w:r w:rsidRPr="00F933AF">
        <w:rPr>
          <w:rStyle w:val="Style13ptBold"/>
          <w:rFonts w:cs="Calibri"/>
          <w:b w:val="0"/>
          <w:color w:val="000000" w:themeColor="text1"/>
          <w:sz w:val="16"/>
          <w:szCs w:val="16"/>
        </w:rPr>
        <w:t>, Pamela -</w:t>
      </w:r>
      <w:r w:rsidRPr="00F933AF">
        <w:rPr>
          <w:rStyle w:val="Style13ptBold"/>
          <w:rFonts w:cs="Calibri"/>
          <w:color w:val="000000" w:themeColor="text1"/>
          <w:sz w:val="16"/>
          <w:szCs w:val="16"/>
        </w:rPr>
        <w:t xml:space="preserve"> </w:t>
      </w:r>
      <w:r w:rsidRPr="00F933AF">
        <w:rPr>
          <w:rFonts w:cs="Calibri"/>
          <w:color w:val="000000" w:themeColor="text1"/>
          <w:sz w:val="16"/>
          <w:szCs w:val="16"/>
          <w:shd w:val="clear" w:color="auto" w:fill="FFFFFF"/>
        </w:rPr>
        <w:t>Professor and Director of the Concentration in Disability Studies for the Ph.D. Program in Health and Rehabilitation Sciences</w:t>
      </w:r>
      <w:r w:rsidRPr="00F933AF">
        <w:rPr>
          <w:rFonts w:cs="Calibri"/>
          <w:color w:val="000000" w:themeColor="text1"/>
          <w:sz w:val="16"/>
          <w:szCs w:val="16"/>
        </w:rPr>
        <w:t xml:space="preserve"> “Occupying Disability: </w:t>
      </w:r>
      <w:r w:rsidRPr="00F933AF">
        <w:rPr>
          <w:rFonts w:cs="Calibri"/>
          <w:color w:val="000000" w:themeColor="text1"/>
          <w:sz w:val="16"/>
          <w:szCs w:val="16"/>
          <w:shd w:val="clear" w:color="auto" w:fill="FFFFFF"/>
        </w:rPr>
        <w:t>Critical Approaches to Community, Justice, and Decolonizing Disability</w:t>
      </w:r>
      <w:r w:rsidRPr="00F933AF">
        <w:rPr>
          <w:rFonts w:cs="Calibri"/>
          <w:color w:val="000000" w:themeColor="text1"/>
          <w:sz w:val="16"/>
          <w:szCs w:val="16"/>
        </w:rPr>
        <w:t xml:space="preserve">” Pg. 59-60 </w:t>
      </w:r>
    </w:p>
    <w:p w:rsidR="00E5343F" w:rsidRDefault="00E5343F" w:rsidP="00E5343F">
      <w:pPr>
        <w:spacing w:before="100" w:beforeAutospacing="1" w:after="100" w:afterAutospacing="1"/>
        <w:rPr>
          <w:rFonts w:cs="Calibri"/>
          <w:sz w:val="16"/>
        </w:rPr>
      </w:pPr>
      <w:r w:rsidRPr="00F933AF">
        <w:rPr>
          <w:rFonts w:cs="Calibri"/>
          <w:sz w:val="16"/>
        </w:rPr>
        <w:t xml:space="preserve">The question then arises </w:t>
      </w:r>
      <w:r w:rsidRPr="00F933AF">
        <w:rPr>
          <w:rFonts w:cs="Calibri"/>
          <w:u w:val="single"/>
        </w:rPr>
        <w:t>how do we create a culture of equality for people who have some disadvantage in life? We start at the beginning and to make sure people are included in the initial concepts of policy development</w:t>
      </w:r>
      <w:r w:rsidRPr="00F933AF">
        <w:rPr>
          <w:rFonts w:cs="Calibri"/>
          <w:sz w:val="16"/>
        </w:rPr>
        <w:t xml:space="preserve"> not just at the final process. </w:t>
      </w:r>
      <w:r w:rsidRPr="00F933AF">
        <w:rPr>
          <w:rFonts w:cs="Calibri"/>
          <w:u w:val="single"/>
        </w:rPr>
        <w:t>Organizations must have the common thread of involvement &amp; engagement embedded within all aspects of the institution or government body</w:t>
      </w:r>
      <w:r w:rsidRPr="00F933AF">
        <w:rPr>
          <w:rFonts w:cs="Calibri"/>
          <w:sz w:val="16"/>
        </w:rPr>
        <w:t xml:space="preserve">, where from the Chief Executive Officer and chairperson to the front line staff all have a passion and drive for inclusion. Making sure it’s real, not just a shiny publication that looks great, but sits on the shelf gathering dust. </w:t>
      </w:r>
      <w:r w:rsidRPr="00F933AF">
        <w:rPr>
          <w:rFonts w:cs="Calibri"/>
          <w:u w:val="single"/>
        </w:rPr>
        <w:t>This is a job for everyone and the culture may need to shift which can be very challenging for individuals and organizations as a whole, but can be made real if the drive for change is apparent.</w:t>
      </w:r>
      <w:r w:rsidRPr="00F933AF">
        <w:rPr>
          <w:rFonts w:cs="Calibri"/>
          <w:sz w:val="16"/>
        </w:rPr>
        <w:t xml:space="preserve"> </w:t>
      </w:r>
      <w:r w:rsidRPr="00F933AF">
        <w:rPr>
          <w:rFonts w:cs="Calibri"/>
          <w:u w:val="single"/>
        </w:rPr>
        <w:t>To give an example, a mental health trust had a historical lack of involvement and procedures in engaging with its users and carers. A new CEO and Chairman on the board both had a real commitment to turn this around.</w:t>
      </w:r>
      <w:r w:rsidRPr="00F933AF">
        <w:rPr>
          <w:rFonts w:cs="Calibri"/>
          <w:sz w:val="16"/>
        </w:rPr>
        <w:t xml:space="preserve"> They considered the need for a user and career council in which the trust would invest. </w:t>
      </w:r>
      <w:r w:rsidRPr="00F933AF">
        <w:rPr>
          <w:rFonts w:cs="Calibri"/>
          <w:u w:val="single"/>
        </w:rPr>
        <w:t xml:space="preserve">This was not only set up, but from it a sense of culture change was apparent which was fed down to all areas of the trust. </w:t>
      </w:r>
      <w:r w:rsidRPr="00F933AF">
        <w:rPr>
          <w:rFonts w:cs="Calibri"/>
          <w:b/>
          <w:u w:val="single"/>
        </w:rPr>
        <w:t>It was not without its issues but gave a real voice to people who were not only isolated but their illness meant their health fluctuated and found it challenging to engage</w:t>
      </w:r>
      <w:r w:rsidRPr="00F933AF">
        <w:rPr>
          <w:rFonts w:cs="Calibri"/>
          <w:sz w:val="16"/>
        </w:rPr>
        <w:t xml:space="preserve">. So both culture and investment were initiated by key people within the organization. People are the experts not only in their own disability or health issues, and also know what is needed to create an environment in which they would feel happy to contribute to debate, policy, and service reform. </w:t>
      </w:r>
      <w:r w:rsidRPr="00F933AF">
        <w:rPr>
          <w:rFonts w:cs="Calibri"/>
          <w:u w:val="single"/>
        </w:rPr>
        <w:t xml:space="preserve">Many of these aspects are not actually difficult to do and just need some thought and reflection of making sure </w:t>
      </w:r>
      <w:proofErr w:type="gramStart"/>
      <w:r w:rsidRPr="00F933AF">
        <w:rPr>
          <w:rFonts w:cs="Calibri"/>
          <w:u w:val="single"/>
        </w:rPr>
        <w:t>they</w:t>
      </w:r>
      <w:proofErr w:type="gramEnd"/>
      <w:r w:rsidRPr="00F933AF">
        <w:rPr>
          <w:rFonts w:cs="Calibri"/>
          <w:u w:val="single"/>
        </w:rPr>
        <w:t xml:space="preserve"> users that are used by some organizations.</w:t>
      </w:r>
      <w:r w:rsidRPr="00F933AF">
        <w:rPr>
          <w:rFonts w:cs="Calibri"/>
          <w:sz w:val="16"/>
        </w:rPr>
        <w:t xml:space="preserve"> These may well have options such as being involved as a volunteer, making a small one off payment or indeed paying by invoice as someone may be freelance or self-employed, down to making sure people have the taxi fare in cash to get to a venue. This may seem very simple but in many organizations people have had to wait a month or more and go through the accounts system to receive the £5 it cost for travel. While many organizations policies do not allow them to do this, some voluntary organizations can give cash on the day. This comes down to organizations being more flexible. </w:t>
      </w:r>
      <w:r w:rsidRPr="00F933AF">
        <w:rPr>
          <w:rFonts w:cs="Calibri"/>
          <w:b/>
          <w:u w:val="single"/>
        </w:rPr>
        <w:t>While accounting systems may be complex and have to follow national legislation and guidance, if the will is there it can be managed and changed.</w:t>
      </w:r>
      <w:r w:rsidRPr="00F933AF">
        <w:rPr>
          <w:rFonts w:cs="Calibri"/>
          <w:sz w:val="16"/>
        </w:rPr>
        <w:t xml:space="preserve"> Of course engaging experts by experience to deliver training within organizations around inclusion and equality is the gold standard and many examples of this have been found. One very interesting case involves a NHS trust who had some involvement but </w:t>
      </w:r>
      <w:proofErr w:type="gramStart"/>
      <w:r w:rsidRPr="00F933AF">
        <w:rPr>
          <w:rFonts w:cs="Calibri"/>
          <w:sz w:val="16"/>
        </w:rPr>
        <w:t>a was</w:t>
      </w:r>
      <w:proofErr w:type="gramEnd"/>
      <w:r w:rsidRPr="00F933AF">
        <w:rPr>
          <w:rFonts w:cs="Calibri"/>
          <w:sz w:val="16"/>
        </w:rPr>
        <w:t xml:space="preserve"> long way from best practice. By creating new policies for people to be involved with the induction process for new staff, training teams, being part of the training of health professionals it created, if but slowly, a culture where staff expected input by the ex/users of the service. When given a lecture by a mixture of presenters they said it was in fact the users’ talk which provided the most powerful and thought provoking stories and gave them better understanding of the issues people really face. Top ten tips for inclusion and collaboration I believe are: Involvement from the start of any research (ideally). Creating an equal platform with users and academics/managers. Clear and robust induction. Getting the communication right. Getting the payment systems correct before you start. Creating a team that works- regular team meetings and development- collaboration is key. Addressing issues as you go and not leaving to fester. Academics &amp; Managers letting go a bit more. Service users/researchers being able to adapt and not expect everything will go right. Being open and transparent. So its takes drive and a willingness to create the procedures and policy to develop the inclusive and supporting environment people must have to be able to contribute effectively and to sustain this engagement. </w:t>
      </w:r>
      <w:r w:rsidRPr="00F933AF">
        <w:rPr>
          <w:rFonts w:cs="Calibri"/>
          <w:u w:val="single"/>
        </w:rPr>
        <w:t>Individuals need to feel that they are not just a tick in a box and that their involvement will make a real difference</w:t>
      </w:r>
      <w:r w:rsidRPr="00F933AF">
        <w:rPr>
          <w:rFonts w:cs="Calibri"/>
          <w:sz w:val="16"/>
        </w:rPr>
        <w:t xml:space="preserve">. This applies to everyone in the health and social care setting whether social workers or occupational therapists to clinical psychiatrists to managers and chief executives. Everyone has a part to play in the creation of a system that automatically refers and includes the users of services. The more we do this the more it becomes ingrained in the culture of organizations and individuals. With one caveat though, to make sure that continued development and drive for best practice is carried out and not to become complacent. </w:t>
      </w:r>
      <w:r w:rsidRPr="00F933AF">
        <w:rPr>
          <w:rFonts w:cs="Calibri"/>
          <w:u w:val="single"/>
        </w:rPr>
        <w:t xml:space="preserve">On reflection, in my own personal experience these initiatives can work and people can influence policy. </w:t>
      </w:r>
      <w:r w:rsidRPr="00F933AF">
        <w:rPr>
          <w:rFonts w:cs="Calibri"/>
          <w:b/>
          <w:u w:val="single"/>
        </w:rPr>
        <w:t>Why should we have to resort to marching down the streets and demonstrations to get heard or our views across? While this may be of use when pushed into a corner and indeed long term radical action may be needed to actually change for the better, we should not have to do this</w:t>
      </w:r>
      <w:r w:rsidRPr="00F933AF">
        <w:rPr>
          <w:rFonts w:cs="Calibri"/>
          <w:b/>
          <w:sz w:val="16"/>
        </w:rPr>
        <w:t>.</w:t>
      </w:r>
      <w:r w:rsidRPr="00F933AF">
        <w:rPr>
          <w:rFonts w:cs="Calibri"/>
          <w:sz w:val="16"/>
        </w:rPr>
        <w:t xml:space="preserve"> </w:t>
      </w:r>
      <w:r w:rsidRPr="00F933AF">
        <w:rPr>
          <w:rFonts w:cs="Calibri"/>
          <w:u w:val="single"/>
        </w:rPr>
        <w:t>Making sure people are seated at the table and are included in discussions, and people listen and create action that individuals can see actually happening is vital. We also must remember the fine line we tread when dealing with government policy- while we need to be a critical friend we do not cross the line to become just another part of the establishment</w:t>
      </w:r>
      <w:r w:rsidRPr="00F933AF">
        <w:rPr>
          <w:rFonts w:cs="Calibri"/>
          <w:sz w:val="16"/>
        </w:rPr>
        <w:t xml:space="preserve">. Having the independence is a critical feature in all this potential change. I have seen people and organizations that start off with the best intentions but then get absorbed in the system and then their credibility is lost. For my own personal journey I have come across many negative attitudes and stone walls which needed knocking down. Saying this, those </w:t>
      </w:r>
      <w:r w:rsidRPr="00F933AF">
        <w:rPr>
          <w:rFonts w:cs="Calibri"/>
          <w:u w:val="single"/>
        </w:rPr>
        <w:t>organizations and individuals who actually engaged and went beyond their roles to create the positive change made such a difference.</w:t>
      </w:r>
      <w:r w:rsidRPr="00F933AF">
        <w:rPr>
          <w:rFonts w:cs="Calibri"/>
          <w:sz w:val="16"/>
        </w:rPr>
        <w:t xml:space="preserve"> Recovery can also be a part of this process if implemented in the right way and helps with healing and management of health conditions. There is a huge resource of people out there who have gained experiential knowledge of their own health and disability. </w:t>
      </w:r>
      <w:r w:rsidRPr="00F933AF">
        <w:rPr>
          <w:rFonts w:cs="Calibri"/>
          <w:u w:val="single"/>
        </w:rPr>
        <w:t>Make sure that the core part of any policy and practice is to involve and engage these people</w:t>
      </w:r>
      <w:r w:rsidRPr="00F933AF">
        <w:rPr>
          <w:rFonts w:cs="Calibri"/>
          <w:sz w:val="16"/>
        </w:rPr>
        <w:t xml:space="preserve"> in order to develop the core needs of health professionals’ research projects and training. Not everyone will want to be involved but give them the choice and they will take you from textbook theory to real life and beyond. </w:t>
      </w:r>
    </w:p>
    <w:p w:rsidR="004675AB" w:rsidRDefault="004675AB" w:rsidP="004675AB">
      <w:pPr>
        <w:pStyle w:val="Heading4"/>
      </w:pPr>
      <w:r>
        <w:t>A focus on epistemology is infinitely regressive and prevents reorientation towards a democratic community—pragmatism is a prerequisite to an effective politics of difference</w:t>
      </w:r>
    </w:p>
    <w:p w:rsidR="004675AB" w:rsidRPr="005C24D6" w:rsidRDefault="004675AB" w:rsidP="004675AB">
      <w:r>
        <w:rPr>
          <w:b/>
        </w:rPr>
        <w:t xml:space="preserve">Danforth 6 </w:t>
      </w:r>
      <w:r w:rsidRPr="00344372">
        <w:rPr>
          <w:sz w:val="18"/>
          <w:szCs w:val="18"/>
        </w:rPr>
        <w:t>(Scot Danforth, Sage Journals, 11/1/6, “From Epistemology to Democracy: Pragmatism and the Reorientation of Disability Research,” pg. 338</w:t>
      </w:r>
      <w:r>
        <w:rPr>
          <w:sz w:val="18"/>
          <w:szCs w:val="18"/>
        </w:rPr>
        <w:t>-339</w:t>
      </w:r>
      <w:r w:rsidRPr="00344372">
        <w:rPr>
          <w:sz w:val="18"/>
          <w:szCs w:val="18"/>
        </w:rPr>
        <w:t>)//jy</w:t>
      </w:r>
    </w:p>
    <w:p w:rsidR="004675AB" w:rsidRPr="00C04F83" w:rsidRDefault="004675AB" w:rsidP="004675AB">
      <w:pPr>
        <w:rPr>
          <w:sz w:val="12"/>
        </w:rPr>
      </w:pPr>
      <w:r w:rsidRPr="00D55717">
        <w:rPr>
          <w:sz w:val="12"/>
        </w:rPr>
        <w:t xml:space="preserve">Pressing the argument a step further, it is possible that </w:t>
      </w:r>
      <w:r w:rsidRPr="00DB4ACD">
        <w:rPr>
          <w:u w:val="single"/>
        </w:rPr>
        <w:t>new opportunities</w:t>
      </w:r>
      <w:r w:rsidRPr="00D55717">
        <w:rPr>
          <w:sz w:val="12"/>
        </w:rPr>
        <w:t xml:space="preserve"> for special educators </w:t>
      </w:r>
      <w:r w:rsidRPr="00DB4ACD">
        <w:rPr>
          <w:u w:val="single"/>
        </w:rPr>
        <w:t>would arise only after the field sets aside the traditional search for an epistemological foundation.</w:t>
      </w:r>
      <w:r w:rsidRPr="00D55717">
        <w:rPr>
          <w:sz w:val="12"/>
        </w:rPr>
        <w:t xml:space="preserve"> It may be that </w:t>
      </w:r>
      <w:r w:rsidRPr="00DB4ACD">
        <w:rPr>
          <w:u w:val="single"/>
        </w:rPr>
        <w:t>dropping the need for an epistemological foundation will allow</w:t>
      </w:r>
      <w:r w:rsidRPr="00D55717">
        <w:rPr>
          <w:sz w:val="12"/>
        </w:rPr>
        <w:t xml:space="preserve"> special educators to </w:t>
      </w:r>
      <w:r w:rsidRPr="00DB4ACD">
        <w:rPr>
          <w:u w:val="single"/>
        </w:rPr>
        <w:t>focus on creating community and building solidarity across lines of disability and difference</w:t>
      </w:r>
      <w:r w:rsidRPr="00D55717">
        <w:rPr>
          <w:sz w:val="12"/>
        </w:rPr>
        <w:t xml:space="preserve">. </w:t>
      </w:r>
      <w:r w:rsidRPr="00DB4ACD">
        <w:rPr>
          <w:u w:val="single"/>
        </w:rPr>
        <w:t>Our identification with our community</w:t>
      </w:r>
      <w:r w:rsidRPr="00D55717">
        <w:rPr>
          <w:sz w:val="12"/>
        </w:rPr>
        <w:t>—our society, our political tradition, our intellectual heritage—</w:t>
      </w:r>
      <w:r w:rsidRPr="00DB4ACD">
        <w:rPr>
          <w:u w:val="single"/>
        </w:rPr>
        <w:t>is heightened when we see this community as ours rather than Nature’s, shaped rather than found</w:t>
      </w:r>
      <w:r w:rsidRPr="00D55717">
        <w:rPr>
          <w:sz w:val="12"/>
        </w:rPr>
        <w:t xml:space="preserve">. . . . In the end what matters is our loyalty to other human beings clinging together against the dark, not our hope of getting things right. (Rorty, 1982, p. 166) </w:t>
      </w:r>
      <w:r w:rsidRPr="00DB4ACD">
        <w:rPr>
          <w:u w:val="single"/>
        </w:rPr>
        <w:t>Losing our epistemology, so to speak, could open doors for a reorientation of the field away from philosophical foundations and toward democratic community—away from an obsession with being right and toward the social hope of being together</w:t>
      </w:r>
      <w:r w:rsidRPr="00D55717">
        <w:rPr>
          <w:sz w:val="12"/>
        </w:rPr>
        <w:t xml:space="preserve">. In this article, the American philosophy called </w:t>
      </w:r>
      <w:r w:rsidRPr="00DB4ACD">
        <w:rPr>
          <w:u w:val="single"/>
        </w:rPr>
        <w:t>pragmatism is</w:t>
      </w:r>
      <w:r w:rsidRPr="00D55717">
        <w:rPr>
          <w:sz w:val="12"/>
        </w:rPr>
        <w:t xml:space="preserve"> offered as </w:t>
      </w:r>
      <w:r w:rsidRPr="00DB4ACD">
        <w:rPr>
          <w:u w:val="single"/>
        </w:rPr>
        <w:t>a way</w:t>
      </w:r>
      <w:r w:rsidRPr="00D55717">
        <w:rPr>
          <w:sz w:val="12"/>
        </w:rPr>
        <w:t xml:space="preserve"> for special educators</w:t>
      </w:r>
      <w:r w:rsidRPr="00DB4ACD">
        <w:rPr>
          <w:u w:val="single"/>
        </w:rPr>
        <w:t xml:space="preserve"> to constructively evade the thorny epistemological question in order to simultaneously seek ends that are both practical and democratic. </w:t>
      </w:r>
      <w:r w:rsidRPr="00D55717">
        <w:rPr>
          <w:sz w:val="12"/>
        </w:rPr>
        <w:t>Guided by</w:t>
      </w:r>
      <w:r w:rsidRPr="00DB4ACD">
        <w:rPr>
          <w:u w:val="single"/>
        </w:rPr>
        <w:t xml:space="preserve"> pragmatism</w:t>
      </w:r>
      <w:r w:rsidRPr="00D55717">
        <w:rPr>
          <w:sz w:val="12"/>
        </w:rPr>
        <w:t xml:space="preserve">, special educators </w:t>
      </w:r>
      <w:r w:rsidRPr="00B35BEB">
        <w:rPr>
          <w:u w:val="single"/>
        </w:rPr>
        <w:t>can eschew epistemological quagmires in favor of seeking practical solutions to problems</w:t>
      </w:r>
      <w:r w:rsidRPr="00D55717">
        <w:rPr>
          <w:sz w:val="12"/>
        </w:rPr>
        <w:t xml:space="preserve"> confronting students, families, teachers, </w:t>
      </w:r>
      <w:r w:rsidRPr="00B35BEB">
        <w:rPr>
          <w:u w:val="single"/>
        </w:rPr>
        <w:t>and</w:t>
      </w:r>
      <w:r w:rsidRPr="00D55717">
        <w:rPr>
          <w:sz w:val="12"/>
        </w:rPr>
        <w:t xml:space="preserve"> schools. Armed with diligence, hope, and thoughtfulness, pragmatic special educators can </w:t>
      </w:r>
      <w:r w:rsidRPr="00B35BEB">
        <w:rPr>
          <w:u w:val="single"/>
        </w:rPr>
        <w:t xml:space="preserve">work to create inclusive democratic communities of equality and respect. </w:t>
      </w:r>
      <w:r w:rsidRPr="00D55717">
        <w:rPr>
          <w:sz w:val="12"/>
        </w:rPr>
        <w:t xml:space="preserve">Drawing from pragmatism, this article traces an initial, constructive reorientation of the field of special education away from the impractical quest for philosophical bedrock and toward the ambitious challenge of creating liberal democratic communities. This article concludes with a series of concrete proposals for the field of disability research in light of this reorientation. These limited proposals do not exhaust the possibilities of pragmatism or democratic experimentation. They are offered in the spirit of encouraging a diverse, ongoing conversation about how educators might create communities that are more democratic and supportive to all persons without reliance on an epistemological anchor. </w:t>
      </w:r>
      <w:r w:rsidRPr="00C04F83">
        <w:rPr>
          <w:u w:val="single"/>
        </w:rPr>
        <w:t>With great frequency and passion, special education researchers have returned to the same philosophical conundrum</w:t>
      </w:r>
      <w:r w:rsidRPr="00C04F83">
        <w:rPr>
          <w:sz w:val="12"/>
        </w:rPr>
        <w:t xml:space="preserve">. Over the past 3 decades, special education researchers have supplied a steady stream of arguments supporting a variety of philosophies of social inquiry (Danforth, 2001; Forness &amp; Kavale, 1987; Gallagher, 1998; Gerber, 2001; Greenwood, 2001; Heward, 2003; Heshusius, 1982, 1984, 1988, 1989; Iano, 1986, 1987; Kauffman, 1999, 2002; Kavale &amp; Mostert, 2003; Mostert &amp; Kavale, 2001; Poplin, 1987, 1988; Sasso, 2001). Researchers have returned time and again to debate philosophy of inquiry issues in the pages of disability research journals, repeatedly seeking to provide a firm philosophical foundation for special education research. </w:t>
      </w:r>
      <w:r w:rsidRPr="00C04F83">
        <w:rPr>
          <w:u w:val="single"/>
        </w:rPr>
        <w:t>The fundamental problem in these many discussions concerns epistemology.</w:t>
      </w:r>
      <w:r w:rsidRPr="00C04F83">
        <w:rPr>
          <w:sz w:val="12"/>
        </w:rPr>
        <w:t xml:space="preserve"> Paul (2005, p. 329) defined epistemology as the theory of knowledge, or the study of the nature of knowledge. Important questions focus on the nature of knowledge; the place of experience in generating knowledge and the place of reason in doing so; relationships between knowledge and certainty and between knowledge and error; and the changing forms of knowledge that arise from new conceptualizations of the world. Guba (1990) described three primary epistemological positions (paradigms, in Kuhnian terms) in educational research: postpositivism, critical theory, and constructivism. Paul (2005) went much further, detailing nine different perspectives on social research, each asserting and putting into practice a different theory of knowledge. The many philosophical positions proposed by disability researchers address the central epistemological question, “What counts as knowledge?” This epistemological question matters deeply in terms of the kinds of research and scholarship produced and valued—or not produced and not valued— in the special education field. For example, epistemological positions taken by research journal editors and grant funding agencies have a profound influence on the nature of special education knowledge, the social purposes of the profession, the accepted theories of disability, and the promulgated practices used by teachers. In recent years, editors at one research journal have claimed positivism as the official epistemological posture of the journal (Kauffman &amp; Brigham, 1999). Likewise, the U. S. Department of Education in the current Bush administration has taken a “hard science” stance on what counts as knowledge, calling for experimental designs that are more common to medical research than to educational inquiry. In sharp contrast, another journal editor made a public declaration of multiparadigmatic pluralism—an acceptance of research operating from many theories of knowledge (Taylor, 2001). Each of these philosophical stances matters in terms of determining what forms of scholarship are elevated and privileged and what genres are silenced and ignored</w:t>
      </w:r>
      <w:r>
        <w:rPr>
          <w:sz w:val="12"/>
        </w:rPr>
        <w:t xml:space="preserve">. </w:t>
      </w:r>
      <w:r w:rsidRPr="006A6F35">
        <w:rPr>
          <w:u w:val="single"/>
        </w:rPr>
        <w:t>The 3 decades of epistemological debates</w:t>
      </w:r>
      <w:r w:rsidRPr="006A6F35">
        <w:rPr>
          <w:sz w:val="14"/>
        </w:rPr>
        <w:t xml:space="preserve"> among disability researchers </w:t>
      </w:r>
      <w:r w:rsidRPr="006A6F35">
        <w:rPr>
          <w:u w:val="single"/>
        </w:rPr>
        <w:t>have been both beneficial and redundant. On the beneficial side, frank discussions</w:t>
      </w:r>
      <w:r w:rsidRPr="006A6F35">
        <w:rPr>
          <w:sz w:val="14"/>
        </w:rPr>
        <w:t xml:space="preserve"> marked by openness and candor </w:t>
      </w:r>
      <w:r w:rsidRPr="006A6F35">
        <w:rPr>
          <w:u w:val="single"/>
        </w:rPr>
        <w:t>have placed important issues</w:t>
      </w:r>
      <w:r w:rsidRPr="006A6F35">
        <w:rPr>
          <w:sz w:val="14"/>
        </w:rPr>
        <w:t xml:space="preserve">, tensions, and disagreements </w:t>
      </w:r>
      <w:r w:rsidRPr="006A6F35">
        <w:rPr>
          <w:u w:val="single"/>
        </w:rPr>
        <w:t>on the table</w:t>
      </w:r>
      <w:r w:rsidRPr="006A6F35">
        <w:rPr>
          <w:sz w:val="14"/>
        </w:rPr>
        <w:t xml:space="preserve"> for all to consider. Researchers and practitioners alike have been able to learn much about the values and beliefs that unite and divide the field, hopefully facilitating thoughtful discussions at many levels about the purposes of special education research and practice. Paul (2002) stated that special educators should spend more time and effort becoming educated about and discussing philosophy of inquiry issues in order to better comprehend the meaning of changes in social inquiry in the past 30 years. </w:t>
      </w:r>
      <w:r w:rsidRPr="006A6F35">
        <w:rPr>
          <w:u w:val="single"/>
        </w:rPr>
        <w:t>Yet the persistent goal of securing a bedrock philosophical foundation for special education knowledge has remained unfulfilled. Redundancy within the epistemological debate has become evident as these published discussions have failed to forge a philosophical consensus</w:t>
      </w:r>
      <w:r w:rsidRPr="006A6F35">
        <w:rPr>
          <w:sz w:val="14"/>
        </w:rPr>
        <w:t xml:space="preserve">—failed to produce a superior epistemology for the field. </w:t>
      </w:r>
      <w:r w:rsidRPr="006A6F35">
        <w:rPr>
          <w:u w:val="single"/>
        </w:rPr>
        <w:t xml:space="preserve">The pattern of epistemological debate </w:t>
      </w:r>
      <w:r w:rsidRPr="006A6F35">
        <w:rPr>
          <w:sz w:val="14"/>
        </w:rPr>
        <w:t xml:space="preserve">in the special education field </w:t>
      </w:r>
      <w:r w:rsidRPr="006A6F35">
        <w:rPr>
          <w:u w:val="single"/>
        </w:rPr>
        <w:t>bears similarity to</w:t>
      </w:r>
      <w:r w:rsidRPr="006A6F35">
        <w:rPr>
          <w:sz w:val="14"/>
        </w:rPr>
        <w:t xml:space="preserve"> the tired redundancy of watching what Dewey (1969) once called “</w:t>
      </w:r>
      <w:r w:rsidRPr="006A6F35">
        <w:rPr>
          <w:u w:val="single"/>
        </w:rPr>
        <w:t>the weary treadmill which [philosophers] pursue between sensation and thought, subject and object, mind and matter</w:t>
      </w:r>
      <w:r w:rsidRPr="006A6F35">
        <w:rPr>
          <w:sz w:val="14"/>
        </w:rPr>
        <w:t xml:space="preserve">” (p. 6). The treadmill runs repetitiously onward, spinning out theories of knowledge with no satisfactory resolution. </w:t>
      </w:r>
      <w:r w:rsidRPr="006A6F35">
        <w:rPr>
          <w:u w:val="single"/>
        </w:rPr>
        <w:t>The epistemologist’s problem is, indeed, usually put as the question of how the subject can so far “transcend” itself as to get valid assurance of the objective world</w:t>
      </w:r>
      <w:r w:rsidRPr="006A6F35">
        <w:rPr>
          <w:sz w:val="14"/>
        </w:rPr>
        <w:t xml:space="preserve">. . . . The entire epistemological industry is one—shall I say it—of a Sisyphean nature. (Dewey, 1976, p. 122) </w:t>
      </w:r>
      <w:r w:rsidRPr="006A6F35">
        <w:rPr>
          <w:u w:val="single"/>
        </w:rPr>
        <w:t>Like tortured Sisyphus pushing rocks up the hill, each epistemological articulation tries to resolve the knowledge question by championing a supposedly superior theory of knowledge—</w:t>
      </w:r>
      <w:r w:rsidRPr="006A6F35">
        <w:rPr>
          <w:sz w:val="14"/>
        </w:rPr>
        <w:t xml:space="preserve">a more logically argued and rationally conceived definition of what kind of knowledge should be produced and privileged within the field. Like the great philosophers Descartes, Hume, and Kant, </w:t>
      </w:r>
      <w:r w:rsidRPr="006A6F35">
        <w:rPr>
          <w:u w:val="single"/>
        </w:rPr>
        <w:t>special education researchers are unable to master the epistemological question once and for all.</w:t>
      </w:r>
    </w:p>
    <w:p w:rsidR="004675AB" w:rsidRPr="00F933AF" w:rsidRDefault="004675AB" w:rsidP="004675AB">
      <w:pPr>
        <w:rPr>
          <w:rFonts w:cs="Calibri"/>
        </w:rPr>
      </w:pPr>
    </w:p>
    <w:p w:rsidR="004675AB" w:rsidRPr="00F933AF" w:rsidRDefault="004675AB" w:rsidP="004675AB">
      <w:pPr>
        <w:pStyle w:val="Heading3"/>
      </w:pPr>
      <w:r>
        <w:t>Progress Possible</w:t>
      </w:r>
    </w:p>
    <w:p w:rsidR="00C500B6" w:rsidRPr="00F933AF" w:rsidRDefault="00C500B6" w:rsidP="00C500B6">
      <w:pPr>
        <w:pStyle w:val="Heading4"/>
        <w:rPr>
          <w:rFonts w:cs="Calibri"/>
        </w:rPr>
      </w:pPr>
      <w:r w:rsidRPr="00F933AF">
        <w:rPr>
          <w:rFonts w:cs="Calibri"/>
        </w:rPr>
        <w:t xml:space="preserve">Progress is possible – we can tackle ableism by first addressing the flawed logic of the laws and social contexts in which it exists </w:t>
      </w:r>
    </w:p>
    <w:p w:rsidR="00C500B6" w:rsidRPr="00F933AF" w:rsidRDefault="00C500B6" w:rsidP="00C500B6">
      <w:pPr>
        <w:rPr>
          <w:rStyle w:val="Style13ptBold"/>
          <w:rFonts w:cs="Calibri"/>
          <w:b w:val="0"/>
          <w:sz w:val="24"/>
        </w:rPr>
      </w:pPr>
      <w:r w:rsidRPr="00F933AF">
        <w:rPr>
          <w:rStyle w:val="Style13ptBold"/>
          <w:rFonts w:cs="Calibri"/>
        </w:rPr>
        <w:t>Hirschman and Linker 15</w:t>
      </w:r>
      <w:r w:rsidRPr="00F933AF">
        <w:rPr>
          <w:rStyle w:val="Style13ptBold"/>
          <w:rFonts w:cs="Calibri"/>
          <w:b w:val="0"/>
          <w:color w:val="000000" w:themeColor="text1"/>
          <w:sz w:val="16"/>
          <w:szCs w:val="16"/>
        </w:rPr>
        <w:t>, Nancy</w:t>
      </w:r>
      <w:r w:rsidRPr="00F933AF">
        <w:rPr>
          <w:rStyle w:val="Style13ptBold"/>
          <w:rFonts w:cs="Calibri"/>
          <w:color w:val="000000" w:themeColor="text1"/>
          <w:sz w:val="16"/>
          <w:szCs w:val="16"/>
        </w:rPr>
        <w:t xml:space="preserve"> - </w:t>
      </w:r>
      <w:r w:rsidRPr="00F933AF">
        <w:rPr>
          <w:rFonts w:cs="Calibri"/>
          <w:color w:val="000000" w:themeColor="text1"/>
          <w:sz w:val="16"/>
          <w:szCs w:val="16"/>
          <w:shd w:val="clear" w:color="auto" w:fill="FFFFFF"/>
        </w:rPr>
        <w:t>Professor of Politics at the University of Pennsylvania; her specialties are the history of political thought, analytical philosophy, feminist theory, disability theory</w:t>
      </w:r>
      <w:r w:rsidRPr="00F933AF">
        <w:rPr>
          <w:rFonts w:cs="Calibri"/>
          <w:color w:val="000000" w:themeColor="text1"/>
          <w:sz w:val="16"/>
          <w:szCs w:val="16"/>
        </w:rPr>
        <w:t xml:space="preserve"> </w:t>
      </w:r>
      <w:r w:rsidRPr="00F933AF">
        <w:rPr>
          <w:rStyle w:val="Style13ptBold"/>
          <w:rFonts w:cs="Calibri"/>
          <w:b w:val="0"/>
          <w:color w:val="000000" w:themeColor="text1"/>
          <w:sz w:val="16"/>
          <w:szCs w:val="16"/>
        </w:rPr>
        <w:t>and Beth -</w:t>
      </w:r>
      <w:r w:rsidRPr="00F933AF">
        <w:rPr>
          <w:rStyle w:val="Style13ptBold"/>
          <w:rFonts w:cs="Calibri"/>
          <w:color w:val="000000" w:themeColor="text1"/>
          <w:sz w:val="16"/>
          <w:szCs w:val="16"/>
        </w:rPr>
        <w:t xml:space="preserve"> </w:t>
      </w:r>
      <w:r w:rsidRPr="00F933AF">
        <w:rPr>
          <w:rFonts w:cs="Calibri"/>
          <w:color w:val="000000" w:themeColor="text1"/>
          <w:sz w:val="16"/>
          <w:szCs w:val="16"/>
          <w:shd w:val="clear" w:color="auto" w:fill="FFFFFF"/>
        </w:rPr>
        <w:t xml:space="preserve">Associate Professor at the University of Pennsylvania in the Department of the History and Sociology of Science “Civil Disabilities” Disability, Citizenship, and Belonging: A Critical </w:t>
      </w:r>
      <w:r w:rsidRPr="00D23025">
        <w:rPr>
          <w:rFonts w:cs="Calibri"/>
          <w:color w:val="000000" w:themeColor="text1"/>
          <w:sz w:val="16"/>
          <w:szCs w:val="16"/>
          <w:shd w:val="clear" w:color="auto" w:fill="FFFFFF"/>
        </w:rPr>
        <w:t>Introduction pp. 4-5</w:t>
      </w:r>
      <w:r w:rsidR="00D23025" w:rsidRPr="00D23025">
        <w:rPr>
          <w:rFonts w:cs="Calibri"/>
          <w:color w:val="000000" w:themeColor="text1"/>
          <w:sz w:val="16"/>
          <w:szCs w:val="16"/>
          <w:shd w:val="clear" w:color="auto" w:fill="FFFFFF"/>
        </w:rPr>
        <w:t>//mr</w:t>
      </w:r>
    </w:p>
    <w:p w:rsidR="00C500B6" w:rsidRDefault="00C500B6" w:rsidP="00C500B6">
      <w:pPr>
        <w:rPr>
          <w:rFonts w:cs="Calibri"/>
          <w:sz w:val="16"/>
        </w:rPr>
      </w:pPr>
      <w:r w:rsidRPr="00F933AF">
        <w:rPr>
          <w:rFonts w:cs="Calibri"/>
          <w:sz w:val="16"/>
        </w:rPr>
        <w:t xml:space="preserve">To begin with, it is always important to note that </w:t>
      </w:r>
      <w:r w:rsidRPr="00F933AF">
        <w:rPr>
          <w:rFonts w:cs="Calibri"/>
          <w:u w:val="single"/>
        </w:rPr>
        <w:t>neither citizenship nor disability is a static or universal concept</w:t>
      </w:r>
      <w:r w:rsidRPr="00F933AF">
        <w:rPr>
          <w:rFonts w:cs="Calibri"/>
          <w:sz w:val="16"/>
        </w:rPr>
        <w:t xml:space="preserve">. Readers new to disability will find a variety of definitions in any number of texts, ranging from the United Nations Convention on the Rights of Persons with Disabilities to activist websites to articles and books in a wide variety of academic disciplines. Th authors of the essays in the present volume consider different specific instances of physical and intellectual disability, such as mobility impairment, blindness, deafness, tuberculosis, and cognitive and psychological impairment. So </w:t>
      </w:r>
      <w:r w:rsidRPr="00F933AF">
        <w:rPr>
          <w:rFonts w:cs="Calibri"/>
          <w:u w:val="single"/>
        </w:rPr>
        <w:t>offering one overarching understanding of the concept may not be appropriate</w:t>
      </w:r>
      <w:r w:rsidRPr="00F933AF">
        <w:rPr>
          <w:rFonts w:cs="Calibri"/>
          <w:sz w:val="16"/>
        </w:rPr>
        <w:t xml:space="preserve">, and most of the essays here do not define what they mean by the term “disability.” But all the authors— and indeed most disability scholars— subscribe to at least some form of </w:t>
      </w:r>
      <w:r w:rsidRPr="00F933AF">
        <w:rPr>
          <w:rFonts w:cs="Calibri"/>
          <w:u w:val="single"/>
        </w:rPr>
        <w:t>the “social model of disability</w:t>
      </w:r>
      <w:r w:rsidRPr="00F933AF">
        <w:rPr>
          <w:rFonts w:cs="Calibri"/>
          <w:sz w:val="16"/>
        </w:rPr>
        <w:t xml:space="preserve">.”11 For readers new to disability studies, this model </w:t>
      </w:r>
      <w:r w:rsidRPr="00F933AF">
        <w:rPr>
          <w:rFonts w:cs="Calibri"/>
          <w:u w:val="single"/>
        </w:rPr>
        <w:t>holds that disability is not a physical condition pertaining to a “defective” or “inferior” or “abnormal” body but rather a social condition brought about by social norms, practices, and beliefs; it is both socially produced and socially experienced</w:t>
      </w:r>
      <w:r w:rsidRPr="00F933AF">
        <w:rPr>
          <w:rFonts w:cs="Calibri"/>
          <w:sz w:val="16"/>
        </w:rPr>
        <w:t xml:space="preserve">. </w:t>
      </w:r>
      <w:r w:rsidRPr="00F933AF">
        <w:rPr>
          <w:rFonts w:cs="Calibri"/>
          <w:u w:val="single"/>
        </w:rPr>
        <w:t>What makes something a disability is</w:t>
      </w:r>
      <w:r w:rsidRPr="00F933AF">
        <w:rPr>
          <w:rFonts w:cs="Calibri"/>
          <w:sz w:val="16"/>
        </w:rPr>
        <w:t xml:space="preserve"> thus not bodily difference per se— not my impaired vision, or my deafness, or my weak or missing limbs, or my autism— but rather </w:t>
      </w:r>
      <w:r w:rsidRPr="00F933AF">
        <w:rPr>
          <w:rFonts w:cs="Calibri"/>
          <w:b/>
          <w:u w:val="single"/>
        </w:rPr>
        <w:t>the social contexts in which they exist</w:t>
      </w:r>
      <w:r w:rsidRPr="00F933AF">
        <w:rPr>
          <w:rFonts w:cs="Calibri"/>
          <w:sz w:val="16"/>
        </w:rPr>
        <w:t xml:space="preserve">; disability is constituted by the interaction between environmental factors and the particularities of specific bodies. The fact that I have difficulty walking and use a wheelchair, for instance, does not in itself constitute a “disability”: rather, the fact that most buildings have stairs rather than ramps and lack elevators and automatic doors is what disables my body from gaining access to the building. </w:t>
      </w:r>
      <w:r w:rsidRPr="00F933AF">
        <w:rPr>
          <w:rFonts w:cs="Calibri"/>
          <w:u w:val="single"/>
        </w:rPr>
        <w:t>Because of the ways in which</w:t>
      </w:r>
      <w:r w:rsidRPr="00F933AF">
        <w:rPr>
          <w:rFonts w:cs="Calibri"/>
          <w:sz w:val="16"/>
        </w:rPr>
        <w:t xml:space="preserve"> social relations, </w:t>
      </w:r>
      <w:r w:rsidRPr="00F933AF">
        <w:rPr>
          <w:rFonts w:cs="Calibri"/>
          <w:u w:val="single"/>
        </w:rPr>
        <w:t>the built environment, laws, customs, and practices are structured and organized, certain bodies are disabled</w:t>
      </w:r>
      <w:r w:rsidRPr="00F933AF">
        <w:rPr>
          <w:rFonts w:cs="Calibri"/>
          <w:sz w:val="16"/>
        </w:rPr>
        <w:t xml:space="preserve"> by those environments, </w:t>
      </w:r>
      <w:r w:rsidRPr="00F933AF">
        <w:rPr>
          <w:rFonts w:cs="Calibri"/>
          <w:u w:val="single"/>
        </w:rPr>
        <w:t>while other bodies are facilitated and supported</w:t>
      </w:r>
      <w:r w:rsidRPr="00F933AF">
        <w:rPr>
          <w:rFonts w:cs="Calibri"/>
          <w:sz w:val="16"/>
        </w:rPr>
        <w:t>. “Impairment” is a term that refers to a natural part of biological life rather than an “abnormal” part and is generally incorporated into a person’s sense of self. “</w:t>
      </w:r>
      <w:r w:rsidRPr="00F933AF">
        <w:rPr>
          <w:rFonts w:cs="Calibri"/>
          <w:u w:val="single"/>
        </w:rPr>
        <w:t>Disability,</w:t>
      </w:r>
      <w:r w:rsidRPr="00F933AF">
        <w:rPr>
          <w:rFonts w:cs="Calibri"/>
          <w:sz w:val="16"/>
        </w:rPr>
        <w:t xml:space="preserve">” by contrast, </w:t>
      </w:r>
      <w:r w:rsidRPr="00F933AF">
        <w:rPr>
          <w:rFonts w:cs="Calibri"/>
          <w:u w:val="single"/>
        </w:rPr>
        <w:t>refers to what society, social conditions, prejudices, biases, and the built environment have produced by treating certain impairments as marks of inferiority</w:t>
      </w:r>
      <w:r w:rsidRPr="00F933AF">
        <w:rPr>
          <w:rFonts w:cs="Calibri"/>
          <w:sz w:val="16"/>
        </w:rPr>
        <w:t xml:space="preserve">. As Disability, Citizenship, and Belonging 5 Devlin and Pothier put it, “Disability is not just an individual impairment but a systematically enforced pattern of exclusion.”12 “Disability” does not describe the body per se, but the body in a hostile social environment. Among disability studies scholars, </w:t>
      </w:r>
      <w:r w:rsidRPr="00F933AF">
        <w:rPr>
          <w:rFonts w:cs="Calibri"/>
          <w:u w:val="single"/>
        </w:rPr>
        <w:t>the social model has been an important corrective to the more dominant way of understanding disability</w:t>
      </w:r>
      <w:r w:rsidRPr="00F933AF">
        <w:rPr>
          <w:rFonts w:cs="Calibri"/>
          <w:sz w:val="16"/>
        </w:rPr>
        <w:t xml:space="preserve">, </w:t>
      </w:r>
      <w:r w:rsidRPr="00F933AF">
        <w:rPr>
          <w:rFonts w:cs="Calibri"/>
          <w:u w:val="single"/>
        </w:rPr>
        <w:t>dubbed the “medical model,” which views disability as a pathology found in a particular individual body that must be fixed or cured.</w:t>
      </w:r>
      <w:r w:rsidRPr="00F933AF">
        <w:rPr>
          <w:rFonts w:cs="Calibri"/>
          <w:sz w:val="16"/>
        </w:rPr>
        <w:t xml:space="preserve"> </w:t>
      </w:r>
      <w:r w:rsidRPr="00F933AF">
        <w:rPr>
          <w:rFonts w:cs="Calibri"/>
          <w:u w:val="single"/>
        </w:rPr>
        <w:t>Disability in this model</w:t>
      </w:r>
      <w:r w:rsidRPr="00F933AF">
        <w:rPr>
          <w:rFonts w:cs="Calibri"/>
          <w:sz w:val="16"/>
        </w:rPr>
        <w:t xml:space="preserve"> </w:t>
      </w:r>
      <w:r w:rsidRPr="00F933AF">
        <w:rPr>
          <w:rFonts w:cs="Calibri"/>
          <w:u w:val="single"/>
        </w:rPr>
        <w:t>is seen as</w:t>
      </w:r>
      <w:r w:rsidRPr="00F933AF">
        <w:rPr>
          <w:rFonts w:cs="Calibri"/>
          <w:sz w:val="16"/>
        </w:rPr>
        <w:t xml:space="preserve"> both </w:t>
      </w:r>
      <w:r w:rsidRPr="00F933AF">
        <w:rPr>
          <w:rFonts w:cs="Calibri"/>
          <w:b/>
          <w:u w:val="single"/>
        </w:rPr>
        <w:t>intrinsic</w:t>
      </w:r>
      <w:r w:rsidRPr="00F933AF">
        <w:rPr>
          <w:rFonts w:cs="Calibri"/>
          <w:u w:val="single"/>
        </w:rPr>
        <w:t xml:space="preserve"> to the body that “suffers” from it</w:t>
      </w:r>
      <w:r w:rsidRPr="00F933AF">
        <w:rPr>
          <w:rFonts w:cs="Calibri"/>
          <w:sz w:val="16"/>
        </w:rPr>
        <w:t xml:space="preserve">, which must be made to adapt to the preexisting environment; and simultaneously alien to the body, </w:t>
      </w:r>
      <w:r w:rsidRPr="00F933AF">
        <w:rPr>
          <w:rFonts w:cs="Calibri"/>
          <w:u w:val="single"/>
        </w:rPr>
        <w:t>a hostile force that undermines the individual’s true preferences</w:t>
      </w:r>
      <w:r w:rsidRPr="00F933AF">
        <w:rPr>
          <w:rFonts w:cs="Calibri"/>
          <w:sz w:val="16"/>
        </w:rPr>
        <w:t xml:space="preserve">. “The body” that is held up as the standard against which it is measured is what feminist disability scholar Rosemarie Garland Thomson calls the “normate”— male, white, perfect in health and physical attributes, a standard that almost everyone fails to meet but nevertheless informs our assumptions about the body and how it should function in the world.13 Th e terms “social” and “medical” models are referred to throughout these essays, so the reader who is new to disability studies will want to keep this distinction in mind. For most disability scholars today, the social model is largely accepted as the preferred way of understanding disability, whereas the medical model tends to be disparaged. </w:t>
      </w:r>
    </w:p>
    <w:p w:rsidR="004675AB" w:rsidRPr="00F933AF" w:rsidRDefault="004675AB" w:rsidP="004675AB">
      <w:pPr>
        <w:pStyle w:val="Heading3"/>
      </w:pPr>
      <w:r>
        <w:t>State Inevitable</w:t>
      </w:r>
    </w:p>
    <w:p w:rsidR="004D4BE7" w:rsidRDefault="004D4BE7" w:rsidP="004D4BE7">
      <w:pPr>
        <w:pStyle w:val="Heading4"/>
      </w:pPr>
      <w:r>
        <w:t>The disability movement cannot choose between engaging inside or outside institutions—the only coherent praxis is to work within civil society to change state policies while also developing dynamic conceptions of disability and self-consciousness</w:t>
      </w:r>
    </w:p>
    <w:p w:rsidR="004D4BE7" w:rsidRPr="00D2474D" w:rsidRDefault="004D4BE7" w:rsidP="004D4BE7">
      <w:r>
        <w:rPr>
          <w:b/>
        </w:rPr>
        <w:t xml:space="preserve">Oliver and Zarb 7 </w:t>
      </w:r>
      <w:r w:rsidRPr="008F2397">
        <w:rPr>
          <w:sz w:val="18"/>
          <w:szCs w:val="18"/>
        </w:rPr>
        <w:t>(Mike Oliver and Gerry Zarb, Mike Oliver is a disability rights activist and professor of Disability Studies at the University of Greenwich, Gerry Zarb is a disability rights activist and author, The Politics of Disability: A New Approach, 2/23/7, Taylor &amp; Francis Online, pg. 234-236)//jy</w:t>
      </w:r>
    </w:p>
    <w:p w:rsidR="004D4BE7" w:rsidRDefault="004D4BE7" w:rsidP="004D4BE7">
      <w:pPr>
        <w:rPr>
          <w:u w:val="single"/>
        </w:rPr>
      </w:pPr>
      <w:r w:rsidRPr="00226FC1">
        <w:rPr>
          <w:sz w:val="14"/>
        </w:rPr>
        <w:t xml:space="preserve">But in order </w:t>
      </w:r>
      <w:r w:rsidRPr="00F7056F">
        <w:rPr>
          <w:u w:val="single"/>
        </w:rPr>
        <w:t>to challenge</w:t>
      </w:r>
      <w:r w:rsidRPr="00226FC1">
        <w:rPr>
          <w:sz w:val="14"/>
        </w:rPr>
        <w:t xml:space="preserve"> what might be called </w:t>
      </w:r>
      <w:r w:rsidRPr="00F7056F">
        <w:rPr>
          <w:u w:val="single"/>
        </w:rPr>
        <w:t>attitudes</w:t>
      </w:r>
      <w:r w:rsidRPr="00226FC1">
        <w:rPr>
          <w:sz w:val="14"/>
        </w:rPr>
        <w:t xml:space="preserve"> (Finkelstein, Cornes), The Politics of Disability 2 3 5 mentality (Davis) or more properly, in the context of this analysis, ideology, then clearly </w:t>
      </w:r>
      <w:r w:rsidRPr="00F7056F">
        <w:rPr>
          <w:u w:val="single"/>
        </w:rPr>
        <w:t>the disability movement must work out an appropriate political strategy</w:t>
      </w:r>
      <w:r w:rsidRPr="00226FC1">
        <w:rPr>
          <w:sz w:val="14"/>
        </w:rPr>
        <w:t>. As has already been indicated</w:t>
      </w:r>
      <w:r w:rsidRPr="00F7056F">
        <w:rPr>
          <w:u w:val="single"/>
        </w:rPr>
        <w:t>, this cannot be done through traditional political participation in parties or pressure groups, but has to be addressed in terms of the relationship between the disability movement and the State</w:t>
      </w:r>
      <w:r w:rsidRPr="00226FC1">
        <w:rPr>
          <w:sz w:val="14"/>
        </w:rPr>
        <w:t xml:space="preserve">, the second element within Gramsci's (1971) framework. The relationships of these new social movements in general to the State have been considered in some detail and raise crucial issues of political strategy. </w:t>
      </w:r>
      <w:r w:rsidRPr="00785126">
        <w:rPr>
          <w:b/>
          <w:u w:val="single"/>
        </w:rPr>
        <w:t>If social movements carry forward a revolt of civil society against the state-and thus remain largely outside the bourgeois public sphere-they typically have failed to engage the state system as part of a larger democratizing project.</w:t>
      </w:r>
      <w:r w:rsidRPr="00785126">
        <w:rPr>
          <w:u w:val="single"/>
        </w:rPr>
        <w:t xml:space="preserve"> In the absence of a coherent approach to the state, political strategy is rendered </w:t>
      </w:r>
      <w:r w:rsidRPr="00785126">
        <w:rPr>
          <w:b/>
          <w:u w:val="single"/>
        </w:rPr>
        <w:t>abstract and impotent.</w:t>
      </w:r>
      <w:r w:rsidRPr="00226FC1">
        <w:rPr>
          <w:sz w:val="14"/>
        </w:rPr>
        <w:t xml:space="preserve"> (Boggs, 1986, pp. 56-57) </w:t>
      </w:r>
      <w:r w:rsidRPr="00785126">
        <w:rPr>
          <w:u w:val="single"/>
        </w:rPr>
        <w:t>On the other hand, to engage in an uncritical relationship to the State, is to risk at best, incorporation and absorption, and at worst, isolation and marginalisation and perhaps, ultimately, oblivion.</w:t>
      </w:r>
      <w:r w:rsidRPr="00226FC1">
        <w:rPr>
          <w:sz w:val="14"/>
        </w:rPr>
        <w:t xml:space="preserve"> Leaving aside the question of whether the State represents specific interests or is relatively autonomous, </w:t>
      </w:r>
      <w:r w:rsidRPr="00785126">
        <w:rPr>
          <w:u w:val="single"/>
        </w:rPr>
        <w:t>the disability movement has to decide how it wishes such a relationship to develop</w:t>
      </w:r>
      <w:r w:rsidRPr="00156E5D">
        <w:rPr>
          <w:u w:val="single"/>
        </w:rPr>
        <w:t xml:space="preserve">. Should it settle for incorporation into State activities with the prospect of piecemeal gains in social policy and legislation with the risks that representations to political institutions will be ignored or manipulated? Or, should it remain separate from the State and concentrate on consciousness-raising activities leading to long-term changes in policy and practice and the empowerment of disabled people, with the attendant risks that the movement may be marginalised or isolated? In practice </w:t>
      </w:r>
      <w:r w:rsidRPr="00776C3B">
        <w:rPr>
          <w:b/>
          <w:u w:val="single"/>
        </w:rPr>
        <w:t>it cannot be a matter of choosing one or the other of these positions</w:t>
      </w:r>
      <w:r w:rsidRPr="00156E5D">
        <w:rPr>
          <w:u w:val="single"/>
        </w:rPr>
        <w:t xml:space="preserve">, for the disability </w:t>
      </w:r>
      <w:r w:rsidRPr="00156E5D">
        <w:rPr>
          <w:b/>
          <w:u w:val="single"/>
        </w:rPr>
        <w:t>movement must develop a relationship with the State so that it can secure proper resources and play a role in changing social policy and professional practice</w:t>
      </w:r>
      <w:r w:rsidRPr="00156E5D">
        <w:rPr>
          <w:u w:val="single"/>
        </w:rPr>
        <w:t>. On the other hand, it must remain independent of the State to ensure that</w:t>
      </w:r>
      <w:r w:rsidRPr="00226FC1">
        <w:rPr>
          <w:sz w:val="14"/>
        </w:rPr>
        <w:t xml:space="preserve"> the </w:t>
      </w:r>
      <w:r w:rsidRPr="00156E5D">
        <w:rPr>
          <w:u w:val="single"/>
        </w:rPr>
        <w:t>changes</w:t>
      </w:r>
      <w:r w:rsidRPr="00226FC1">
        <w:rPr>
          <w:sz w:val="14"/>
        </w:rPr>
        <w:t xml:space="preserve"> that take place </w:t>
      </w:r>
      <w:r w:rsidRPr="00156E5D">
        <w:rPr>
          <w:u w:val="single"/>
        </w:rPr>
        <w:t>do not</w:t>
      </w:r>
      <w:r w:rsidRPr="00226FC1">
        <w:rPr>
          <w:sz w:val="14"/>
        </w:rPr>
        <w:t xml:space="preserve"> ultimately reflect the establishment view and </w:t>
      </w:r>
      <w:r w:rsidRPr="00156E5D">
        <w:rPr>
          <w:u w:val="single"/>
        </w:rPr>
        <w:t>reproduce paternalistic and dependency-creating services, but are based upon changing and dynamic conceptions of disability as articulated by disabled people</w:t>
      </w:r>
      <w:r w:rsidRPr="00226FC1">
        <w:rPr>
          <w:sz w:val="14"/>
        </w:rPr>
        <w:t xml:space="preserve"> themselves. Such is the nature of a crucial issue facing the disability movement over the next few years and the complexities of the task should not be underestimated. In order, however</w:t>
      </w:r>
      <w:r w:rsidRPr="00156E5D">
        <w:rPr>
          <w:u w:val="single"/>
        </w:rPr>
        <w:t>, to develop an appropriate relationship with the State</w:t>
      </w:r>
      <w:r w:rsidRPr="00226FC1">
        <w:rPr>
          <w:sz w:val="14"/>
        </w:rPr>
        <w:t xml:space="preserve">, all new social movements, including </w:t>
      </w:r>
      <w:r w:rsidRPr="00156E5D">
        <w:rPr>
          <w:u w:val="single"/>
        </w:rPr>
        <w:t>the disability movement, must establish a firm basis within civil society.</w:t>
      </w:r>
      <w:r w:rsidRPr="00226FC1">
        <w:rPr>
          <w:sz w:val="14"/>
        </w:rPr>
        <w:t xml:space="preserve"> The important point is that these movements, as emergent, broad-based agencies of social change, are situated primarily within civil society rather than the conventional realm of pluralist democracy. Further, </w:t>
      </w:r>
      <w:r w:rsidRPr="005B7FA6">
        <w:rPr>
          <w:u w:val="single"/>
        </w:rPr>
        <w:t>the tendency toward convergence of some movements</w:t>
      </w:r>
      <w:r w:rsidRPr="00226FC1">
        <w:rPr>
          <w:sz w:val="14"/>
        </w:rPr>
        <w:t xml:space="preserve"> (for example, feminism and the peace movement) </w:t>
      </w:r>
      <w:r w:rsidRPr="005B7FA6">
        <w:rPr>
          <w:u w:val="single"/>
        </w:rPr>
        <w:t>gives them a radical potential for greater than the sum</w:t>
      </w:r>
      <w:r w:rsidRPr="00226FC1">
        <w:rPr>
          <w:sz w:val="14"/>
        </w:rPr>
        <w:t xml:space="preserve"> 2 3 6 M. Oliver &amp; G. Zarb of particular groups. Even though their capacity to overthrow any power structure is still minimal, they have begun to introduce a new language of critical discourse that departs profoundly from the theory and practice of conventional politics. (Boggs, 1986, p. 22) </w:t>
      </w:r>
      <w:r w:rsidRPr="007614C4">
        <w:rPr>
          <w:u w:val="single"/>
        </w:rPr>
        <w:t>Thus, because these movements are developing within</w:t>
      </w:r>
      <w:r w:rsidRPr="00E631E5">
        <w:rPr>
          <w:sz w:val="14"/>
        </w:rPr>
        <w:t xml:space="preserve"> the separate sphere of </w:t>
      </w:r>
      <w:r w:rsidRPr="007614C4">
        <w:rPr>
          <w:u w:val="single"/>
        </w:rPr>
        <w:t>civil society, they do not risk incorporation into the State, nor indeed do they need to follow a political agenda or strategy set by the State. Hence, they can engage in consciousness raising activities, demonstrations, sit-ins and other forms of political activity within civil society. Further, they can develop links with each other so that their potential as a whole is greater than that of their constituent parts</w:t>
      </w:r>
      <w:r w:rsidRPr="00E631E5">
        <w:rPr>
          <w:sz w:val="14"/>
        </w:rPr>
        <w:t xml:space="preserve">. Finally, the relationship to organised labour needs to be renegotiated, which means that labour will have "to confront its own legacy of racism, sexism and national chauvinism" because the complex relationship between labour and social movements, class and politics-not to mention the recomposition of the work force itselfinvalidates any scheme that assigns to labour a hegemonic or privileged role in social transformation. (Boggs, 1986, p. 233) As far as the disability movement is concerned, its growth and development have been within the realm of civil society. It has used consciousness and self-affirmation as a political tactic and has begun to be involved in political activities such as demonstrations and sit-ins outside the realm of State political activities. </w:t>
      </w:r>
      <w:r w:rsidRPr="00E631E5">
        <w:rPr>
          <w:u w:val="single"/>
        </w:rPr>
        <w:t>By reconceptualising disability as social restriction or oppression, it has opened up the possibilities of collaborating or co-operating with other socially restricted or oppressed groups.</w:t>
      </w:r>
    </w:p>
    <w:p w:rsidR="004D4BE7" w:rsidRDefault="004D4BE7" w:rsidP="004D4BE7">
      <w:pPr>
        <w:rPr>
          <w:sz w:val="14"/>
        </w:rPr>
      </w:pPr>
    </w:p>
    <w:p w:rsidR="008B491B" w:rsidRPr="00F933AF" w:rsidRDefault="008B491B" w:rsidP="00F933AF">
      <w:pPr>
        <w:pStyle w:val="Heading2"/>
        <w:rPr>
          <w:rFonts w:cs="Calibri"/>
        </w:rPr>
      </w:pPr>
      <w:r w:rsidRPr="00F933AF">
        <w:rPr>
          <w:rFonts w:cs="Calibri"/>
        </w:rPr>
        <w:t>AT: FW</w:t>
      </w:r>
    </w:p>
    <w:p w:rsidR="008B491B" w:rsidRPr="00F933AF" w:rsidRDefault="008B491B" w:rsidP="008B491B">
      <w:pPr>
        <w:pStyle w:val="Heading4"/>
        <w:rPr>
          <w:rFonts w:cs="Calibri"/>
        </w:rPr>
      </w:pPr>
      <w:r w:rsidRPr="00F933AF">
        <w:rPr>
          <w:rFonts w:cs="Calibri"/>
        </w:rPr>
        <w:t xml:space="preserve">Our affirmative is a </w:t>
      </w:r>
      <w:r w:rsidRPr="00F933AF">
        <w:rPr>
          <w:rFonts w:cs="Calibri"/>
          <w:u w:val="single"/>
        </w:rPr>
        <w:t>prerequisite</w:t>
      </w:r>
      <w:r w:rsidRPr="00F933AF">
        <w:rPr>
          <w:rFonts w:cs="Calibri"/>
        </w:rPr>
        <w:t xml:space="preserve"> to their critical framework – only the aff can interrogate and challenge the framework for broader systems of immigration exclusion in the U.S., which sets the foundations for deconstructing unethical policies</w:t>
      </w:r>
    </w:p>
    <w:p w:rsidR="008B491B" w:rsidRPr="00F933AF" w:rsidRDefault="008B491B" w:rsidP="008B491B">
      <w:pPr>
        <w:rPr>
          <w:rStyle w:val="Style13ptBold"/>
          <w:rFonts w:cs="Calibri"/>
          <w:b w:val="0"/>
          <w:sz w:val="18"/>
          <w:szCs w:val="18"/>
        </w:rPr>
      </w:pPr>
      <w:r w:rsidRPr="00F933AF">
        <w:rPr>
          <w:rStyle w:val="Style13ptBold"/>
          <w:rFonts w:cs="Calibri"/>
        </w:rPr>
        <w:t xml:space="preserve">Sekerci and </w:t>
      </w:r>
      <w:hyperlink r:id="rId190" w:history="1">
        <w:r w:rsidRPr="00F933AF">
          <w:rPr>
            <w:rStyle w:val="Style13ptBold"/>
            <w:rFonts w:eastAsiaTheme="majorEastAsia" w:cs="Calibri"/>
          </w:rPr>
          <w:t>Altiraifi</w:t>
        </w:r>
      </w:hyperlink>
      <w:r w:rsidRPr="00F933AF">
        <w:rPr>
          <w:rStyle w:val="Style13ptBold"/>
          <w:rFonts w:cs="Calibri"/>
          <w:b w:val="0"/>
          <w:sz w:val="16"/>
          <w:szCs w:val="16"/>
        </w:rPr>
        <w:t>, Kristin ‘18</w:t>
      </w:r>
      <w:r w:rsidRPr="00F933AF">
        <w:rPr>
          <w:rStyle w:val="Style13ptBold"/>
          <w:rFonts w:cs="Calibri"/>
          <w:b w:val="0"/>
          <w:sz w:val="18"/>
          <w:szCs w:val="18"/>
        </w:rPr>
        <w:t xml:space="preserve"> (researcher on Islamophobia at Georgetown University and Azza – award winning disabled Afro-Arab organizer based in Washington DC whose advocacy centers on radical inclusion and access, racial and disability justice and collective deliberation “A U.S. Immigration History of White Supremacy and Ableism” Al Jazeera https://www.aljazeera.com/indepth/opinion/immigration-history-white-supremacy-ableism-180122111928695.html)mr</w:t>
      </w:r>
    </w:p>
    <w:p w:rsidR="008B491B" w:rsidRDefault="008B491B" w:rsidP="008B491B">
      <w:pPr>
        <w:pStyle w:val="p1"/>
        <w:shd w:val="clear" w:color="auto" w:fill="FCFCFC"/>
        <w:spacing w:before="0" w:beforeAutospacing="0" w:after="300" w:afterAutospacing="0"/>
        <w:rPr>
          <w:rStyle w:val="s1"/>
          <w:rFonts w:cs="Calibri"/>
          <w:color w:val="000000" w:themeColor="text1"/>
          <w:sz w:val="16"/>
        </w:rPr>
      </w:pPr>
      <w:r w:rsidRPr="00F933AF">
        <w:rPr>
          <w:rFonts w:cs="Calibri"/>
          <w:color w:val="000000" w:themeColor="text1"/>
          <w:sz w:val="16"/>
        </w:rPr>
        <w:t xml:space="preserve">"[They] all have AIDS" - US President </w:t>
      </w:r>
      <w:hyperlink r:id="rId191" w:history="1">
        <w:r w:rsidRPr="00F933AF">
          <w:rPr>
            <w:rFonts w:cs="Calibri"/>
            <w:color w:val="000000" w:themeColor="text1"/>
            <w:sz w:val="16"/>
          </w:rPr>
          <w:t>Donald Trump</w:t>
        </w:r>
      </w:hyperlink>
      <w:r w:rsidRPr="00F933AF">
        <w:rPr>
          <w:rFonts w:cs="Calibri"/>
          <w:color w:val="000000" w:themeColor="text1"/>
          <w:sz w:val="16"/>
        </w:rPr>
        <w:t xml:space="preserve"> grumbled in June 2017. According to a</w:t>
      </w:r>
      <w:hyperlink r:id="rId192" w:tgtFrame="_blank" w:history="1">
        <w:r w:rsidRPr="00F933AF">
          <w:rPr>
            <w:rFonts w:cs="Calibri"/>
            <w:color w:val="000000" w:themeColor="text1"/>
            <w:sz w:val="16"/>
          </w:rPr>
          <w:t>report</w:t>
        </w:r>
      </w:hyperlink>
      <w:r w:rsidRPr="00F933AF">
        <w:rPr>
          <w:rFonts w:cs="Calibri"/>
          <w:color w:val="000000" w:themeColor="text1"/>
          <w:sz w:val="16"/>
        </w:rPr>
        <w:t xml:space="preserve"> by the New York Times, this is how the president reacted when he learned that around 15,000 Haitians received visas to enter the United States in 2017. After this remark, and </w:t>
      </w:r>
      <w:r w:rsidRPr="00F933AF">
        <w:rPr>
          <w:rFonts w:cs="Calibri"/>
          <w:color w:val="000000" w:themeColor="text1"/>
          <w:u w:val="single"/>
        </w:rPr>
        <w:t>President Trump's more recent "shithole" comments about immigration from African and black-majority nations, there has been a great deal of commentary about the US' racist and white supremacist immigration history</w:t>
      </w:r>
      <w:r w:rsidRPr="00F933AF">
        <w:rPr>
          <w:rFonts w:cs="Calibri"/>
          <w:color w:val="000000" w:themeColor="text1"/>
          <w:sz w:val="16"/>
        </w:rPr>
        <w:t xml:space="preserve">. </w:t>
      </w:r>
      <w:r w:rsidRPr="00F933AF">
        <w:rPr>
          <w:rFonts w:cs="Calibri"/>
          <w:color w:val="000000" w:themeColor="text1"/>
          <w:u w:val="single"/>
        </w:rPr>
        <w:t>Glaringly absent from these analyses, however, has been a robust understanding of the co-foundational framework for immigration exclusion in the US - ableism.</w:t>
      </w:r>
      <w:r w:rsidRPr="00F933AF">
        <w:rPr>
          <w:rFonts w:cs="Calibri"/>
          <w:color w:val="000000" w:themeColor="text1"/>
          <w:sz w:val="16"/>
        </w:rPr>
        <w:t xml:space="preserve"> Namely, </w:t>
      </w:r>
      <w:r w:rsidRPr="00F933AF">
        <w:rPr>
          <w:rFonts w:cs="Calibri"/>
          <w:b/>
          <w:color w:val="000000" w:themeColor="text1"/>
          <w:u w:val="single"/>
        </w:rPr>
        <w:t>discourses and structures that have created a process and system by which people have been banned based on real and perceived mental and physical disabilities, as well as for prevailing notions of inferiority, deviancy, threat and unproductivity</w:t>
      </w:r>
      <w:r w:rsidRPr="00F933AF">
        <w:rPr>
          <w:rFonts w:cs="Calibri"/>
          <w:color w:val="000000" w:themeColor="text1"/>
          <w:sz w:val="16"/>
        </w:rPr>
        <w:t xml:space="preserve">. Immigration policy in the US currently consists of </w:t>
      </w:r>
      <w:hyperlink r:id="rId193" w:history="1">
        <w:r w:rsidRPr="00F933AF">
          <w:rPr>
            <w:rFonts w:cs="Calibri"/>
            <w:color w:val="000000" w:themeColor="text1"/>
            <w:sz w:val="16"/>
          </w:rPr>
          <w:t>Muslim bans</w:t>
        </w:r>
      </w:hyperlink>
      <w:r w:rsidRPr="00F933AF">
        <w:rPr>
          <w:rFonts w:cs="Calibri"/>
          <w:color w:val="000000" w:themeColor="text1"/>
          <w:sz w:val="16"/>
        </w:rPr>
        <w:t xml:space="preserve">, a </w:t>
      </w:r>
      <w:hyperlink r:id="rId194" w:history="1">
        <w:r w:rsidRPr="00F933AF">
          <w:rPr>
            <w:rFonts w:cs="Calibri"/>
            <w:color w:val="000000" w:themeColor="text1"/>
            <w:sz w:val="16"/>
          </w:rPr>
          <w:t xml:space="preserve">DACA rescission </w:t>
        </w:r>
      </w:hyperlink>
      <w:r w:rsidRPr="00F933AF">
        <w:rPr>
          <w:rFonts w:cs="Calibri"/>
          <w:color w:val="000000" w:themeColor="text1"/>
          <w:sz w:val="16"/>
        </w:rPr>
        <w:t xml:space="preserve">, severe restrictions on refugee resettlement, calls for "extreme" or "enhanced" vetting, and ongoing threats to Temporary Protected Statuses, the Diversity Visa programme, and family-based immigration. In the not-so-distant past, </w:t>
      </w:r>
      <w:r w:rsidRPr="00F933AF">
        <w:rPr>
          <w:rFonts w:cs="Calibri"/>
          <w:color w:val="000000" w:themeColor="text1"/>
          <w:u w:val="single"/>
        </w:rPr>
        <w:t>let us remember</w:t>
      </w:r>
      <w:r w:rsidRPr="00F933AF">
        <w:rPr>
          <w:rFonts w:cs="Calibri"/>
          <w:color w:val="000000" w:themeColor="text1"/>
          <w:sz w:val="16"/>
        </w:rPr>
        <w:t xml:space="preserve">, </w:t>
      </w:r>
      <w:r w:rsidRPr="00F933AF">
        <w:rPr>
          <w:rFonts w:cs="Calibri"/>
          <w:color w:val="000000" w:themeColor="text1"/>
          <w:u w:val="single"/>
        </w:rPr>
        <w:t>US immigration policy included</w:t>
      </w:r>
      <w:r w:rsidRPr="00F933AF">
        <w:rPr>
          <w:rFonts w:cs="Calibri"/>
          <w:color w:val="000000" w:themeColor="text1"/>
          <w:sz w:val="16"/>
        </w:rPr>
        <w:t xml:space="preserve"> the "war on terror" screening programme National Security Entry-Exit Registration System (2002 - 2016), HIV+ and AIDS travel and immigration bans (1987 - 2009), the "Asiatic Barred Zone" (1917 - 1952), a ban on Chinese nationality (1882 - 1943), and </w:t>
      </w:r>
      <w:r w:rsidRPr="00F933AF">
        <w:rPr>
          <w:rFonts w:cs="Calibri"/>
          <w:color w:val="000000" w:themeColor="text1"/>
          <w:u w:val="single"/>
        </w:rPr>
        <w:t>bans on the "idiot", the "imbecile", the "feeble-minded" and the "pervert"</w:t>
      </w:r>
      <w:r w:rsidRPr="00F933AF">
        <w:rPr>
          <w:rFonts w:cs="Calibri"/>
          <w:color w:val="000000" w:themeColor="text1"/>
          <w:sz w:val="16"/>
        </w:rPr>
        <w:t xml:space="preserve"> (19th - 20th century). </w:t>
      </w:r>
      <w:r w:rsidRPr="00F933AF">
        <w:rPr>
          <w:rFonts w:cs="Calibri"/>
          <w:color w:val="000000" w:themeColor="text1"/>
          <w:u w:val="single"/>
        </w:rPr>
        <w:t>And</w:t>
      </w:r>
      <w:r w:rsidRPr="00F933AF">
        <w:rPr>
          <w:rFonts w:cs="Calibri"/>
          <w:color w:val="000000" w:themeColor="text1"/>
          <w:sz w:val="16"/>
        </w:rPr>
        <w:t xml:space="preserve">, of course, this country's horrific proto-immigration laws - </w:t>
      </w:r>
      <w:r w:rsidRPr="00F933AF">
        <w:rPr>
          <w:rFonts w:cs="Calibri"/>
          <w:color w:val="000000" w:themeColor="text1"/>
          <w:u w:val="single"/>
        </w:rPr>
        <w:t>the colonisation and genocide of Native people and exterminationist policies of "Indian removal"</w:t>
      </w:r>
      <w:r w:rsidRPr="00F933AF">
        <w:rPr>
          <w:rFonts w:cs="Calibri"/>
          <w:color w:val="000000" w:themeColor="text1"/>
          <w:sz w:val="16"/>
        </w:rPr>
        <w:t xml:space="preserve"> (1492 - present); and the </w:t>
      </w:r>
      <w:r w:rsidRPr="00F933AF">
        <w:rPr>
          <w:rFonts w:cs="Calibri"/>
          <w:color w:val="000000" w:themeColor="text1"/>
          <w:u w:val="single"/>
        </w:rPr>
        <w:t>enslavement and forced migration of African people</w:t>
      </w:r>
      <w:r w:rsidRPr="00F933AF">
        <w:rPr>
          <w:rFonts w:cs="Calibri"/>
          <w:color w:val="000000" w:themeColor="text1"/>
          <w:sz w:val="16"/>
        </w:rPr>
        <w:t xml:space="preserve"> and their descendants into lifelong chattel slavery (15th - 19th century). </w:t>
      </w:r>
      <w:r w:rsidRPr="00F933AF">
        <w:rPr>
          <w:rStyle w:val="s1"/>
          <w:rFonts w:eastAsiaTheme="majorEastAsia" w:cs="Calibri"/>
          <w:b/>
          <w:color w:val="000000" w:themeColor="text1"/>
          <w:u w:val="single"/>
        </w:rPr>
        <w:t>Underpinning many of these immigration and proto-immigration laws has been a formulation by which value and therefore worth are ascribed to people based solely on their ability to accelerate economic growth for the state.</w:t>
      </w:r>
      <w:r w:rsidRPr="00F933AF">
        <w:rPr>
          <w:rStyle w:val="s1"/>
          <w:rFonts w:eastAsiaTheme="majorEastAsia" w:cs="Calibri"/>
          <w:color w:val="000000" w:themeColor="text1"/>
          <w:sz w:val="16"/>
        </w:rPr>
        <w:t xml:space="preserve"> But let's take that one step further. </w:t>
      </w:r>
      <w:r w:rsidRPr="00F933AF">
        <w:rPr>
          <w:rStyle w:val="s1"/>
          <w:rFonts w:eastAsiaTheme="majorEastAsia" w:cs="Calibri"/>
          <w:color w:val="000000" w:themeColor="text1"/>
          <w:u w:val="single"/>
        </w:rPr>
        <w:t xml:space="preserve">The notion that some people produce more (or less) for the economy and are, therefore, more (or less) valuable - </w:t>
      </w:r>
      <w:r w:rsidRPr="00F933AF">
        <w:rPr>
          <w:rStyle w:val="s1"/>
          <w:rFonts w:eastAsiaTheme="majorEastAsia" w:cs="Calibri"/>
          <w:b/>
          <w:color w:val="000000" w:themeColor="text1"/>
          <w:u w:val="single"/>
        </w:rPr>
        <w:t>is ableism</w:t>
      </w:r>
      <w:r w:rsidRPr="00F933AF">
        <w:rPr>
          <w:rStyle w:val="s1"/>
          <w:rFonts w:eastAsiaTheme="majorEastAsia" w:cs="Calibri"/>
          <w:b/>
          <w:color w:val="000000" w:themeColor="text1"/>
          <w:sz w:val="16"/>
        </w:rPr>
        <w:t>.</w:t>
      </w:r>
      <w:r w:rsidRPr="00F933AF">
        <w:rPr>
          <w:rFonts w:cs="Calibri"/>
          <w:color w:val="000000" w:themeColor="text1"/>
          <w:sz w:val="16"/>
        </w:rPr>
        <w:t xml:space="preserve"> </w:t>
      </w:r>
      <w:r w:rsidRPr="00F933AF">
        <w:rPr>
          <w:rStyle w:val="s3"/>
          <w:rFonts w:eastAsiaTheme="majorEastAsia" w:cs="Calibri"/>
          <w:color w:val="000000" w:themeColor="text1"/>
          <w:sz w:val="16"/>
        </w:rPr>
        <w:t>Disability justice activist and educator Lydia X Z Brown</w:t>
      </w:r>
      <w:r w:rsidRPr="00F933AF">
        <w:rPr>
          <w:rStyle w:val="s1"/>
          <w:rFonts w:eastAsiaTheme="majorEastAsia" w:cs="Calibri"/>
          <w:color w:val="000000" w:themeColor="text1"/>
          <w:sz w:val="16"/>
        </w:rPr>
        <w:t xml:space="preserve"> </w:t>
      </w:r>
      <w:hyperlink r:id="rId195" w:history="1">
        <w:r w:rsidRPr="00F933AF">
          <w:rPr>
            <w:rStyle w:val="Hyperlink"/>
            <w:rFonts w:cs="Calibri"/>
            <w:color w:val="000000" w:themeColor="text1"/>
            <w:sz w:val="16"/>
          </w:rPr>
          <w:t>defines</w:t>
        </w:r>
      </w:hyperlink>
      <w:r w:rsidRPr="00F933AF">
        <w:rPr>
          <w:rStyle w:val="s1"/>
          <w:rFonts w:eastAsiaTheme="majorEastAsia" w:cs="Calibri"/>
          <w:color w:val="000000" w:themeColor="text1"/>
          <w:sz w:val="16"/>
        </w:rPr>
        <w:t xml:space="preserve"> ableism as "oppression, prejudice, stereotyping, or discrimination against disabled people on the basis of actual or presumed disability". Furthermore, Brown argues, ableism is "the belief that people are superior or inferior, have better quality of life, or have lives more valuable or worth living on the basis of actual or perceived disability." Unsurprisingly, </w:t>
      </w:r>
      <w:r w:rsidRPr="00F933AF">
        <w:rPr>
          <w:rStyle w:val="s1"/>
          <w:rFonts w:eastAsiaTheme="majorEastAsia" w:cs="Calibri"/>
          <w:color w:val="000000" w:themeColor="text1"/>
          <w:u w:val="single"/>
        </w:rPr>
        <w:t>undergirding many US immigration laws</w:t>
      </w:r>
      <w:r w:rsidRPr="00F933AF">
        <w:rPr>
          <w:rStyle w:val="s1"/>
          <w:rFonts w:eastAsiaTheme="majorEastAsia" w:cs="Calibri"/>
          <w:color w:val="000000" w:themeColor="text1"/>
          <w:sz w:val="16"/>
        </w:rPr>
        <w:t xml:space="preserve">, for instance, </w:t>
      </w:r>
      <w:r w:rsidRPr="00F933AF">
        <w:rPr>
          <w:rStyle w:val="s1"/>
          <w:rFonts w:eastAsiaTheme="majorEastAsia" w:cs="Calibri"/>
          <w:color w:val="000000" w:themeColor="text1"/>
          <w:u w:val="single"/>
        </w:rPr>
        <w:t>are theories of "scientific" racism and eugenics - namely, on ideas of racial superiority/inferiority, gendered, sexual and psychopathic deviancy, and prevailing notions of "common sense" racism</w:t>
      </w:r>
      <w:r w:rsidRPr="00F933AF">
        <w:rPr>
          <w:rStyle w:val="s1"/>
          <w:rFonts w:eastAsiaTheme="majorEastAsia" w:cs="Calibri"/>
          <w:color w:val="000000" w:themeColor="text1"/>
          <w:sz w:val="16"/>
        </w:rPr>
        <w:t xml:space="preserve">. </w:t>
      </w:r>
      <w:r w:rsidRPr="00F933AF">
        <w:rPr>
          <w:rStyle w:val="s1"/>
          <w:rFonts w:eastAsiaTheme="majorEastAsia" w:cs="Calibri"/>
          <w:b/>
          <w:color w:val="000000" w:themeColor="text1"/>
          <w:u w:val="single"/>
        </w:rPr>
        <w:t>Such arguments construct a knowledge system that ties the worth of people to their productivity and proximity to normative constructions of whiteness.</w:t>
      </w:r>
      <w:r w:rsidRPr="00F933AF">
        <w:rPr>
          <w:rFonts w:cs="Calibri"/>
          <w:color w:val="000000" w:themeColor="text1"/>
          <w:sz w:val="16"/>
        </w:rPr>
        <w:t xml:space="preserve"> </w:t>
      </w:r>
      <w:r w:rsidRPr="00F933AF">
        <w:rPr>
          <w:rStyle w:val="s1"/>
          <w:rFonts w:eastAsiaTheme="majorEastAsia" w:cs="Calibri"/>
          <w:color w:val="000000" w:themeColor="text1"/>
          <w:sz w:val="16"/>
        </w:rPr>
        <w:t xml:space="preserve">To be sure, then, </w:t>
      </w:r>
      <w:r w:rsidRPr="00F933AF">
        <w:rPr>
          <w:rStyle w:val="s1"/>
          <w:rFonts w:eastAsiaTheme="majorEastAsia" w:cs="Calibri"/>
          <w:color w:val="000000" w:themeColor="text1"/>
          <w:u w:val="single"/>
        </w:rPr>
        <w:t>ableism is part and parcel of white supremacy</w:t>
      </w:r>
      <w:r w:rsidRPr="00F933AF">
        <w:rPr>
          <w:rStyle w:val="s1"/>
          <w:rFonts w:eastAsiaTheme="majorEastAsia" w:cs="Calibri"/>
          <w:color w:val="000000" w:themeColor="text1"/>
          <w:sz w:val="16"/>
        </w:rPr>
        <w:t xml:space="preserve">. </w:t>
      </w:r>
      <w:hyperlink r:id="rId196" w:tgtFrame="_blank" w:history="1">
        <w:r w:rsidRPr="00F933AF">
          <w:rPr>
            <w:rStyle w:val="Hyperlink"/>
            <w:rFonts w:cs="Calibri"/>
            <w:color w:val="000000" w:themeColor="text1"/>
            <w:sz w:val="16"/>
          </w:rPr>
          <w:t>According</w:t>
        </w:r>
      </w:hyperlink>
      <w:r w:rsidRPr="00F933AF">
        <w:rPr>
          <w:rStyle w:val="s1"/>
          <w:rFonts w:eastAsiaTheme="majorEastAsia" w:cs="Calibri"/>
          <w:color w:val="000000" w:themeColor="text1"/>
          <w:sz w:val="16"/>
        </w:rPr>
        <w:t xml:space="preserve"> to critical race theorist Frances Lee Ansley, white supremacy is "a political, economic and cultural system in which whites overwhelmingly control power and material resources." Furthermore, </w:t>
      </w:r>
      <w:hyperlink r:id="rId197" w:tgtFrame="_blank" w:history="1">
        <w:r w:rsidRPr="00F933AF">
          <w:rPr>
            <w:rStyle w:val="s3"/>
            <w:rFonts w:cs="Calibri"/>
            <w:color w:val="000000" w:themeColor="text1"/>
            <w:sz w:val="16"/>
          </w:rPr>
          <w:t>according</w:t>
        </w:r>
        <w:r w:rsidRPr="00F933AF">
          <w:rPr>
            <w:rStyle w:val="Hyperlink"/>
            <w:rFonts w:cs="Calibri"/>
            <w:color w:val="000000" w:themeColor="text1"/>
            <w:sz w:val="16"/>
          </w:rPr>
          <w:t xml:space="preserve"> </w:t>
        </w:r>
      </w:hyperlink>
      <w:r w:rsidRPr="00F933AF">
        <w:rPr>
          <w:rStyle w:val="s1"/>
          <w:rFonts w:eastAsiaTheme="majorEastAsia" w:cs="Calibri"/>
          <w:color w:val="000000" w:themeColor="text1"/>
          <w:sz w:val="16"/>
        </w:rPr>
        <w:t>to Robin DiAngelo, a scholar of Whiteness Studies, white supremacy defines white people "as the norm or standard for human, and people of colour as an inherent deviation from that norm."</w:t>
      </w:r>
      <w:r w:rsidRPr="00F933AF">
        <w:rPr>
          <w:rStyle w:val="apple-converted-space"/>
          <w:rFonts w:cs="Calibri"/>
          <w:color w:val="000000" w:themeColor="text1"/>
          <w:sz w:val="16"/>
        </w:rPr>
        <w:t xml:space="preserve"> </w:t>
      </w:r>
      <w:r w:rsidRPr="00F933AF">
        <w:rPr>
          <w:rStyle w:val="s1"/>
          <w:rFonts w:eastAsiaTheme="majorEastAsia" w:cs="Calibri"/>
          <w:color w:val="000000" w:themeColor="text1"/>
          <w:u w:val="single"/>
        </w:rPr>
        <w:t xml:space="preserve">Prior to the rescission of DACA by the Trump administration in September 2017, some proponents of the policy argued against its repeal by framing the issue as one of economics. </w:t>
      </w:r>
      <w:r w:rsidRPr="00F933AF">
        <w:rPr>
          <w:rStyle w:val="s1"/>
          <w:rFonts w:eastAsiaTheme="majorEastAsia" w:cs="Calibri"/>
          <w:color w:val="000000" w:themeColor="text1"/>
          <w:sz w:val="16"/>
        </w:rPr>
        <w:t xml:space="preserve">Myriad studies were cited to demonstrate that DACA recipients </w:t>
      </w:r>
      <w:hyperlink r:id="rId198" w:tgtFrame="_blank" w:history="1">
        <w:r w:rsidRPr="00F933AF">
          <w:rPr>
            <w:rStyle w:val="s3"/>
            <w:rFonts w:cs="Calibri"/>
            <w:color w:val="000000" w:themeColor="text1"/>
            <w:sz w:val="16"/>
          </w:rPr>
          <w:t>benefit</w:t>
        </w:r>
        <w:r w:rsidRPr="00F933AF">
          <w:rPr>
            <w:rStyle w:val="Hyperlink"/>
            <w:rFonts w:cs="Calibri"/>
            <w:color w:val="000000" w:themeColor="text1"/>
            <w:sz w:val="16"/>
          </w:rPr>
          <w:t xml:space="preserve"> </w:t>
        </w:r>
      </w:hyperlink>
      <w:hyperlink r:id="rId199" w:history="1">
        <w:r w:rsidRPr="00F933AF">
          <w:rPr>
            <w:rStyle w:val="s3"/>
            <w:rFonts w:cs="Calibri"/>
            <w:color w:val="000000" w:themeColor="text1"/>
            <w:sz w:val="16"/>
          </w:rPr>
          <w:t>the</w:t>
        </w:r>
      </w:hyperlink>
      <w:r w:rsidRPr="00F933AF">
        <w:rPr>
          <w:rStyle w:val="s3"/>
          <w:rFonts w:cs="Calibri"/>
          <w:color w:val="000000" w:themeColor="text1"/>
          <w:sz w:val="16"/>
        </w:rPr>
        <w:t xml:space="preserve"> </w:t>
      </w:r>
      <w:hyperlink r:id="rId200" w:history="1">
        <w:r w:rsidRPr="00F933AF">
          <w:rPr>
            <w:rStyle w:val="s3"/>
            <w:rFonts w:cs="Calibri"/>
            <w:color w:val="000000" w:themeColor="text1"/>
            <w:sz w:val="16"/>
          </w:rPr>
          <w:t>economy</w:t>
        </w:r>
      </w:hyperlink>
      <w:r w:rsidRPr="00F933AF">
        <w:rPr>
          <w:rStyle w:val="s1"/>
          <w:rFonts w:eastAsiaTheme="majorEastAsia" w:cs="Calibri"/>
          <w:color w:val="000000" w:themeColor="text1"/>
          <w:sz w:val="16"/>
        </w:rPr>
        <w:t xml:space="preserve"> (or, conversely, that </w:t>
      </w:r>
      <w:hyperlink r:id="rId201" w:tgtFrame="_blank" w:history="1">
        <w:r w:rsidRPr="00F933AF">
          <w:rPr>
            <w:rStyle w:val="s3"/>
            <w:rFonts w:cs="Calibri"/>
            <w:color w:val="000000" w:themeColor="text1"/>
            <w:sz w:val="16"/>
          </w:rPr>
          <w:t>deportation</w:t>
        </w:r>
      </w:hyperlink>
      <w:r w:rsidRPr="00F933AF">
        <w:rPr>
          <w:rStyle w:val="s1"/>
          <w:rFonts w:eastAsiaTheme="majorEastAsia" w:cs="Calibri"/>
          <w:color w:val="000000" w:themeColor="text1"/>
          <w:sz w:val="16"/>
        </w:rPr>
        <w:t xml:space="preserve"> would be </w:t>
      </w:r>
      <w:hyperlink r:id="rId202" w:tgtFrame="_blank" w:history="1">
        <w:r w:rsidRPr="00F933AF">
          <w:rPr>
            <w:rStyle w:val="s3"/>
            <w:rFonts w:cs="Calibri"/>
            <w:color w:val="000000" w:themeColor="text1"/>
            <w:sz w:val="16"/>
          </w:rPr>
          <w:t>costly</w:t>
        </w:r>
      </w:hyperlink>
      <w:r w:rsidRPr="00F933AF">
        <w:rPr>
          <w:rStyle w:val="s1"/>
          <w:rFonts w:eastAsiaTheme="majorEastAsia" w:cs="Calibri"/>
          <w:color w:val="000000" w:themeColor="text1"/>
          <w:sz w:val="16"/>
        </w:rPr>
        <w:t>).</w:t>
      </w:r>
      <w:r w:rsidRPr="00F933AF">
        <w:rPr>
          <w:rStyle w:val="apple-converted-space"/>
          <w:rFonts w:cs="Calibri"/>
          <w:color w:val="000000" w:themeColor="text1"/>
          <w:sz w:val="16"/>
        </w:rPr>
        <w:t xml:space="preserve"> </w:t>
      </w:r>
      <w:r w:rsidRPr="00F933AF">
        <w:rPr>
          <w:rStyle w:val="s1"/>
          <w:rFonts w:eastAsiaTheme="majorEastAsia" w:cs="Calibri"/>
          <w:color w:val="000000" w:themeColor="text1"/>
          <w:u w:val="single"/>
        </w:rPr>
        <w:t>Others argued that this framing is dehumanising</w:t>
      </w:r>
      <w:r w:rsidRPr="00F933AF">
        <w:rPr>
          <w:rStyle w:val="s1"/>
          <w:rFonts w:eastAsiaTheme="majorEastAsia" w:cs="Calibri"/>
          <w:color w:val="000000" w:themeColor="text1"/>
          <w:sz w:val="16"/>
        </w:rPr>
        <w:t xml:space="preserve">. For instance, in a New York Times </w:t>
      </w:r>
      <w:hyperlink r:id="rId203" w:tgtFrame="_blank" w:history="1">
        <w:r w:rsidRPr="00F933AF">
          <w:rPr>
            <w:rStyle w:val="s8"/>
            <w:rFonts w:cs="Calibri"/>
            <w:color w:val="000000" w:themeColor="text1"/>
            <w:sz w:val="16"/>
          </w:rPr>
          <w:t>op-ed</w:t>
        </w:r>
        <w:r w:rsidRPr="00F933AF">
          <w:rPr>
            <w:rStyle w:val="Hyperlink"/>
            <w:rFonts w:cs="Calibri"/>
            <w:color w:val="000000" w:themeColor="text1"/>
            <w:sz w:val="16"/>
          </w:rPr>
          <w:t xml:space="preserve"> </w:t>
        </w:r>
      </w:hyperlink>
      <w:r w:rsidRPr="00F933AF">
        <w:rPr>
          <w:rStyle w:val="s1"/>
          <w:rFonts w:eastAsiaTheme="majorEastAsia" w:cs="Calibri"/>
          <w:color w:val="000000" w:themeColor="text1"/>
          <w:sz w:val="16"/>
        </w:rPr>
        <w:t>, Masha Gessen discussed how the DACA programme and even the Muslim bans were qualified through a cost/benefit analysis to the economy:</w:t>
      </w:r>
      <w:r w:rsidRPr="00F933AF">
        <w:rPr>
          <w:rStyle w:val="apple-converted-space"/>
          <w:rFonts w:cs="Calibri"/>
          <w:color w:val="000000" w:themeColor="text1"/>
          <w:sz w:val="16"/>
        </w:rPr>
        <w:t xml:space="preserve"> "</w:t>
      </w:r>
      <w:r w:rsidRPr="00F933AF">
        <w:rPr>
          <w:rStyle w:val="s1"/>
          <w:rFonts w:eastAsiaTheme="majorEastAsia" w:cs="Calibri"/>
          <w:color w:val="000000" w:themeColor="text1"/>
          <w:sz w:val="16"/>
        </w:rPr>
        <w:t xml:space="preserve"> </w:t>
      </w:r>
      <w:r w:rsidRPr="00F933AF">
        <w:rPr>
          <w:rFonts w:cs="Calibri"/>
          <w:color w:val="000000" w:themeColor="text1"/>
          <w:sz w:val="16"/>
        </w:rPr>
        <w:t xml:space="preserve">When the president threw his support behind a reform plan that would drastically reduce immigration to this country, editorial writers argued against it by pointing out that immigrants benefit the economy." </w:t>
      </w:r>
      <w:r w:rsidRPr="00F933AF">
        <w:rPr>
          <w:rStyle w:val="s1"/>
          <w:rFonts w:eastAsiaTheme="majorEastAsia" w:cs="Calibri"/>
          <w:color w:val="000000" w:themeColor="text1"/>
          <w:sz w:val="16"/>
        </w:rPr>
        <w:t>Gessen makes an important point. And yet, some may wonder: What's so wrong with keeping out immigrants who won't benefit the economy? Let's again return to Gessen: "</w:t>
      </w:r>
      <w:r w:rsidRPr="00F933AF">
        <w:rPr>
          <w:rStyle w:val="s1"/>
          <w:rFonts w:eastAsiaTheme="majorEastAsia" w:cs="Calibri"/>
          <w:color w:val="000000" w:themeColor="text1"/>
          <w:u w:val="single"/>
        </w:rPr>
        <w:t>If immigration is debated only in terms of whether it benefits the economy,</w:t>
      </w:r>
      <w:r w:rsidRPr="00F933AF">
        <w:rPr>
          <w:rStyle w:val="s1"/>
          <w:rFonts w:eastAsiaTheme="majorEastAsia" w:cs="Calibri"/>
          <w:color w:val="000000" w:themeColor="text1"/>
          <w:sz w:val="16"/>
        </w:rPr>
        <w:t>" she argues, "</w:t>
      </w:r>
      <w:r w:rsidRPr="00F933AF">
        <w:rPr>
          <w:rStyle w:val="s1"/>
          <w:rFonts w:eastAsiaTheme="majorEastAsia" w:cs="Calibri"/>
          <w:color w:val="000000" w:themeColor="text1"/>
          <w:u w:val="single"/>
        </w:rPr>
        <w:t>politicians begin to divide people into two categories: 'valuable' and 'illegal.</w:t>
      </w:r>
      <w:r w:rsidRPr="00F933AF">
        <w:rPr>
          <w:rStyle w:val="s1"/>
          <w:rFonts w:eastAsiaTheme="majorEastAsia" w:cs="Calibri"/>
          <w:color w:val="000000" w:themeColor="text1"/>
          <w:sz w:val="16"/>
        </w:rPr>
        <w:t>'" Furthermore, as DACA recipient Joel Sati explained in a Washington Post </w:t>
      </w:r>
      <w:hyperlink r:id="rId204" w:history="1">
        <w:r w:rsidRPr="00F933AF">
          <w:rPr>
            <w:rStyle w:val="Hyperlink"/>
            <w:rFonts w:eastAsiaTheme="majorEastAsia" w:cs="Calibri"/>
            <w:color w:val="000000" w:themeColor="text1"/>
            <w:sz w:val="16"/>
          </w:rPr>
          <w:t>op-ed</w:t>
        </w:r>
      </w:hyperlink>
      <w:r w:rsidRPr="00F933AF">
        <w:rPr>
          <w:rStyle w:val="s1"/>
          <w:rFonts w:eastAsiaTheme="majorEastAsia" w:cs="Calibri"/>
          <w:color w:val="000000" w:themeColor="text1"/>
          <w:sz w:val="16"/>
        </w:rPr>
        <w:t xml:space="preserve">, </w:t>
      </w:r>
      <w:r w:rsidRPr="00F933AF">
        <w:rPr>
          <w:rStyle w:val="s1"/>
          <w:rFonts w:eastAsiaTheme="majorEastAsia" w:cs="Calibri"/>
          <w:color w:val="000000" w:themeColor="text1"/>
          <w:u w:val="single"/>
        </w:rPr>
        <w:t>immigration policies that illegalise human beings require immigrants to "grovel for a humanity that ought to be presupposed."</w:t>
      </w:r>
      <w:r w:rsidRPr="00F933AF">
        <w:rPr>
          <w:rFonts w:cs="Calibri"/>
          <w:color w:val="000000" w:themeColor="text1"/>
          <w:sz w:val="16"/>
        </w:rPr>
        <w:t xml:space="preserve"> </w:t>
      </w:r>
      <w:r w:rsidRPr="00F933AF">
        <w:rPr>
          <w:rStyle w:val="s1"/>
          <w:rFonts w:eastAsiaTheme="majorEastAsia" w:cs="Calibri"/>
          <w:color w:val="000000" w:themeColor="text1"/>
          <w:sz w:val="16"/>
        </w:rPr>
        <w:t xml:space="preserve">In other words, </w:t>
      </w:r>
      <w:r w:rsidRPr="00F933AF">
        <w:rPr>
          <w:rStyle w:val="s1"/>
          <w:rFonts w:eastAsiaTheme="majorEastAsia" w:cs="Calibri"/>
          <w:color w:val="000000" w:themeColor="text1"/>
          <w:u w:val="single"/>
        </w:rPr>
        <w:t>immigration policy that links admissibility to worth and productivity, and inadmissibility to illegality and threat, is an inherently dehumanising (and ableist) process that prioritises economic profitability over human dignity</w:t>
      </w:r>
      <w:r w:rsidRPr="00F933AF">
        <w:rPr>
          <w:rStyle w:val="s1"/>
          <w:rFonts w:eastAsiaTheme="majorEastAsia" w:cs="Calibri"/>
          <w:color w:val="000000" w:themeColor="text1"/>
          <w:sz w:val="16"/>
        </w:rPr>
        <w:t>.</w:t>
      </w:r>
      <w:r w:rsidRPr="00F933AF">
        <w:rPr>
          <w:rFonts w:cs="Calibri"/>
          <w:color w:val="000000" w:themeColor="text1"/>
          <w:sz w:val="16"/>
        </w:rPr>
        <w:t xml:space="preserve"> </w:t>
      </w:r>
      <w:r w:rsidRPr="00F933AF">
        <w:rPr>
          <w:rStyle w:val="s1"/>
          <w:rFonts w:eastAsiaTheme="majorEastAsia" w:cs="Calibri"/>
          <w:color w:val="000000" w:themeColor="text1"/>
          <w:sz w:val="16"/>
        </w:rPr>
        <w:t>In addition to the Muslim bans and the rescission of DACA, Republican Senators Tom Cotton and David Perdue in February 2017 proposed legislation, the </w:t>
      </w:r>
      <w:hyperlink r:id="rId205" w:history="1">
        <w:r w:rsidRPr="00F933AF">
          <w:rPr>
            <w:rStyle w:val="s3"/>
            <w:rFonts w:cs="Calibri"/>
            <w:color w:val="000000" w:themeColor="text1"/>
            <w:sz w:val="16"/>
          </w:rPr>
          <w:t xml:space="preserve">Reforming American Immigration for Strong Employment (RAISE) </w:t>
        </w:r>
        <w:proofErr w:type="gramStart"/>
        <w:r w:rsidRPr="00F933AF">
          <w:rPr>
            <w:rStyle w:val="s3"/>
            <w:rFonts w:cs="Calibri"/>
            <w:color w:val="000000" w:themeColor="text1"/>
            <w:sz w:val="16"/>
          </w:rPr>
          <w:t>Act</w:t>
        </w:r>
        <w:r w:rsidRPr="00F933AF">
          <w:rPr>
            <w:rStyle w:val="Hyperlink"/>
            <w:rFonts w:eastAsiaTheme="majorEastAsia" w:cs="Calibri"/>
            <w:color w:val="000000" w:themeColor="text1"/>
            <w:sz w:val="16"/>
          </w:rPr>
          <w:t> </w:t>
        </w:r>
        <w:proofErr w:type="gramEnd"/>
      </w:hyperlink>
      <w:r w:rsidRPr="00F933AF">
        <w:rPr>
          <w:rStyle w:val="s1"/>
          <w:rFonts w:eastAsiaTheme="majorEastAsia" w:cs="Calibri"/>
          <w:color w:val="000000" w:themeColor="text1"/>
          <w:sz w:val="16"/>
        </w:rPr>
        <w:t>, to drastically cut immigration and refugee resettlement. In </w:t>
      </w:r>
      <w:hyperlink r:id="rId206" w:tgtFrame="_blank" w:history="1">
        <w:r w:rsidRPr="00F933AF">
          <w:rPr>
            <w:rStyle w:val="s3"/>
            <w:rFonts w:cs="Calibri"/>
            <w:color w:val="000000" w:themeColor="text1"/>
            <w:sz w:val="16"/>
          </w:rPr>
          <w:t>remarks</w:t>
        </w:r>
      </w:hyperlink>
      <w:r w:rsidRPr="00F933AF">
        <w:rPr>
          <w:rStyle w:val="s1"/>
          <w:rFonts w:eastAsiaTheme="majorEastAsia" w:cs="Calibri"/>
          <w:color w:val="000000" w:themeColor="text1"/>
          <w:sz w:val="16"/>
        </w:rPr>
        <w:t> in support of the proposed legislation, President Trump declared that the RAISE Act "will favour applications who can speak English, financially support themselves and their families, and demonstrate skills that will contribute to our economy."</w:t>
      </w:r>
      <w:r w:rsidRPr="00F933AF">
        <w:rPr>
          <w:rFonts w:cs="Calibri"/>
          <w:color w:val="000000" w:themeColor="text1"/>
          <w:sz w:val="16"/>
        </w:rPr>
        <w:t xml:space="preserve"> </w:t>
      </w:r>
      <w:r w:rsidRPr="00F933AF">
        <w:rPr>
          <w:rStyle w:val="s1"/>
          <w:rFonts w:eastAsiaTheme="majorEastAsia" w:cs="Calibri"/>
          <w:color w:val="000000" w:themeColor="text1"/>
          <w:sz w:val="16"/>
        </w:rPr>
        <w:t xml:space="preserve">Like discussions around DACA, the RAISE Act ties immigration to the economy and regulates it with ableist discourse. The proposed legislation does so by purporting to maximise economic profitability by drastically restricting immigration. Should this legislation be enacted, the RAISE Act would join a long history of immigration law that has, to various degrees, "regulated" immigration by weighing its costs or contributions against the financial well being of the economy-state. </w:t>
      </w:r>
      <w:r w:rsidRPr="00F933AF">
        <w:rPr>
          <w:rStyle w:val="s1"/>
          <w:rFonts w:eastAsiaTheme="majorEastAsia" w:cs="Calibri"/>
          <w:color w:val="000000" w:themeColor="text1"/>
          <w:u w:val="single"/>
        </w:rPr>
        <w:t>For immigrants deemed unproductive, undesirable and/or dangerous, admission was denied.</w:t>
      </w:r>
      <w:r w:rsidRPr="00F933AF">
        <w:rPr>
          <w:rFonts w:cs="Calibri"/>
          <w:color w:val="000000" w:themeColor="text1"/>
          <w:sz w:val="16"/>
        </w:rPr>
        <w:t xml:space="preserve"> </w:t>
      </w:r>
      <w:r w:rsidRPr="00F933AF">
        <w:rPr>
          <w:rStyle w:val="s1"/>
          <w:rFonts w:eastAsiaTheme="majorEastAsia" w:cs="Calibri"/>
          <w:color w:val="000000" w:themeColor="text1"/>
          <w:sz w:val="16"/>
        </w:rPr>
        <w:t xml:space="preserve">From 1882 to 1917, various </w:t>
      </w:r>
      <w:r w:rsidRPr="00F933AF">
        <w:rPr>
          <w:rStyle w:val="s1"/>
          <w:rFonts w:eastAsiaTheme="majorEastAsia" w:cs="Calibri"/>
          <w:color w:val="000000" w:themeColor="text1"/>
          <w:u w:val="single"/>
        </w:rPr>
        <w:t xml:space="preserve">legislation codified into law numerous categories of perceived </w:t>
      </w:r>
      <w:r w:rsidRPr="00F933AF">
        <w:rPr>
          <w:rStyle w:val="s1"/>
          <w:rFonts w:eastAsiaTheme="majorEastAsia" w:cs="Calibri"/>
          <w:b/>
          <w:color w:val="000000" w:themeColor="text1"/>
          <w:u w:val="single"/>
        </w:rPr>
        <w:t>deviancy and divergence.</w:t>
      </w:r>
      <w:r w:rsidRPr="00F933AF">
        <w:rPr>
          <w:rStyle w:val="s1"/>
          <w:rFonts w:eastAsiaTheme="majorEastAsia" w:cs="Calibri"/>
          <w:color w:val="000000" w:themeColor="text1"/>
          <w:sz w:val="16"/>
        </w:rPr>
        <w:t xml:space="preserve"> </w:t>
      </w:r>
      <w:r w:rsidRPr="00F933AF">
        <w:rPr>
          <w:rStyle w:val="s1"/>
          <w:rFonts w:eastAsiaTheme="majorEastAsia" w:cs="Calibri"/>
          <w:color w:val="000000" w:themeColor="text1"/>
          <w:u w:val="single"/>
        </w:rPr>
        <w:t>These ableist classifications, along with bans by nationality and geographic origin, have shaped the legal basis for US immigration exclusion</w:t>
      </w:r>
      <w:r w:rsidRPr="00F933AF">
        <w:rPr>
          <w:rStyle w:val="s1"/>
          <w:rFonts w:eastAsiaTheme="majorEastAsia" w:cs="Calibri"/>
          <w:color w:val="000000" w:themeColor="text1"/>
          <w:sz w:val="16"/>
        </w:rPr>
        <w:t>.</w:t>
      </w:r>
      <w:r w:rsidRPr="00F933AF">
        <w:rPr>
          <w:rFonts w:cs="Calibri"/>
          <w:color w:val="000000" w:themeColor="text1"/>
          <w:sz w:val="16"/>
        </w:rPr>
        <w:t xml:space="preserve"> </w:t>
      </w:r>
      <w:r w:rsidRPr="00F933AF">
        <w:rPr>
          <w:rStyle w:val="s1"/>
          <w:rFonts w:eastAsiaTheme="majorEastAsia" w:cs="Calibri"/>
          <w:color w:val="000000" w:themeColor="text1"/>
          <w:sz w:val="16"/>
        </w:rPr>
        <w:t>For instance:</w:t>
      </w:r>
      <w:r w:rsidRPr="00F933AF">
        <w:rPr>
          <w:rStyle w:val="apple-converted-space"/>
          <w:rFonts w:cs="Calibri"/>
          <w:color w:val="000000" w:themeColor="text1"/>
          <w:sz w:val="16"/>
        </w:rPr>
        <w:t> </w:t>
      </w:r>
      <w:r w:rsidRPr="00F933AF">
        <w:rPr>
          <w:rStyle w:val="s1"/>
          <w:rFonts w:eastAsiaTheme="majorEastAsia" w:cs="Calibri"/>
          <w:color w:val="000000" w:themeColor="text1"/>
          <w:sz w:val="16"/>
        </w:rPr>
        <w:t> </w:t>
      </w:r>
      <w:r w:rsidRPr="00F933AF">
        <w:rPr>
          <w:rFonts w:cs="Calibri"/>
          <w:color w:val="000000" w:themeColor="text1"/>
          <w:sz w:val="16"/>
        </w:rPr>
        <w:t>The </w:t>
      </w:r>
      <w:r w:rsidRPr="00F933AF">
        <w:rPr>
          <w:rStyle w:val="s3"/>
          <w:rFonts w:cs="Calibri"/>
          <w:color w:val="000000" w:themeColor="text1"/>
          <w:sz w:val="16"/>
        </w:rPr>
        <w:t>Immigration Act of 1882</w:t>
      </w:r>
      <w:r w:rsidRPr="00F933AF">
        <w:rPr>
          <w:rFonts w:cs="Calibri"/>
          <w:color w:val="000000" w:themeColor="text1"/>
          <w:sz w:val="16"/>
        </w:rPr>
        <w:t> </w:t>
      </w:r>
      <w:hyperlink r:id="rId207" w:history="1">
        <w:r w:rsidRPr="00F933AF">
          <w:rPr>
            <w:rStyle w:val="s3"/>
            <w:rFonts w:cs="Calibri"/>
            <w:color w:val="000000" w:themeColor="text1"/>
            <w:sz w:val="16"/>
          </w:rPr>
          <w:t>prohibited</w:t>
        </w:r>
      </w:hyperlink>
      <w:r w:rsidRPr="00F933AF">
        <w:rPr>
          <w:rFonts w:cs="Calibri"/>
          <w:color w:val="000000" w:themeColor="text1"/>
          <w:sz w:val="16"/>
        </w:rPr>
        <w:t> entry to any "lunatic, idiot, or any person unable to take care of himself or herself without becoming a public charge."</w:t>
      </w:r>
      <w:r w:rsidRPr="00F933AF">
        <w:rPr>
          <w:rStyle w:val="apple-converted-space"/>
          <w:rFonts w:cs="Calibri"/>
          <w:color w:val="000000" w:themeColor="text1"/>
          <w:sz w:val="16"/>
        </w:rPr>
        <w:t> </w:t>
      </w:r>
      <w:r w:rsidRPr="00F933AF">
        <w:rPr>
          <w:rFonts w:cs="Calibri"/>
          <w:color w:val="000000" w:themeColor="text1"/>
          <w:sz w:val="16"/>
        </w:rPr>
        <w:t>The </w:t>
      </w:r>
      <w:hyperlink r:id="rId208" w:history="1">
        <w:r w:rsidRPr="00F933AF">
          <w:rPr>
            <w:rStyle w:val="s3"/>
            <w:rFonts w:cs="Calibri"/>
            <w:color w:val="000000" w:themeColor="text1"/>
            <w:sz w:val="16"/>
          </w:rPr>
          <w:t>Alien Immigration Act</w:t>
        </w:r>
      </w:hyperlink>
      <w:r w:rsidRPr="00F933AF">
        <w:rPr>
          <w:rFonts w:cs="Calibri"/>
          <w:color w:val="000000" w:themeColor="text1"/>
          <w:sz w:val="16"/>
        </w:rPr>
        <w:t> (1903) </w:t>
      </w:r>
      <w:hyperlink r:id="rId209" w:anchor="legislation" w:history="1">
        <w:r w:rsidRPr="00F933AF">
          <w:rPr>
            <w:rStyle w:val="s3"/>
            <w:rFonts w:cs="Calibri"/>
            <w:color w:val="000000" w:themeColor="text1"/>
            <w:sz w:val="16"/>
          </w:rPr>
          <w:t>added</w:t>
        </w:r>
      </w:hyperlink>
      <w:r w:rsidRPr="00F933AF">
        <w:rPr>
          <w:rStyle w:val="s3"/>
          <w:rFonts w:cs="Calibri"/>
          <w:color w:val="000000" w:themeColor="text1"/>
          <w:sz w:val="16"/>
        </w:rPr>
        <w:t xml:space="preserve"> </w:t>
      </w:r>
      <w:r w:rsidRPr="00F933AF">
        <w:rPr>
          <w:rFonts w:cs="Calibri"/>
          <w:color w:val="000000" w:themeColor="text1"/>
          <w:sz w:val="16"/>
        </w:rPr>
        <w:t>for exclusion "insane persons, epileptics, and persons who have been insane within five years previous; persons who have had two or more attacks of insanity at any time previously," among other categories. The </w:t>
      </w:r>
      <w:r w:rsidRPr="00F933AF">
        <w:rPr>
          <w:rStyle w:val="s3"/>
          <w:rFonts w:eastAsiaTheme="majorEastAsia" w:cs="Calibri"/>
          <w:color w:val="000000" w:themeColor="text1"/>
          <w:sz w:val="16"/>
        </w:rPr>
        <w:t>Immigration Act</w:t>
      </w:r>
      <w:r w:rsidRPr="00F933AF">
        <w:rPr>
          <w:rFonts w:cs="Calibri"/>
          <w:color w:val="000000" w:themeColor="text1"/>
          <w:sz w:val="16"/>
        </w:rPr>
        <w:t> </w:t>
      </w:r>
      <w:r w:rsidRPr="00F933AF">
        <w:rPr>
          <w:rStyle w:val="s3"/>
          <w:rFonts w:eastAsiaTheme="majorEastAsia" w:cs="Calibri"/>
          <w:color w:val="000000" w:themeColor="text1"/>
          <w:sz w:val="16"/>
        </w:rPr>
        <w:t>of 1907</w:t>
      </w:r>
      <w:r w:rsidRPr="00F933AF">
        <w:rPr>
          <w:rFonts w:cs="Calibri"/>
          <w:color w:val="000000" w:themeColor="text1"/>
          <w:sz w:val="16"/>
        </w:rPr>
        <w:t> </w:t>
      </w:r>
      <w:hyperlink r:id="rId210" w:history="1">
        <w:r w:rsidRPr="00F933AF">
          <w:rPr>
            <w:rStyle w:val="s3"/>
            <w:rFonts w:eastAsiaTheme="majorEastAsia" w:cs="Calibri"/>
            <w:color w:val="000000" w:themeColor="text1"/>
            <w:sz w:val="16"/>
          </w:rPr>
          <w:t>added</w:t>
        </w:r>
      </w:hyperlink>
      <w:r w:rsidRPr="00F933AF">
        <w:rPr>
          <w:rFonts w:cs="Calibri"/>
          <w:color w:val="000000" w:themeColor="text1"/>
          <w:sz w:val="16"/>
        </w:rPr>
        <w:t> "imbeciles" and "feeble-minded persons," people suffering from tuberculosis, and people "certified" by an immigration official "as being mentally or physically defective," among other categories.</w:t>
      </w:r>
      <w:r w:rsidRPr="00F933AF">
        <w:rPr>
          <w:rStyle w:val="apple-converted-space"/>
          <w:rFonts w:cs="Calibri"/>
          <w:color w:val="000000" w:themeColor="text1"/>
          <w:sz w:val="16"/>
        </w:rPr>
        <w:t> </w:t>
      </w:r>
      <w:r w:rsidRPr="00F933AF">
        <w:rPr>
          <w:rFonts w:cs="Calibri"/>
          <w:color w:val="000000" w:themeColor="text1"/>
          <w:sz w:val="16"/>
        </w:rPr>
        <w:t>The </w:t>
      </w:r>
      <w:r w:rsidRPr="00F933AF">
        <w:rPr>
          <w:rStyle w:val="s3"/>
          <w:rFonts w:eastAsiaTheme="majorEastAsia" w:cs="Calibri"/>
          <w:color w:val="000000" w:themeColor="text1"/>
          <w:sz w:val="16"/>
        </w:rPr>
        <w:t>Immigration Act</w:t>
      </w:r>
      <w:r w:rsidRPr="00F933AF">
        <w:rPr>
          <w:rFonts w:cs="Calibri"/>
          <w:color w:val="000000" w:themeColor="text1"/>
          <w:sz w:val="16"/>
        </w:rPr>
        <w:t> </w:t>
      </w:r>
      <w:r w:rsidRPr="00F933AF">
        <w:rPr>
          <w:rStyle w:val="s3"/>
          <w:rFonts w:eastAsiaTheme="majorEastAsia" w:cs="Calibri"/>
          <w:color w:val="000000" w:themeColor="text1"/>
          <w:sz w:val="16"/>
        </w:rPr>
        <w:t>of 1917</w:t>
      </w:r>
      <w:hyperlink r:id="rId211" w:history="1">
        <w:r w:rsidRPr="00F933AF">
          <w:rPr>
            <w:rStyle w:val="s3"/>
            <w:rFonts w:eastAsiaTheme="majorEastAsia" w:cs="Calibri"/>
            <w:color w:val="000000" w:themeColor="text1"/>
            <w:sz w:val="16"/>
          </w:rPr>
          <w:t>added</w:t>
        </w:r>
      </w:hyperlink>
      <w:r w:rsidRPr="00F933AF">
        <w:rPr>
          <w:rFonts w:cs="Calibri"/>
          <w:color w:val="000000" w:themeColor="text1"/>
          <w:sz w:val="16"/>
        </w:rPr>
        <w:t> people who experienced just one "attack" of insanity (down from two in 1903), and people with "chronic alcoholism" and "constitutional psychopathic inferiority," such as "moral imbeciles, pathological liars, many of the vagrants and cranks, and persons with abnormal sex instincts". Also known as the Asiatic Barred Zone Act or the Literacy Test Act, this legislation barred immigration from much of the </w:t>
      </w:r>
      <w:hyperlink r:id="rId212" w:history="1">
        <w:r w:rsidRPr="00F933AF">
          <w:rPr>
            <w:rStyle w:val="Hyperlink"/>
            <w:rFonts w:eastAsiaTheme="majorEastAsia" w:cs="Calibri"/>
            <w:color w:val="000000" w:themeColor="text1"/>
            <w:sz w:val="16"/>
          </w:rPr>
          <w:t>continent of Asia</w:t>
        </w:r>
      </w:hyperlink>
      <w:r w:rsidRPr="00F933AF">
        <w:rPr>
          <w:rStyle w:val="s3"/>
          <w:rFonts w:eastAsiaTheme="majorEastAsia" w:cs="Calibri"/>
          <w:color w:val="000000" w:themeColor="text1"/>
          <w:sz w:val="16"/>
        </w:rPr>
        <w:t> </w:t>
      </w:r>
      <w:r w:rsidRPr="00F933AF">
        <w:rPr>
          <w:rFonts w:cs="Calibri"/>
          <w:color w:val="000000" w:themeColor="text1"/>
          <w:sz w:val="16"/>
        </w:rPr>
        <w:t xml:space="preserve">(excluding Japan, eastern China and the Philippines), and islands off the coasts of the continent. It also implemented a literacy test for the first time. </w:t>
      </w:r>
      <w:r w:rsidRPr="00F933AF">
        <w:rPr>
          <w:rStyle w:val="s1"/>
          <w:rFonts w:cs="Calibri"/>
          <w:color w:val="000000" w:themeColor="text1"/>
          <w:u w:val="single"/>
        </w:rPr>
        <w:t xml:space="preserve">This long history of excluding immigrants on the basis of perceived or real disabilities set the stage for another form of immigration exclusion: immigration quotas on the basis of national origin. </w:t>
      </w:r>
      <w:r w:rsidRPr="00F933AF">
        <w:rPr>
          <w:rStyle w:val="s1"/>
          <w:rFonts w:cs="Calibri"/>
          <w:color w:val="000000" w:themeColor="text1"/>
          <w:sz w:val="16"/>
        </w:rPr>
        <w:t>Enacted for the first time in the </w:t>
      </w:r>
      <w:r w:rsidRPr="00F933AF">
        <w:rPr>
          <w:rStyle w:val="s3"/>
          <w:rFonts w:cs="Calibri"/>
          <w:color w:val="000000" w:themeColor="text1"/>
          <w:sz w:val="16"/>
        </w:rPr>
        <w:t>Immigration Act</w:t>
      </w:r>
      <w:r w:rsidRPr="00F933AF">
        <w:rPr>
          <w:rStyle w:val="s1"/>
          <w:rFonts w:cs="Calibri"/>
          <w:color w:val="000000" w:themeColor="text1"/>
          <w:sz w:val="16"/>
        </w:rPr>
        <w:t> </w:t>
      </w:r>
      <w:r w:rsidRPr="00F933AF">
        <w:rPr>
          <w:rStyle w:val="s3"/>
          <w:rFonts w:cs="Calibri"/>
          <w:color w:val="000000" w:themeColor="text1"/>
          <w:sz w:val="16"/>
        </w:rPr>
        <w:t>of 1924</w:t>
      </w:r>
      <w:r w:rsidRPr="00F933AF">
        <w:rPr>
          <w:rStyle w:val="s1"/>
          <w:rFonts w:cs="Calibri"/>
          <w:color w:val="000000" w:themeColor="text1"/>
          <w:sz w:val="16"/>
        </w:rPr>
        <w:t xml:space="preserve">, </w:t>
      </w:r>
      <w:r w:rsidRPr="00F933AF">
        <w:rPr>
          <w:rStyle w:val="s1"/>
          <w:rFonts w:cs="Calibri"/>
          <w:color w:val="000000" w:themeColor="text1"/>
          <w:u w:val="single"/>
        </w:rPr>
        <w:t xml:space="preserve">these quotas </w:t>
      </w:r>
      <w:r w:rsidRPr="00F933AF">
        <w:rPr>
          <w:rStyle w:val="s1"/>
          <w:rFonts w:cs="Calibri"/>
          <w:color w:val="000000" w:themeColor="text1"/>
          <w:sz w:val="16"/>
        </w:rPr>
        <w:t xml:space="preserve">had the effect of severely limiting immigration from southern and Eastern Europe. Notably, southern and Eastern Europeans </w:t>
      </w:r>
      <w:r w:rsidRPr="00F933AF">
        <w:rPr>
          <w:rStyle w:val="s1"/>
          <w:rFonts w:cs="Calibri"/>
          <w:color w:val="000000" w:themeColor="text1"/>
          <w:u w:val="single"/>
        </w:rPr>
        <w:t>did not fit the US racial formation of whiteness at the time.</w:t>
      </w:r>
      <w:r w:rsidRPr="00F933AF">
        <w:rPr>
          <w:rFonts w:cs="Calibri"/>
          <w:color w:val="000000" w:themeColor="text1"/>
          <w:sz w:val="16"/>
        </w:rPr>
        <w:t xml:space="preserve"> </w:t>
      </w:r>
      <w:r w:rsidRPr="00F933AF">
        <w:rPr>
          <w:rStyle w:val="s1"/>
          <w:rFonts w:cs="Calibri"/>
          <w:color w:val="000000" w:themeColor="text1"/>
          <w:sz w:val="16"/>
        </w:rPr>
        <w:t xml:space="preserve">Moreover, </w:t>
      </w:r>
      <w:r w:rsidRPr="00F933AF">
        <w:rPr>
          <w:rStyle w:val="s1"/>
          <w:rFonts w:cs="Calibri"/>
          <w:color w:val="000000" w:themeColor="text1"/>
          <w:u w:val="single"/>
        </w:rPr>
        <w:t>ethnic groups</w:t>
      </w:r>
      <w:r w:rsidRPr="00F933AF">
        <w:rPr>
          <w:rStyle w:val="s1"/>
          <w:rFonts w:cs="Calibri"/>
          <w:color w:val="000000" w:themeColor="text1"/>
          <w:sz w:val="16"/>
        </w:rPr>
        <w:t xml:space="preserve"> from the region, such as Italians ("dwarfish"), Jews ("very poor in physique ... the polar opposite of our pioneer breed"), Portuguese, Greeks and Syrians ("undersized"), and Slavs ("slow-witted"), </w:t>
      </w:r>
      <w:r w:rsidRPr="00F933AF">
        <w:rPr>
          <w:rStyle w:val="s1"/>
          <w:rFonts w:cs="Calibri"/>
          <w:color w:val="000000" w:themeColor="text1"/>
          <w:u w:val="single"/>
        </w:rPr>
        <w:t>were </w:t>
      </w:r>
      <w:hyperlink r:id="rId213" w:history="1">
        <w:r w:rsidRPr="00F933AF">
          <w:rPr>
            <w:rStyle w:val="s3"/>
            <w:rFonts w:cs="Calibri"/>
            <w:color w:val="000000" w:themeColor="text1"/>
            <w:u w:val="single"/>
          </w:rPr>
          <w:t>barred entry</w:t>
        </w:r>
        <w:r w:rsidRPr="00F933AF">
          <w:rPr>
            <w:rStyle w:val="Hyperlink"/>
            <w:rFonts w:eastAsiaTheme="majorEastAsia" w:cs="Calibri"/>
            <w:color w:val="000000" w:themeColor="text1"/>
            <w:u w:val="single"/>
          </w:rPr>
          <w:t> </w:t>
        </w:r>
      </w:hyperlink>
      <w:r w:rsidRPr="00F933AF">
        <w:rPr>
          <w:rStyle w:val="s1"/>
          <w:rFonts w:cs="Calibri"/>
          <w:color w:val="000000" w:themeColor="text1"/>
          <w:u w:val="single"/>
        </w:rPr>
        <w:t>on the basis of their supposed pathologies and their characterisation as "defective races".</w:t>
      </w:r>
      <w:r w:rsidRPr="00F933AF">
        <w:rPr>
          <w:rFonts w:cs="Calibri"/>
          <w:color w:val="000000" w:themeColor="text1"/>
          <w:sz w:val="16"/>
        </w:rPr>
        <w:t xml:space="preserve"> The </w:t>
      </w:r>
      <w:r w:rsidRPr="00F933AF">
        <w:rPr>
          <w:rStyle w:val="s3"/>
          <w:rFonts w:cs="Calibri"/>
          <w:color w:val="000000" w:themeColor="text1"/>
          <w:sz w:val="16"/>
        </w:rPr>
        <w:t>Immigration and Nationality Act</w:t>
      </w:r>
      <w:r w:rsidRPr="00F933AF">
        <w:rPr>
          <w:rFonts w:cs="Calibri"/>
          <w:color w:val="000000" w:themeColor="text1"/>
          <w:sz w:val="16"/>
        </w:rPr>
        <w:t> </w:t>
      </w:r>
      <w:r w:rsidRPr="00F933AF">
        <w:rPr>
          <w:rStyle w:val="s3"/>
          <w:rFonts w:cs="Calibri"/>
          <w:color w:val="000000" w:themeColor="text1"/>
          <w:sz w:val="16"/>
        </w:rPr>
        <w:t>of 1990</w:t>
      </w:r>
      <w:r w:rsidRPr="00F933AF">
        <w:rPr>
          <w:rFonts w:cs="Calibri"/>
          <w:color w:val="000000" w:themeColor="text1"/>
          <w:sz w:val="16"/>
        </w:rPr>
        <w:t>, which established Temporary Protection Status and the Diversity Visa programmes, also finally lifted the ban on "sexual deviants", which targeted LGBTQIA+ people. In 2009, the </w:t>
      </w:r>
      <w:hyperlink r:id="rId214" w:history="1">
        <w:r w:rsidRPr="00F933AF">
          <w:rPr>
            <w:rStyle w:val="s3"/>
            <w:rFonts w:cs="Calibri"/>
            <w:color w:val="000000" w:themeColor="text1"/>
            <w:sz w:val="16"/>
          </w:rPr>
          <w:t>ban</w:t>
        </w:r>
      </w:hyperlink>
      <w:r w:rsidRPr="00F933AF">
        <w:rPr>
          <w:rFonts w:cs="Calibri"/>
          <w:color w:val="000000" w:themeColor="text1"/>
          <w:sz w:val="16"/>
        </w:rPr>
        <w:t xml:space="preserve"> on US immigration for HIV+ individuals was finally lifted, after being in place for 22 years. </w:t>
      </w:r>
      <w:r w:rsidRPr="00F933AF">
        <w:rPr>
          <w:rFonts w:cs="Calibri"/>
          <w:color w:val="000000" w:themeColor="text1"/>
          <w:u w:val="single"/>
        </w:rPr>
        <w:t>This discriminatory law disproportionately targeted LGBTQIA+ immigrants and stifled research into HIV and AIDS </w:t>
      </w:r>
      <w:hyperlink r:id="rId215" w:history="1">
        <w:r w:rsidRPr="00F933AF">
          <w:rPr>
            <w:rStyle w:val="s3"/>
            <w:rFonts w:cs="Calibri"/>
            <w:color w:val="000000" w:themeColor="text1"/>
            <w:u w:val="single"/>
          </w:rPr>
          <w:t>treatment</w:t>
        </w:r>
      </w:hyperlink>
      <w:r w:rsidRPr="00F933AF">
        <w:rPr>
          <w:rFonts w:cs="Calibri"/>
          <w:color w:val="000000" w:themeColor="text1"/>
          <w:u w:val="single"/>
        </w:rPr>
        <w:t>.</w:t>
      </w:r>
      <w:r w:rsidRPr="00F933AF">
        <w:rPr>
          <w:rFonts w:cs="Calibri"/>
          <w:color w:val="000000" w:themeColor="text1"/>
          <w:sz w:val="16"/>
        </w:rPr>
        <w:t xml:space="preserve"> Let us here recall President Trump's comments that Haitians "all have AIDS", which, incidentally, was reported on just a few weeks after the administration's </w:t>
      </w:r>
      <w:hyperlink r:id="rId216" w:history="1">
        <w:r w:rsidRPr="00F933AF">
          <w:rPr>
            <w:rStyle w:val="s3"/>
            <w:rFonts w:cs="Calibri"/>
            <w:color w:val="000000" w:themeColor="text1"/>
            <w:sz w:val="16"/>
          </w:rPr>
          <w:t>decision</w:t>
        </w:r>
      </w:hyperlink>
      <w:r w:rsidRPr="00F933AF">
        <w:rPr>
          <w:rFonts w:cs="Calibri"/>
          <w:color w:val="000000" w:themeColor="text1"/>
          <w:sz w:val="16"/>
        </w:rPr>
        <w:t xml:space="preserve"> to terminate TPS protections for Haitians. </w:t>
      </w:r>
      <w:r w:rsidRPr="00F933AF">
        <w:rPr>
          <w:rStyle w:val="s1"/>
          <w:rFonts w:cs="Calibri"/>
          <w:color w:val="000000" w:themeColor="text1"/>
          <w:u w:val="single"/>
        </w:rPr>
        <w:t>Numerous immigration laws to this day continue to </w:t>
      </w:r>
      <w:hyperlink r:id="rId217" w:history="1">
        <w:r w:rsidRPr="00F933AF">
          <w:rPr>
            <w:rStyle w:val="s3"/>
            <w:rFonts w:cs="Calibri"/>
            <w:color w:val="000000" w:themeColor="text1"/>
            <w:u w:val="single"/>
          </w:rPr>
          <w:t>target and violate</w:t>
        </w:r>
        <w:r w:rsidRPr="00F933AF">
          <w:rPr>
            <w:rStyle w:val="Hyperlink"/>
            <w:rFonts w:eastAsiaTheme="majorEastAsia" w:cs="Calibri"/>
            <w:color w:val="000000" w:themeColor="text1"/>
            <w:u w:val="single"/>
          </w:rPr>
          <w:t> </w:t>
        </w:r>
      </w:hyperlink>
      <w:r w:rsidRPr="00F933AF">
        <w:rPr>
          <w:rStyle w:val="s1"/>
          <w:rFonts w:cs="Calibri"/>
          <w:color w:val="000000" w:themeColor="text1"/>
          <w:u w:val="single"/>
        </w:rPr>
        <w:t xml:space="preserve">the rights of disabled persons by subjecting them to invasive mental and physical examinations. </w:t>
      </w:r>
      <w:r w:rsidRPr="00F933AF">
        <w:rPr>
          <w:rStyle w:val="s1"/>
          <w:rFonts w:cs="Calibri"/>
          <w:color w:val="000000" w:themeColor="text1"/>
          <w:sz w:val="16"/>
        </w:rPr>
        <w:t xml:space="preserve">Whether </w:t>
      </w:r>
      <w:r w:rsidRPr="00F933AF">
        <w:rPr>
          <w:rStyle w:val="s1"/>
          <w:rFonts w:cs="Calibri"/>
          <w:b/>
          <w:color w:val="000000" w:themeColor="text1"/>
          <w:u w:val="single"/>
        </w:rPr>
        <w:t>assessed as likely to become a public charge</w:t>
      </w:r>
      <w:r w:rsidRPr="00F933AF">
        <w:rPr>
          <w:rStyle w:val="s1"/>
          <w:rFonts w:cs="Calibri"/>
          <w:color w:val="000000" w:themeColor="text1"/>
          <w:sz w:val="16"/>
        </w:rPr>
        <w:t xml:space="preserve"> (</w:t>
      </w:r>
      <w:r w:rsidRPr="00F933AF">
        <w:rPr>
          <w:rStyle w:val="s1"/>
          <w:rFonts w:cs="Calibri"/>
          <w:b/>
          <w:color w:val="000000" w:themeColor="text1"/>
          <w:u w:val="single"/>
        </w:rPr>
        <w:t>therefore tying their value to their ability to produce</w:t>
      </w:r>
      <w:r w:rsidRPr="00F933AF">
        <w:rPr>
          <w:rStyle w:val="s1"/>
          <w:rFonts w:cs="Calibri"/>
          <w:color w:val="000000" w:themeColor="text1"/>
          <w:sz w:val="16"/>
        </w:rPr>
        <w:t>), or a </w:t>
      </w:r>
      <w:hyperlink r:id="rId218" w:history="1">
        <w:r w:rsidRPr="00F933AF">
          <w:rPr>
            <w:rStyle w:val="s3"/>
            <w:rFonts w:cs="Calibri"/>
            <w:color w:val="000000" w:themeColor="text1"/>
            <w:sz w:val="16"/>
          </w:rPr>
          <w:t>threat to persons and property</w:t>
        </w:r>
      </w:hyperlink>
      <w:r w:rsidRPr="00F933AF">
        <w:rPr>
          <w:rStyle w:val="s1"/>
          <w:rFonts w:cs="Calibri"/>
          <w:color w:val="000000" w:themeColor="text1"/>
          <w:sz w:val="16"/>
        </w:rPr>
        <w:t xml:space="preserve"> (potentially a burden of the state through carceral institutions), </w:t>
      </w:r>
      <w:r w:rsidRPr="00F933AF">
        <w:rPr>
          <w:rStyle w:val="s1"/>
          <w:rFonts w:cs="Calibri"/>
          <w:color w:val="000000" w:themeColor="text1"/>
          <w:u w:val="single"/>
        </w:rPr>
        <w:t>disabled people who apply for immigration to the US face numerous obstacles to admission.</w:t>
      </w:r>
      <w:r w:rsidRPr="00F933AF">
        <w:rPr>
          <w:rStyle w:val="s1"/>
          <w:rFonts w:cs="Calibri"/>
          <w:color w:val="000000" w:themeColor="text1"/>
          <w:sz w:val="16"/>
        </w:rPr>
        <w:t> </w:t>
      </w:r>
      <w:r w:rsidRPr="00F933AF">
        <w:rPr>
          <w:rFonts w:cs="Calibri"/>
          <w:color w:val="000000" w:themeColor="text1"/>
          <w:sz w:val="16"/>
        </w:rPr>
        <w:t> </w:t>
      </w:r>
      <w:r w:rsidRPr="00F933AF">
        <w:rPr>
          <w:rStyle w:val="s1"/>
          <w:rFonts w:cs="Calibri"/>
          <w:color w:val="000000" w:themeColor="text1"/>
          <w:sz w:val="16"/>
        </w:rPr>
        <w:t>Furthermore, these discriminatory policies do not simply end at the border. Undocumented immigrants in the US who are mentally disabled </w:t>
      </w:r>
      <w:hyperlink r:id="rId219" w:history="1">
        <w:r w:rsidRPr="00F933AF">
          <w:rPr>
            <w:rStyle w:val="s3"/>
            <w:rFonts w:cs="Calibri"/>
            <w:color w:val="000000" w:themeColor="text1"/>
            <w:sz w:val="16"/>
          </w:rPr>
          <w:t>make up about 15 percent</w:t>
        </w:r>
        <w:r w:rsidRPr="00F933AF">
          <w:rPr>
            <w:rStyle w:val="Hyperlink"/>
            <w:rFonts w:eastAsiaTheme="majorEastAsia" w:cs="Calibri"/>
            <w:color w:val="000000" w:themeColor="text1"/>
            <w:sz w:val="16"/>
          </w:rPr>
          <w:t> </w:t>
        </w:r>
      </w:hyperlink>
      <w:r w:rsidRPr="00F933AF">
        <w:rPr>
          <w:rStyle w:val="s1"/>
          <w:rFonts w:cs="Calibri"/>
          <w:color w:val="000000" w:themeColor="text1"/>
          <w:sz w:val="16"/>
        </w:rPr>
        <w:t xml:space="preserve"> of those in immigration detention. </w:t>
      </w:r>
      <w:r w:rsidRPr="00F933AF">
        <w:rPr>
          <w:rStyle w:val="s1"/>
          <w:rFonts w:cs="Calibri"/>
          <w:color w:val="000000" w:themeColor="text1"/>
          <w:u w:val="single"/>
        </w:rPr>
        <w:t>Abuse is rampant and </w:t>
      </w:r>
      <w:r w:rsidRPr="00F933AF">
        <w:rPr>
          <w:rStyle w:val="s3"/>
          <w:rFonts w:cs="Calibri"/>
          <w:color w:val="000000" w:themeColor="text1"/>
          <w:u w:val="single"/>
        </w:rPr>
        <w:t xml:space="preserve">unjust deportations </w:t>
      </w:r>
      <w:r w:rsidRPr="00F933AF">
        <w:rPr>
          <w:rStyle w:val="s1"/>
          <w:rFonts w:cs="Calibri"/>
          <w:color w:val="000000" w:themeColor="text1"/>
          <w:u w:val="single"/>
        </w:rPr>
        <w:t>occur often, as the immigration system does not guarantee an individual's right to </w:t>
      </w:r>
      <w:hyperlink r:id="rId220" w:history="1">
        <w:r w:rsidRPr="00F933AF">
          <w:rPr>
            <w:rStyle w:val="s3"/>
            <w:rFonts w:cs="Calibri"/>
            <w:color w:val="000000" w:themeColor="text1"/>
            <w:u w:val="single"/>
          </w:rPr>
          <w:t>due process protections</w:t>
        </w:r>
      </w:hyperlink>
      <w:r w:rsidRPr="00F933AF">
        <w:rPr>
          <w:rStyle w:val="s1"/>
          <w:rFonts w:cs="Calibri"/>
          <w:color w:val="000000" w:themeColor="text1"/>
          <w:u w:val="single"/>
        </w:rPr>
        <w:t> that are afforded to criminal defendants.</w:t>
      </w:r>
      <w:r w:rsidRPr="00F933AF">
        <w:rPr>
          <w:rStyle w:val="apple-converted-space"/>
          <w:rFonts w:cs="Calibri"/>
          <w:color w:val="000000" w:themeColor="text1"/>
          <w:sz w:val="16"/>
        </w:rPr>
        <w:t> </w:t>
      </w:r>
      <w:r w:rsidRPr="00F933AF">
        <w:rPr>
          <w:rFonts w:cs="Calibri"/>
          <w:color w:val="000000" w:themeColor="text1"/>
          <w:sz w:val="16"/>
        </w:rPr>
        <w:t xml:space="preserve"> </w:t>
      </w:r>
      <w:r w:rsidRPr="00F933AF">
        <w:rPr>
          <w:rStyle w:val="s1"/>
          <w:rFonts w:cs="Calibri"/>
          <w:color w:val="000000" w:themeColor="text1"/>
          <w:u w:val="single"/>
        </w:rPr>
        <w:t>The history of immigration to the US has ensured the fundamental quality of the country as a white supremacist-capitalist state, "protected" from an influx of disabled and "deviant" people designated as either threats or burdens.</w:t>
      </w:r>
      <w:r w:rsidRPr="00F933AF">
        <w:rPr>
          <w:rFonts w:cs="Calibri"/>
          <w:color w:val="000000" w:themeColor="text1"/>
          <w:u w:val="single"/>
        </w:rPr>
        <w:t xml:space="preserve"> </w:t>
      </w:r>
      <w:r w:rsidRPr="00F933AF">
        <w:rPr>
          <w:rStyle w:val="s1"/>
          <w:rFonts w:cs="Calibri"/>
          <w:color w:val="000000" w:themeColor="text1"/>
          <w:u w:val="single"/>
        </w:rPr>
        <w:t>The state's economic power rests on the perpetual existence of a large labour force that can produce at low costs. This is a process that renders disabled individuals, and particularly black, native, brown, Asian, Muslim, queer and other multiply marginalised disabled individuals, as inherently disposable</w:t>
      </w:r>
      <w:r w:rsidRPr="00F933AF">
        <w:rPr>
          <w:rStyle w:val="s1"/>
          <w:rFonts w:cs="Calibri"/>
          <w:color w:val="000000" w:themeColor="text1"/>
          <w:sz w:val="16"/>
        </w:rPr>
        <w:t>. It is a system that justifies, even celebrates, the banning of people deemed unable to "produce", "add value" or who might threaten the economy-state as a result of perceived inferiorities, deficits and deviancies.</w:t>
      </w:r>
      <w:r w:rsidRPr="00F933AF">
        <w:rPr>
          <w:rFonts w:cs="Calibri"/>
          <w:color w:val="000000" w:themeColor="text1"/>
          <w:sz w:val="16"/>
        </w:rPr>
        <w:t xml:space="preserve"> </w:t>
      </w:r>
      <w:r w:rsidRPr="00F933AF">
        <w:rPr>
          <w:rStyle w:val="s1"/>
          <w:rFonts w:cs="Calibri"/>
          <w:color w:val="000000" w:themeColor="text1"/>
          <w:sz w:val="16"/>
        </w:rPr>
        <w:t>So, the next time arguments surrounding immigration policy are couched within a cost/benefit economic analysis, remember that these are ableist arguments made in order to determine who can produce and therefore whose lives are worthwhile.</w:t>
      </w:r>
      <w:r w:rsidRPr="00F933AF">
        <w:rPr>
          <w:rFonts w:cs="Calibri"/>
          <w:color w:val="000000" w:themeColor="text1"/>
          <w:sz w:val="16"/>
        </w:rPr>
        <w:t xml:space="preserve"> </w:t>
      </w:r>
      <w:r w:rsidRPr="00F933AF">
        <w:rPr>
          <w:rStyle w:val="s1"/>
          <w:rFonts w:cs="Calibri"/>
          <w:color w:val="000000" w:themeColor="text1"/>
          <w:sz w:val="16"/>
        </w:rPr>
        <w:t xml:space="preserve">Furthermore, bear in mind that </w:t>
      </w:r>
      <w:r w:rsidRPr="00F933AF">
        <w:rPr>
          <w:rStyle w:val="s1"/>
          <w:rFonts w:cs="Calibri"/>
          <w:color w:val="000000" w:themeColor="text1"/>
          <w:u w:val="single"/>
        </w:rPr>
        <w:t xml:space="preserve">analyses of immigration history that address policies solely through a framework of racism are incomplete. Indeed, ableism is a foundational framework, </w:t>
      </w:r>
      <w:r w:rsidRPr="00F933AF">
        <w:rPr>
          <w:rStyle w:val="s1"/>
          <w:rFonts w:cs="Calibri"/>
          <w:color w:val="000000" w:themeColor="text1"/>
          <w:sz w:val="16"/>
        </w:rPr>
        <w:t>along with white supremacy,</w:t>
      </w:r>
      <w:r w:rsidRPr="00F933AF">
        <w:rPr>
          <w:rStyle w:val="s1"/>
          <w:rFonts w:cs="Calibri"/>
          <w:color w:val="000000" w:themeColor="text1"/>
          <w:u w:val="single"/>
        </w:rPr>
        <w:t xml:space="preserve"> that</w:t>
      </w:r>
      <w:r w:rsidRPr="00F933AF">
        <w:rPr>
          <w:rStyle w:val="s1"/>
          <w:rFonts w:cs="Calibri"/>
          <w:color w:val="000000" w:themeColor="text1"/>
          <w:sz w:val="16"/>
        </w:rPr>
        <w:t xml:space="preserve"> has shaped, and </w:t>
      </w:r>
      <w:r w:rsidRPr="00F933AF">
        <w:rPr>
          <w:rStyle w:val="s1"/>
          <w:rFonts w:cs="Calibri"/>
          <w:color w:val="000000" w:themeColor="text1"/>
          <w:u w:val="single"/>
        </w:rPr>
        <w:t>continues to inform, US immigration policy</w:t>
      </w:r>
      <w:r w:rsidRPr="00F933AF">
        <w:rPr>
          <w:rStyle w:val="s1"/>
          <w:rFonts w:cs="Calibri"/>
          <w:color w:val="000000" w:themeColor="text1"/>
          <w:sz w:val="16"/>
        </w:rPr>
        <w:t>.</w:t>
      </w:r>
    </w:p>
    <w:p w:rsidR="00F703ED" w:rsidRDefault="00F703ED" w:rsidP="00F703ED">
      <w:pPr>
        <w:pStyle w:val="Heading4"/>
      </w:pPr>
      <w:r>
        <w:t>The neg’s framework is fatalistic and results in policy paralysis—while not perfect, the political project of self-advocacy has not been completed—it’s try/die for participation in political arenas to reposition people with disabilities in a neoliberal society</w:t>
      </w:r>
    </w:p>
    <w:p w:rsidR="00F703ED" w:rsidRPr="009C5716" w:rsidRDefault="00F703ED" w:rsidP="00F703ED">
      <w:pPr>
        <w:rPr>
          <w:sz w:val="18"/>
          <w:szCs w:val="18"/>
        </w:rPr>
      </w:pPr>
      <w:r>
        <w:rPr>
          <w:b/>
        </w:rPr>
        <w:t xml:space="preserve">Dowse 9 </w:t>
      </w:r>
      <w:r w:rsidRPr="009C5716">
        <w:rPr>
          <w:sz w:val="18"/>
          <w:szCs w:val="18"/>
        </w:rPr>
        <w:t>(Leanne Dowse, “’Some people are never going to be able to do that.’ Challenges for people with intellectual disability in the 21</w:t>
      </w:r>
      <w:r w:rsidRPr="009C5716">
        <w:rPr>
          <w:sz w:val="18"/>
          <w:szCs w:val="18"/>
          <w:vertAlign w:val="superscript"/>
        </w:rPr>
        <w:t>st</w:t>
      </w:r>
      <w:r w:rsidRPr="009C5716">
        <w:rPr>
          <w:sz w:val="18"/>
          <w:szCs w:val="18"/>
        </w:rPr>
        <w:t xml:space="preserve"> century,” Disability &amp; Society, 7/22/9, pg. 573-574)//jy</w:t>
      </w:r>
    </w:p>
    <w:p w:rsidR="00F703ED" w:rsidRPr="001B0167" w:rsidRDefault="00F703ED" w:rsidP="001B0167">
      <w:pPr>
        <w:rPr>
          <w:rStyle w:val="s1"/>
          <w:u w:val="single"/>
        </w:rPr>
      </w:pPr>
      <w:r w:rsidRPr="0052338A">
        <w:rPr>
          <w:u w:val="single"/>
        </w:rPr>
        <w:t>The emphasis on the achievement of individual independence and productivity precipitated by globalisation and embedded in neo-liberalism effectively renders people with intellectual disability</w:t>
      </w:r>
      <w:r w:rsidRPr="0052338A">
        <w:rPr>
          <w:sz w:val="14"/>
        </w:rPr>
        <w:t xml:space="preserve">, who are often unable to attain self-sustainability, </w:t>
      </w:r>
      <w:r w:rsidRPr="0052338A">
        <w:rPr>
          <w:u w:val="single"/>
        </w:rPr>
        <w:t>problematic. The new technologies of welfare are economically driven and actively directed toward investing in the individual pursuit of independence, framing inclusion in terms of productivity and contribution, rather than self-fulfilment or quality of life.</w:t>
      </w:r>
      <w:r w:rsidRPr="0052338A">
        <w:rPr>
          <w:sz w:val="14"/>
        </w:rPr>
        <w:t xml:space="preserve"> This has differential impacts on the range of people with intellectual disability, including those who are able to participate in the employment market and those with high support needs who will not be part of the labour market. </w:t>
      </w:r>
      <w:r w:rsidRPr="0052338A">
        <w:rPr>
          <w:u w:val="single"/>
        </w:rPr>
        <w:t>Cognitive limitations and prescribed incompetence deem at least some people with intellectual disability to be inadequate choice makers. This deficit approach presumes an incapacity to reason and results in</w:t>
      </w:r>
      <w:r w:rsidRPr="0052338A">
        <w:rPr>
          <w:sz w:val="14"/>
        </w:rPr>
        <w:t xml:space="preserve"> the relinquishing of claims for </w:t>
      </w:r>
      <w:r w:rsidRPr="0052338A">
        <w:rPr>
          <w:u w:val="single"/>
        </w:rPr>
        <w:t>justice, where equality and rights become constrained or redirected</w:t>
      </w:r>
      <w:r w:rsidRPr="0052338A">
        <w:rPr>
          <w:sz w:val="14"/>
        </w:rPr>
        <w:t xml:space="preserve"> (Wasserman 2001). Perceived as unable to achieve independence, </w:t>
      </w:r>
      <w:r w:rsidRPr="0052338A">
        <w:rPr>
          <w:u w:val="single"/>
        </w:rPr>
        <w:t>such people are then seemingly relegated to dependency relationships where they are likely to be continuously placed under protective moral custodianship whereby their ‘best interests’ are determined by more competent others.</w:t>
      </w:r>
      <w:r w:rsidRPr="0052338A">
        <w:rPr>
          <w:sz w:val="14"/>
        </w:rPr>
        <w:t xml:space="preserve"> Protections which set out who can take decisions on behalf of another, under what circumstances and how this may be done are exemplified in statutory frameworks such as the UK mental capacity Act 2005 or the range of state-based guardianship legislation in the Australian context. </w:t>
      </w:r>
      <w:r w:rsidRPr="0052338A">
        <w:rPr>
          <w:u w:val="single"/>
        </w:rPr>
        <w:t>While operating at one level to protect individuals with intellectual disability, these frameworks also contain the risk that participation in the public arena may be restricted, denied or exempt</w:t>
      </w:r>
      <w:r w:rsidRPr="0052338A">
        <w:rPr>
          <w:sz w:val="14"/>
        </w:rPr>
        <w:t xml:space="preserve">. Developments in social policy over the past half century have made progress towards improving the material conditions of people with intellectual disability by giving them access to more ‘normal’ or ‘better quality’ lives. </w:t>
      </w:r>
      <w:r w:rsidRPr="0052338A">
        <w:rPr>
          <w:u w:val="single"/>
        </w:rPr>
        <w:t xml:space="preserve">Some approaches have also recognised, in part, the political agency of people with intellectual disability. The </w:t>
      </w:r>
      <w:r w:rsidRPr="0052338A">
        <w:rPr>
          <w:b/>
          <w:u w:val="single"/>
        </w:rPr>
        <w:t>political project</w:t>
      </w:r>
      <w:r w:rsidRPr="0052338A">
        <w:rPr>
          <w:u w:val="single"/>
        </w:rPr>
        <w:t xml:space="preserve"> of self-advocacy has, over the past 30 years, worked to cultivate the voices and knowledges of people with intellectual disability. </w:t>
      </w:r>
      <w:r w:rsidRPr="0052338A">
        <w:rPr>
          <w:b/>
          <w:u w:val="single"/>
        </w:rPr>
        <w:t>Access to recognition, legitimacy and participation in the political arenas</w:t>
      </w:r>
      <w:r w:rsidRPr="0052338A">
        <w:rPr>
          <w:u w:val="single"/>
        </w:rPr>
        <w:t xml:space="preserve"> where issues to do with their social management are debated continues to be complex for people with intellectual disability as a collective. A focus on the support of this representation must be a </w:t>
      </w:r>
      <w:r w:rsidRPr="0052338A">
        <w:rPr>
          <w:b/>
          <w:u w:val="single"/>
        </w:rPr>
        <w:t>fundamental underpinning</w:t>
      </w:r>
      <w:r w:rsidRPr="0052338A">
        <w:rPr>
          <w:u w:val="single"/>
        </w:rPr>
        <w:t xml:space="preserve"> to the repositioning of people with intellectual disability in a globalised world.</w:t>
      </w:r>
    </w:p>
    <w:p w:rsidR="001B0167" w:rsidRPr="001B0167" w:rsidRDefault="001B0167" w:rsidP="001B0167"/>
    <w:p w:rsidR="008B491B" w:rsidRPr="00F933AF" w:rsidRDefault="00F933AF" w:rsidP="00F933AF">
      <w:pPr>
        <w:pStyle w:val="Heading2"/>
        <w:rPr>
          <w:rFonts w:cs="Calibri"/>
        </w:rPr>
      </w:pPr>
      <w:r w:rsidRPr="00F933AF">
        <w:rPr>
          <w:rFonts w:cs="Calibri"/>
        </w:rPr>
        <w:t>AT: Neolib</w:t>
      </w:r>
    </w:p>
    <w:p w:rsidR="00E5343F" w:rsidRPr="00F933AF" w:rsidRDefault="00E5343F" w:rsidP="00E5343F">
      <w:pPr>
        <w:pStyle w:val="Heading3"/>
        <w:rPr>
          <w:rFonts w:cs="Calibri"/>
        </w:rPr>
      </w:pPr>
      <w:r w:rsidRPr="00F933AF">
        <w:rPr>
          <w:rFonts w:cs="Calibri"/>
        </w:rPr>
        <w:t>AT: Root Cause - Neolib</w:t>
      </w:r>
    </w:p>
    <w:p w:rsidR="00E5343F" w:rsidRPr="00F933AF" w:rsidRDefault="00E5343F" w:rsidP="00E5343F">
      <w:pPr>
        <w:pStyle w:val="Heading4"/>
        <w:rPr>
          <w:rFonts w:cs="Calibri"/>
        </w:rPr>
      </w:pPr>
      <w:r w:rsidRPr="00F933AF">
        <w:rPr>
          <w:rFonts w:cs="Calibri"/>
        </w:rPr>
        <w:t xml:space="preserve">Reject totalizing root cause claims – ableism has been shaped by aesthetics, cultural norms, and history just as much as economic factors – purely structural analysis neglects the nuances of everyday reality of those with disabilities </w:t>
      </w:r>
    </w:p>
    <w:p w:rsidR="00E5343F" w:rsidRPr="00F933AF" w:rsidRDefault="00E5343F" w:rsidP="00E5343F">
      <w:pPr>
        <w:spacing w:after="0" w:line="240" w:lineRule="auto"/>
        <w:rPr>
          <w:rFonts w:cs="Calibri"/>
          <w:sz w:val="16"/>
          <w:szCs w:val="16"/>
        </w:rPr>
      </w:pPr>
      <w:r w:rsidRPr="00F933AF">
        <w:rPr>
          <w:rStyle w:val="Style13ptBold"/>
          <w:rFonts w:cs="Calibri"/>
        </w:rPr>
        <w:t>Patterson and Hughes 10</w:t>
      </w:r>
      <w:r w:rsidRPr="00F933AF">
        <w:rPr>
          <w:rStyle w:val="Style13ptBold"/>
          <w:rFonts w:cs="Calibri"/>
          <w:b w:val="0"/>
          <w:sz w:val="16"/>
          <w:szCs w:val="16"/>
        </w:rPr>
        <w:t xml:space="preserve">, Kevin </w:t>
      </w:r>
      <w:proofErr w:type="gramStart"/>
      <w:r w:rsidRPr="00F933AF">
        <w:rPr>
          <w:rStyle w:val="Style13ptBold"/>
          <w:rFonts w:cs="Calibri"/>
          <w:b w:val="0"/>
          <w:sz w:val="16"/>
          <w:szCs w:val="16"/>
        </w:rPr>
        <w:t>-  School</w:t>
      </w:r>
      <w:proofErr w:type="gramEnd"/>
      <w:r w:rsidRPr="00F933AF">
        <w:rPr>
          <w:rStyle w:val="Style13ptBold"/>
          <w:rFonts w:cs="Calibri"/>
          <w:b w:val="0"/>
          <w:sz w:val="16"/>
          <w:szCs w:val="16"/>
        </w:rPr>
        <w:t xml:space="preserve"> of Science, Glasgow and Bill -  awarded a BA (Hons) in sociology (1st Class) from the University of Stirling in 1979 and a PhD in political philosophy from the University of Aberdeen in 1985 “Disability Studies and Phenomenology: The Carnal Politics of Everyday Life” School of Social Science, Glasgow Caledonian University, City Campus Taylor and Francis Ltd.//mr</w:t>
      </w:r>
    </w:p>
    <w:p w:rsidR="00E5343F" w:rsidRPr="00F933AF" w:rsidRDefault="00E5343F" w:rsidP="00E5343F">
      <w:pPr>
        <w:spacing w:after="0" w:line="240" w:lineRule="auto"/>
        <w:rPr>
          <w:rFonts w:eastAsia="Times New Roman" w:cs="Calibri"/>
          <w:sz w:val="16"/>
        </w:rPr>
      </w:pPr>
      <w:r w:rsidRPr="00F933AF">
        <w:rPr>
          <w:rFonts w:eastAsia="Times New Roman" w:cs="Calibri"/>
          <w:sz w:val="24"/>
          <w:u w:val="single"/>
        </w:rPr>
        <w:t>The discipline of sociology has consistently failed to regard disability as a subject deserving serious examination in its own right.</w:t>
      </w:r>
      <w:r w:rsidRPr="00F933AF">
        <w:rPr>
          <w:rFonts w:eastAsia="Times New Roman" w:cs="Calibri"/>
          <w:sz w:val="16"/>
        </w:rPr>
        <w:t xml:space="preserve"> The hope that the sociology of the body would present a more adequate account of disability than medical sociology has not been realized (Shakespeare &amp; Watson, 1995a; Abberley, 1997). </w:t>
      </w:r>
      <w:r w:rsidRPr="00F933AF">
        <w:rPr>
          <w:rFonts w:eastAsia="Times New Roman" w:cs="Calibri"/>
          <w:sz w:val="24"/>
          <w:u w:val="single"/>
        </w:rPr>
        <w:t>Such intellectual neglect is yet another manifestation of exclusion, another manifestation of disablism.</w:t>
      </w:r>
      <w:r w:rsidRPr="00F933AF">
        <w:rPr>
          <w:rFonts w:eastAsia="Times New Roman" w:cs="Calibri"/>
          <w:sz w:val="16"/>
        </w:rPr>
        <w:t xml:space="preserve"> For example. Turner (1992) argues that a phenomenology of the body or `embodiment’ is of particular importance in that it provides sociologists with a sensitive and sophisticated perspective on issues such as pain, disability and death. It might reasonably be expected from this argument that the `disabled body’ (or, rather, the impaired body) would be central to any theoretical and conceptual innovations (Oliver, 1996b). Unfortunately, Turner’s analysis relies upon a medicalised and individualised understanding of disability. Given this intellectual context, engagement between disability studies and the sociology of the body is confounded by theoretical and political tensions. Nevertheless, </w:t>
      </w:r>
      <w:r w:rsidRPr="00F933AF">
        <w:rPr>
          <w:rFonts w:eastAsia="Times New Roman" w:cs="Calibri"/>
          <w:sz w:val="24"/>
          <w:u w:val="single"/>
        </w:rPr>
        <w:t>it is possible to tread a path that challenges the disablism of the sociology of the body on the one hand, while utilising phenomenology to overcome the social model’s disembodied view of disability on the other.</w:t>
      </w:r>
      <w:r w:rsidRPr="00F933AF">
        <w:rPr>
          <w:rFonts w:eastAsia="Times New Roman" w:cs="Calibri"/>
          <w:sz w:val="16"/>
        </w:rPr>
        <w:t xml:space="preserve"> We would also argue that </w:t>
      </w:r>
      <w:r w:rsidRPr="00F933AF">
        <w:rPr>
          <w:rFonts w:eastAsia="Times New Roman" w:cs="Calibri"/>
          <w:sz w:val="24"/>
          <w:u w:val="single"/>
        </w:rPr>
        <w:t>an embodied view of disability can provide a basis for a sociology of impairment</w:t>
      </w:r>
      <w:r w:rsidRPr="00F933AF">
        <w:rPr>
          <w:rFonts w:eastAsia="Times New Roman" w:cs="Calibri"/>
          <w:sz w:val="16"/>
        </w:rPr>
        <w:t xml:space="preserve">. It should be noted that impairment, in discussions of disability as social oppression, has not been completely absent. Finkelstein argues (1980) that </w:t>
      </w:r>
      <w:r w:rsidRPr="00F933AF">
        <w:rPr>
          <w:rFonts w:eastAsia="Times New Roman" w:cs="Calibri"/>
          <w:sz w:val="24"/>
          <w:u w:val="single"/>
        </w:rPr>
        <w:t>the concept of disability assumes a relationship between impairment and social structure</w:t>
      </w:r>
      <w:r w:rsidRPr="00F933AF">
        <w:rPr>
          <w:rFonts w:eastAsia="Times New Roman" w:cs="Calibri"/>
          <w:sz w:val="16"/>
        </w:rPr>
        <w:t xml:space="preserve">, and Abberley (1987) argues that </w:t>
      </w:r>
      <w:r w:rsidRPr="00F933AF">
        <w:rPr>
          <w:rFonts w:eastAsia="Times New Roman" w:cs="Calibri"/>
          <w:sz w:val="24"/>
          <w:u w:val="single"/>
        </w:rPr>
        <w:t>a social theory of disability must recognise, even emphasise the social origin of impairment</w:t>
      </w:r>
      <w:r w:rsidRPr="00F933AF">
        <w:rPr>
          <w:rFonts w:eastAsia="Times New Roman" w:cs="Calibri"/>
          <w:sz w:val="16"/>
        </w:rPr>
        <w:t xml:space="preserve">. This standpoint, however, seems to possess only rhetorical value. It is based on a view of the social and the biological as binary opposites in the typical mould of Enlightenment thought. The problem with this dualistic position is that it requires the social model to embrace a disembodied view of disability and an asocial view of impairment. Abberley’s consideration of impairment is very much a precursor to Oliver’s (1990) position, in which the social origin of impairment is acknowledged by way of a structuralist account and then set aside as non-problematic. This approach seals the social model’s distinction between impairment and disability. In response to the charge that disability studies presents a disembodied view of disability, Oliver has been keen to acknowledge Abberley’s assertion that </w:t>
      </w:r>
      <w:r w:rsidRPr="00F933AF">
        <w:rPr>
          <w:rFonts w:eastAsia="Times New Roman" w:cs="Calibri"/>
          <w:sz w:val="24"/>
          <w:u w:val="single"/>
        </w:rPr>
        <w:t>a social theory of disability must take impairment into account</w:t>
      </w:r>
      <w:r w:rsidRPr="00F933AF">
        <w:rPr>
          <w:rFonts w:eastAsia="Times New Roman" w:cs="Calibri"/>
          <w:sz w:val="16"/>
        </w:rPr>
        <w:t xml:space="preserve"> However, while Oliver (1996a) recognises there may be a need for a `social model of impairment’, he clearly has strong reservations about it and would prefer to distance himself from such a project. As a response to the (re)introduction of impairment into disability studies, Finkelstein’s ideas (1996) have been rather doctrinaire. He sees important differences between the contemporary politics of disability and the more palpable radicalism of the 1980s. </w:t>
      </w:r>
      <w:r w:rsidRPr="00F933AF">
        <w:rPr>
          <w:rFonts w:eastAsia="Times New Roman" w:cs="Calibri"/>
          <w:sz w:val="24"/>
          <w:u w:val="single"/>
        </w:rPr>
        <w:t>Originally, disabled people concentrated on challenging the disabling barriers in the `world outside’, rather than exploring the attitudes and emotions that came from experiencing discrimination.</w:t>
      </w:r>
      <w:r w:rsidRPr="00F933AF">
        <w:rPr>
          <w:rFonts w:eastAsia="Times New Roman" w:cs="Calibri"/>
          <w:sz w:val="16"/>
        </w:rPr>
        <w:t xml:space="preserve"> </w:t>
      </w:r>
      <w:r w:rsidRPr="00F933AF">
        <w:rPr>
          <w:rFonts w:eastAsia="Times New Roman" w:cs="Calibri"/>
          <w:sz w:val="24"/>
          <w:u w:val="single"/>
        </w:rPr>
        <w:t>The focus of attention was `outside in’, rather than `inside out’</w:t>
      </w:r>
      <w:r w:rsidRPr="00F933AF">
        <w:rPr>
          <w:rFonts w:eastAsia="Times New Roman" w:cs="Calibri"/>
          <w:sz w:val="16"/>
        </w:rPr>
        <w:t xml:space="preserve">. Since then, in Finkelstein’s view, </w:t>
      </w:r>
      <w:r w:rsidRPr="00F933AF">
        <w:rPr>
          <w:rFonts w:eastAsia="Times New Roman" w:cs="Calibri"/>
          <w:sz w:val="24"/>
          <w:u w:val="single"/>
        </w:rPr>
        <w:t>disabled academics and researchers have `hijacked’ the disability movement’s agenda to serve their own priorities, replacing the active vision with passive theoretical abstractions. The elevation of the importance of personal, psychological experience has led to</w:t>
      </w:r>
      <w:r w:rsidRPr="00F933AF">
        <w:rPr>
          <w:rFonts w:eastAsia="Times New Roman" w:cs="Calibri"/>
          <w:sz w:val="16"/>
        </w:rPr>
        <w:t xml:space="preserve"> what Finkelstein believes is now </w:t>
      </w:r>
      <w:r w:rsidRPr="00F933AF">
        <w:rPr>
          <w:rFonts w:eastAsia="Times New Roman" w:cs="Calibri"/>
          <w:sz w:val="24"/>
          <w:u w:val="single"/>
        </w:rPr>
        <w:t>a clear split in the disability movement between two social models of disability</w:t>
      </w:r>
      <w:r w:rsidRPr="00F933AF">
        <w:rPr>
          <w:rFonts w:eastAsia="Times New Roman" w:cs="Calibri"/>
          <w:sz w:val="16"/>
        </w:rPr>
        <w:t xml:space="preserve"> - an active one (outside in) and a passive one (inside out). Yet radical politics - whatever its specific content - is in a process of turmoil and reorientation. The Marxist certainties of the past have given way to post-Marxism and post-modernity, to a context in which politics spills into culture, if not amorphousness. Where Finkelstein sees reaction one might just as easily see realignment. </w:t>
      </w:r>
      <w:r w:rsidRPr="00F933AF">
        <w:rPr>
          <w:rFonts w:eastAsia="Times New Roman" w:cs="Calibri"/>
          <w:sz w:val="24"/>
          <w:u w:val="single"/>
        </w:rPr>
        <w:t xml:space="preserve">The reliance on Cartesian modes of thinking about impairment and disability ignores the fact that the somatic society has dissolved the modernist separation of the body from politics. </w:t>
      </w:r>
      <w:r w:rsidRPr="00F933AF">
        <w:rPr>
          <w:rFonts w:eastAsia="Times New Roman" w:cs="Calibri"/>
          <w:b/>
          <w:sz w:val="24"/>
          <w:u w:val="single"/>
        </w:rPr>
        <w:t>The body is not a passive component in politics. It may well be shaped by social relationships, but it also actively contributes to the shape that they take</w:t>
      </w:r>
      <w:r w:rsidRPr="00F933AF">
        <w:rPr>
          <w:rFonts w:eastAsia="Times New Roman" w:cs="Calibri"/>
          <w:sz w:val="24"/>
          <w:u w:val="single"/>
        </w:rPr>
        <w:t>.</w:t>
      </w:r>
      <w:r w:rsidRPr="00F933AF">
        <w:rPr>
          <w:rFonts w:eastAsia="Times New Roman" w:cs="Calibri"/>
          <w:sz w:val="16"/>
        </w:rPr>
        <w:t xml:space="preserve"> </w:t>
      </w:r>
      <w:r w:rsidRPr="00F933AF">
        <w:rPr>
          <w:rFonts w:eastAsia="Times New Roman" w:cs="Calibri"/>
          <w:sz w:val="24"/>
          <w:u w:val="single"/>
        </w:rPr>
        <w:t xml:space="preserve">In this context there is no dualistic outside/in or inside/out models of emancipation. </w:t>
      </w:r>
      <w:r w:rsidRPr="00F933AF">
        <w:rPr>
          <w:rFonts w:eastAsia="Times New Roman" w:cs="Calibri"/>
          <w:b/>
          <w:sz w:val="24"/>
          <w:u w:val="single"/>
        </w:rPr>
        <w:t>Politics today, is as much about aesthetics</w:t>
      </w:r>
      <w:r w:rsidRPr="00F933AF">
        <w:rPr>
          <w:rFonts w:eastAsia="Times New Roman" w:cs="Calibri"/>
          <w:sz w:val="16"/>
        </w:rPr>
        <w:t xml:space="preserve"> (formed and forming bodies) </w:t>
      </w:r>
      <w:r w:rsidRPr="00F933AF">
        <w:rPr>
          <w:rFonts w:eastAsia="Times New Roman" w:cs="Calibri"/>
          <w:b/>
          <w:sz w:val="24"/>
          <w:u w:val="single"/>
        </w:rPr>
        <w:t>as it is about economic and public life</w:t>
      </w:r>
      <w:r w:rsidRPr="00F933AF">
        <w:rPr>
          <w:rFonts w:eastAsia="Times New Roman" w:cs="Calibri"/>
          <w:b/>
          <w:sz w:val="16"/>
        </w:rPr>
        <w:t>.</w:t>
      </w:r>
      <w:r w:rsidRPr="00F933AF">
        <w:rPr>
          <w:rFonts w:eastAsia="Times New Roman" w:cs="Calibri"/>
          <w:sz w:val="16"/>
        </w:rPr>
        <w:t xml:space="preserve"> </w:t>
      </w:r>
      <w:r w:rsidRPr="00F933AF">
        <w:rPr>
          <w:rFonts w:eastAsia="Times New Roman" w:cs="Calibri"/>
          <w:sz w:val="24"/>
          <w:u w:val="single"/>
        </w:rPr>
        <w:t xml:space="preserve">The assortment of `Pride movements’ - Black, gay, disability - </w:t>
      </w:r>
      <w:r w:rsidRPr="00F933AF">
        <w:rPr>
          <w:rFonts w:eastAsia="Times New Roman" w:cs="Calibri"/>
          <w:b/>
          <w:sz w:val="24"/>
          <w:u w:val="single"/>
        </w:rPr>
        <w:t xml:space="preserve">are all forms of a politics of proprioception; a contemporary politics of bodies, in which aesthetic, as well as political and economic, tyrannies are deconstructed by excluded groups </w:t>
      </w:r>
      <w:r w:rsidRPr="00F933AF">
        <w:rPr>
          <w:rFonts w:eastAsia="Times New Roman" w:cs="Calibri"/>
          <w:sz w:val="16"/>
        </w:rPr>
        <w:t xml:space="preserve">(Hughes &amp; Paterson, 1997). They `work’ simultaneously on the inside and the outside. </w:t>
      </w:r>
      <w:r w:rsidRPr="00F933AF">
        <w:rPr>
          <w:rFonts w:eastAsia="Times New Roman" w:cs="Calibri"/>
          <w:sz w:val="24"/>
          <w:u w:val="single"/>
        </w:rPr>
        <w:t>Their project is transformation of self and society, a declaration of self respect which is, a challenge to prejudice and oppression</w:t>
      </w:r>
      <w:r w:rsidRPr="00F933AF">
        <w:rPr>
          <w:rFonts w:eastAsia="Times New Roman" w:cs="Calibri"/>
          <w:sz w:val="16"/>
        </w:rPr>
        <w:t xml:space="preserve">. </w:t>
      </w:r>
      <w:r w:rsidRPr="00F933AF">
        <w:rPr>
          <w:rFonts w:eastAsia="Times New Roman" w:cs="Calibri"/>
          <w:b/>
          <w:sz w:val="24"/>
          <w:u w:val="single"/>
        </w:rPr>
        <w:t>The politics of `outside in’- the `standard’ politics of the disability movement - have tended to stay `outside’ and never get `in’.</w:t>
      </w:r>
      <w:r w:rsidRPr="00F933AF">
        <w:rPr>
          <w:rFonts w:eastAsia="Times New Roman" w:cs="Calibri"/>
          <w:sz w:val="16"/>
        </w:rPr>
        <w:t xml:space="preserve"> To argue that the impaired body has disappeared from disability studies does not register a failure to recognize a whole body of work where disabled people have discussed their experience of impairment (see, for example, Campling, 1981; Oliver et al., 1988; Morris, 1989; Hales, 1996). Yet within disability studies, the term `body’ tends to be used without much sense of bodiliness as if the body were little more than flesh and bones. This tendency carries the danger of objectifying bodies as things devoid of intentionality and intersubjectivity (Csordas, 1994). </w:t>
      </w:r>
      <w:r w:rsidRPr="00F933AF">
        <w:rPr>
          <w:rFonts w:eastAsia="Times New Roman" w:cs="Calibri"/>
          <w:sz w:val="24"/>
          <w:u w:val="single"/>
        </w:rPr>
        <w:t>Such tendencies miss `the opportunity to add sentience and sensibility to our notions of self and person, and to insert an added dimension of materiality to our notions of culture and history’</w:t>
      </w:r>
      <w:r w:rsidRPr="00F933AF">
        <w:rPr>
          <w:rFonts w:eastAsia="Times New Roman" w:cs="Calibri"/>
          <w:sz w:val="16"/>
        </w:rPr>
        <w:t xml:space="preserve"> (Csordas, 1994, p. 4), </w:t>
      </w:r>
      <w:r w:rsidRPr="00F933AF">
        <w:rPr>
          <w:rFonts w:eastAsia="Times New Roman" w:cs="Calibri"/>
          <w:sz w:val="24"/>
          <w:u w:val="single"/>
        </w:rPr>
        <w:t xml:space="preserve">A sociology of impairment that is phenomenological would facilitate the scholarly task of illustrating that the impaired body </w:t>
      </w:r>
      <w:r w:rsidRPr="00F933AF">
        <w:rPr>
          <w:rFonts w:eastAsia="Times New Roman" w:cs="Calibri"/>
          <w:b/>
          <w:sz w:val="24"/>
          <w:u w:val="single"/>
        </w:rPr>
        <w:t>has a history and is as much a cultural phenomenon as it is a biological entity</w:t>
      </w:r>
      <w:r w:rsidRPr="00F933AF">
        <w:rPr>
          <w:rFonts w:eastAsia="Times New Roman" w:cs="Calibri"/>
          <w:sz w:val="16"/>
        </w:rPr>
        <w:t xml:space="preserve">. </w:t>
      </w:r>
      <w:r w:rsidRPr="00F933AF">
        <w:rPr>
          <w:rFonts w:eastAsia="Times New Roman" w:cs="Calibri"/>
          <w:sz w:val="24"/>
          <w:u w:val="single"/>
        </w:rPr>
        <w:t>It would offer disability studies the opportunity to formulate theories of culture, self and experience, with the body at the centre of its analysis.</w:t>
      </w:r>
      <w:r w:rsidRPr="00F933AF">
        <w:rPr>
          <w:rFonts w:eastAsia="Times New Roman" w:cs="Calibri"/>
          <w:sz w:val="16"/>
        </w:rPr>
        <w:t xml:space="preserve"> Much of the work which features disabled people talking about their bodies is done within interactionist perspectives. Such approaches have been criticized for offering mere descriptions of the discrimination faced by disabled people, rather than examining the conditions which produce their experience of oppression (Finkelstein, 1980; Abberley, 1987, 1993). However, just as interactionist perspectives can be criticized for their micro-analysis of disability at the expense of any macro analysis, the converse can be said of disability studies’ approach to understanding disability. It suggests that research should be concerned with spotlighting the ways in which society disables people with impairments rather than the effects on individuals (Oliver, 1992, Zarb, 1992). </w:t>
      </w:r>
      <w:r w:rsidRPr="00F933AF">
        <w:rPr>
          <w:rFonts w:eastAsia="Times New Roman" w:cs="Calibri"/>
          <w:b/>
          <w:sz w:val="24"/>
          <w:u w:val="single"/>
        </w:rPr>
        <w:t>Here, the everyday reality of lived experience is neglected in favour of a purely structural analysis of disability</w:t>
      </w:r>
      <w:r w:rsidRPr="00F933AF">
        <w:rPr>
          <w:rFonts w:eastAsia="Times New Roman" w:cs="Calibri"/>
          <w:sz w:val="16"/>
        </w:rPr>
        <w:t xml:space="preserve"> (Shakespeare, in Shakespeare &amp; Watson, 1995b). Indeed, the critique of interactionism from the perspective of the social model of disability (Oliver, 1990) is limited by its structuralist fixation. Abberley (1987) recognizes that any systematic study of the importance of the body in Western society has been absent (with the exception of feminist literature) until recently. `</w:t>
      </w:r>
      <w:r w:rsidRPr="00F933AF">
        <w:rPr>
          <w:rFonts w:eastAsia="Times New Roman" w:cs="Calibri"/>
          <w:sz w:val="24"/>
          <w:u w:val="single"/>
        </w:rPr>
        <w:t>For disabled people the body is the site of oppression, both in form, and in what is done with it’</w:t>
      </w:r>
      <w:r w:rsidRPr="00F933AF">
        <w:rPr>
          <w:rFonts w:eastAsia="Times New Roman" w:cs="Calibri"/>
          <w:sz w:val="16"/>
        </w:rPr>
        <w:t xml:space="preserve"> (Abberley, 1987, p. 14). The impaired body is depicted here as a passive recipient of social forces. But what about the body as agency and activity? As Imrie (1996, p. 145) points out, disabled people are `not merely passive recipients of the built environment, but actively seek to challenge and change it.’ </w:t>
      </w:r>
      <w:r w:rsidRPr="00F933AF">
        <w:rPr>
          <w:rFonts w:eastAsia="Times New Roman" w:cs="Calibri"/>
          <w:sz w:val="24"/>
          <w:u w:val="single"/>
        </w:rPr>
        <w:t>New social movements are moving away from theoretical perspectives which regard the body as a thing subjected to forces in which it has no formative role</w:t>
      </w:r>
      <w:r w:rsidRPr="00F933AF">
        <w:rPr>
          <w:rFonts w:eastAsia="Times New Roman" w:cs="Calibri"/>
          <w:sz w:val="16"/>
        </w:rPr>
        <w:t xml:space="preserve"> (Lyon &amp; Barbalet, 1994). Disability studies must also address the fundamental issue of bodily agency. As Crossley (1995, p. 60) states, `</w:t>
      </w:r>
      <w:proofErr w:type="gramStart"/>
      <w:r w:rsidRPr="00F933AF">
        <w:rPr>
          <w:rFonts w:eastAsia="Times New Roman" w:cs="Calibri"/>
          <w:sz w:val="16"/>
        </w:rPr>
        <w:t>To</w:t>
      </w:r>
      <w:proofErr w:type="gramEnd"/>
      <w:r w:rsidRPr="00F933AF">
        <w:rPr>
          <w:rFonts w:eastAsia="Times New Roman" w:cs="Calibri"/>
          <w:sz w:val="16"/>
        </w:rPr>
        <w:t xml:space="preserve"> be a body is to be both a locus of action and a focus of power.’</w:t>
      </w:r>
    </w:p>
    <w:p w:rsidR="00E5343F" w:rsidRPr="00F933AF" w:rsidRDefault="00E5343F" w:rsidP="00E5343F">
      <w:pPr>
        <w:spacing w:after="0" w:line="240" w:lineRule="auto"/>
        <w:rPr>
          <w:rFonts w:eastAsia="Times New Roman" w:cs="Calibri"/>
          <w:sz w:val="24"/>
        </w:rPr>
      </w:pPr>
    </w:p>
    <w:p w:rsidR="00E5343F" w:rsidRPr="00F933AF" w:rsidRDefault="00E5343F" w:rsidP="00E5343F">
      <w:pPr>
        <w:rPr>
          <w:rFonts w:cs="Calibri"/>
        </w:rPr>
      </w:pPr>
    </w:p>
    <w:p w:rsidR="00E5343F" w:rsidRPr="00F933AF" w:rsidRDefault="00E5343F" w:rsidP="00E5343F">
      <w:pPr>
        <w:pStyle w:val="Heading4"/>
        <w:rPr>
          <w:rFonts w:cs="Calibri"/>
        </w:rPr>
      </w:pPr>
      <w:r w:rsidRPr="00F933AF">
        <w:rPr>
          <w:rFonts w:cs="Calibri"/>
        </w:rPr>
        <w:t xml:space="preserve">Disability is not simply reducible to a set of social and economic conditions – ableism is also rooted in a construction of the “Other” and biological reductionism </w:t>
      </w:r>
    </w:p>
    <w:p w:rsidR="00E5343F" w:rsidRPr="00F933AF" w:rsidRDefault="00E5343F" w:rsidP="00E5343F">
      <w:pPr>
        <w:spacing w:after="0" w:line="240" w:lineRule="auto"/>
        <w:rPr>
          <w:rStyle w:val="Style13ptBold"/>
          <w:rFonts w:cs="Calibri"/>
          <w:b w:val="0"/>
          <w:sz w:val="16"/>
          <w:szCs w:val="16"/>
        </w:rPr>
      </w:pPr>
      <w:r w:rsidRPr="00F933AF">
        <w:rPr>
          <w:rStyle w:val="Style13ptBold"/>
          <w:rFonts w:cs="Calibri"/>
        </w:rPr>
        <w:t>Hughes 99</w:t>
      </w:r>
      <w:r w:rsidRPr="00F933AF">
        <w:rPr>
          <w:rStyle w:val="Style13ptBold"/>
          <w:rFonts w:cs="Calibri"/>
          <w:b w:val="0"/>
          <w:sz w:val="16"/>
          <w:szCs w:val="16"/>
        </w:rPr>
        <w:t>, Bill- awarded a BA (Hons) in sociology (1st Class) from the University of Stirling in 1979 and a PhD in political philosophy from the University of Aberdeen in 1985 The Constitution of Impairment: Modernity and the aesthetic of oppression, Disability &amp; Society, 14:2, 155-172//mr</w:t>
      </w:r>
    </w:p>
    <w:p w:rsidR="00E5343F" w:rsidRPr="00F933AF" w:rsidRDefault="00E5343F" w:rsidP="00E5343F">
      <w:pPr>
        <w:spacing w:after="0" w:line="240" w:lineRule="auto"/>
        <w:rPr>
          <w:rFonts w:eastAsia="Times New Roman" w:cs="Calibri"/>
          <w:sz w:val="16"/>
        </w:rPr>
      </w:pPr>
      <w:r w:rsidRPr="00F933AF">
        <w:rPr>
          <w:rFonts w:eastAsia="Times New Roman" w:cs="Calibri"/>
          <w:sz w:val="24"/>
          <w:u w:val="single"/>
        </w:rPr>
        <w:t>The social model of disability is largely a product of the critique of capitalism</w:t>
      </w:r>
      <w:r w:rsidRPr="00F933AF">
        <w:rPr>
          <w:rFonts w:eastAsia="Times New Roman" w:cs="Calibri"/>
          <w:sz w:val="16"/>
        </w:rPr>
        <w:t xml:space="preserve"> (Oliver, 1990). It is, however, largely neglectful of the critique of modernity. In this paper, I want to suggest that </w:t>
      </w:r>
      <w:r w:rsidRPr="00F933AF">
        <w:rPr>
          <w:rFonts w:eastAsia="Times New Roman" w:cs="Calibri"/>
          <w:sz w:val="24"/>
          <w:u w:val="single"/>
        </w:rPr>
        <w:t>this neglect restricts the analytical power and `reach’ of disability studies: in particular, it confounds the possibility of developing a social theory of impairment which is largely dependent on escape from the confines of Cartesian categories</w:t>
      </w:r>
      <w:r w:rsidRPr="00F933AF">
        <w:rPr>
          <w:rFonts w:eastAsia="Times New Roman" w:cs="Calibri"/>
          <w:sz w:val="16"/>
        </w:rPr>
        <w:t xml:space="preserve">. I am not suggesting that </w:t>
      </w:r>
      <w:r w:rsidRPr="00F933AF">
        <w:rPr>
          <w:rFonts w:eastAsia="Times New Roman" w:cs="Calibri"/>
          <w:sz w:val="24"/>
          <w:u w:val="single"/>
        </w:rPr>
        <w:t>the social model of disability</w:t>
      </w:r>
      <w:r w:rsidRPr="00F933AF">
        <w:rPr>
          <w:rFonts w:eastAsia="Times New Roman" w:cs="Calibri"/>
          <w:sz w:val="16"/>
        </w:rPr>
        <w:t xml:space="preserve"> embrace post-modernism. I am, however, suggesting that it </w:t>
      </w:r>
      <w:r w:rsidRPr="00F933AF">
        <w:rPr>
          <w:rFonts w:eastAsia="Times New Roman" w:cs="Calibri"/>
          <w:sz w:val="24"/>
          <w:u w:val="single"/>
        </w:rPr>
        <w:t xml:space="preserve">should adopt a strategy of epistemological pragmatism </w:t>
      </w:r>
      <w:r w:rsidRPr="00F933AF">
        <w:rPr>
          <w:rFonts w:eastAsia="Times New Roman" w:cs="Calibri"/>
          <w:sz w:val="16"/>
        </w:rPr>
        <w:t xml:space="preserve">(Turner, 1992) </w:t>
      </w:r>
      <w:r w:rsidRPr="00F933AF">
        <w:rPr>
          <w:rFonts w:eastAsia="Times New Roman" w:cs="Calibri"/>
          <w:sz w:val="24"/>
          <w:u w:val="single"/>
        </w:rPr>
        <w:t>which includes the priority of setting aside its own conceptual imperatives, if and when, alternative perspectives can help to illuminate the forms of oppression and discrimination that characterise the lives of disabled people.</w:t>
      </w:r>
      <w:r w:rsidRPr="00F933AF">
        <w:rPr>
          <w:rFonts w:eastAsia="Times New Roman" w:cs="Calibri"/>
          <w:sz w:val="16"/>
        </w:rPr>
        <w:t xml:space="preserve"> </w:t>
      </w:r>
      <w:r w:rsidRPr="00F933AF">
        <w:rPr>
          <w:rFonts w:eastAsia="Times New Roman" w:cs="Calibri"/>
          <w:b/>
          <w:sz w:val="24"/>
          <w:u w:val="single"/>
        </w:rPr>
        <w:t>A more</w:t>
      </w:r>
      <w:r w:rsidRPr="00F933AF">
        <w:rPr>
          <w:rFonts w:eastAsia="Times New Roman" w:cs="Calibri"/>
          <w:sz w:val="16"/>
        </w:rPr>
        <w:t>, shall we say,</w:t>
      </w:r>
      <w:r w:rsidRPr="00F933AF">
        <w:rPr>
          <w:rFonts w:eastAsia="Times New Roman" w:cs="Calibri"/>
          <w:sz w:val="24"/>
          <w:u w:val="single"/>
        </w:rPr>
        <w:t xml:space="preserve"> </w:t>
      </w:r>
      <w:r w:rsidRPr="00F933AF">
        <w:rPr>
          <w:rFonts w:eastAsia="Times New Roman" w:cs="Calibri"/>
          <w:b/>
          <w:sz w:val="24"/>
          <w:u w:val="single"/>
        </w:rPr>
        <w:t>`aesthetic view’ of the value and nature of social theory is required.</w:t>
      </w:r>
      <w:r w:rsidRPr="00F933AF">
        <w:rPr>
          <w:rFonts w:eastAsia="Times New Roman" w:cs="Calibri"/>
          <w:sz w:val="24"/>
          <w:u w:val="single"/>
        </w:rPr>
        <w:t xml:space="preserve"> </w:t>
      </w:r>
      <w:r w:rsidRPr="00F933AF">
        <w:rPr>
          <w:rFonts w:eastAsia="Times New Roman" w:cs="Calibri"/>
          <w:b/>
          <w:sz w:val="24"/>
          <w:u w:val="single"/>
        </w:rPr>
        <w:t>Pragmatism and perspectivism may not fit the Marxist hue of the social model</w:t>
      </w:r>
      <w:r w:rsidRPr="00F933AF">
        <w:rPr>
          <w:rFonts w:eastAsia="Times New Roman" w:cs="Calibri"/>
          <w:sz w:val="24"/>
          <w:u w:val="single"/>
        </w:rPr>
        <w:t xml:space="preserve">, but in </w:t>
      </w:r>
      <w:r w:rsidRPr="00F933AF">
        <w:rPr>
          <w:rFonts w:eastAsia="Times New Roman" w:cs="Calibri"/>
          <w:b/>
          <w:sz w:val="24"/>
          <w:u w:val="single"/>
        </w:rPr>
        <w:t>the epistemological crisis which marks the contemporary world and obliges new social movements to interrogate the very foundations of emancipatory politics: there is little value in epistemocracy</w:t>
      </w:r>
      <w:r w:rsidRPr="00F933AF">
        <w:rPr>
          <w:rFonts w:eastAsia="Times New Roman" w:cs="Calibri"/>
          <w:sz w:val="16"/>
        </w:rPr>
        <w:t xml:space="preserve">. This position is of particular importance with respect to the current debate within disability studies about the relevance of impairment and the body, the neglect of which has been a feature of the social model (Hughes &amp; Paterson, 1997). The body has become central to contemporary social and philosophical thought (Turner, 1996; Lowe, 1995; Shilling, 1993; Synnott, 1993) and its exclusion to date is usually related to the modernist and enlightenment preoccupation with the ontological supremacy of reason and cognition. Critiques of modernity, which often thrive in counter-enlightenment examinations of the body as a social construct have had little impact on the social model of disability. Consequently, </w:t>
      </w:r>
      <w:r w:rsidRPr="00F933AF">
        <w:rPr>
          <w:rFonts w:eastAsia="Times New Roman" w:cs="Calibri"/>
          <w:sz w:val="24"/>
          <w:u w:val="single"/>
        </w:rPr>
        <w:t>impairment, in the social model, is usually conceived in naturalistic and essentialist terms as a pre-social given. This cuts off theoretical access to</w:t>
      </w:r>
      <w:r w:rsidRPr="00F933AF">
        <w:rPr>
          <w:rFonts w:eastAsia="Times New Roman" w:cs="Calibri"/>
          <w:sz w:val="16"/>
        </w:rPr>
        <w:t xml:space="preserve"> what Terry Eagleton (1990, p. 13) has called `</w:t>
      </w:r>
      <w:r w:rsidRPr="00F933AF">
        <w:rPr>
          <w:rFonts w:eastAsia="Times New Roman" w:cs="Calibri"/>
          <w:sz w:val="24"/>
          <w:u w:val="single"/>
        </w:rPr>
        <w:t xml:space="preserve">the </w:t>
      </w:r>
      <w:proofErr w:type="gramStart"/>
      <w:r w:rsidRPr="00F933AF">
        <w:rPr>
          <w:rFonts w:eastAsia="Times New Roman" w:cs="Calibri"/>
          <w:sz w:val="24"/>
          <w:u w:val="single"/>
        </w:rPr>
        <w:t>aesthetic’ ;</w:t>
      </w:r>
      <w:proofErr w:type="gramEnd"/>
      <w:r w:rsidRPr="00F933AF">
        <w:rPr>
          <w:rFonts w:eastAsia="Times New Roman" w:cs="Calibri"/>
          <w:sz w:val="24"/>
          <w:u w:val="single"/>
        </w:rPr>
        <w:t xml:space="preserve"> that `which takes root in the gaze and the guts and all that arises from our most banal, biological insertion into the world’</w:t>
      </w:r>
      <w:r w:rsidRPr="00F933AF">
        <w:rPr>
          <w:rFonts w:eastAsia="Times New Roman" w:cs="Calibri"/>
          <w:sz w:val="16"/>
        </w:rPr>
        <w:t xml:space="preserve"> . In particular, it divorces the social model of disability from developments in the sociology of the body, from issues of carnality, intercorporeality, perception and the senses which, I will argue, could have a profound bearing on the transformation of impairment [1] from a reactionary to an emancipatory concept. </w:t>
      </w:r>
      <w:r w:rsidRPr="00F933AF">
        <w:rPr>
          <w:rFonts w:eastAsia="Times New Roman" w:cs="Calibri"/>
          <w:sz w:val="24"/>
          <w:u w:val="single"/>
        </w:rPr>
        <w:t>An application of the critique of the `visual culture’</w:t>
      </w:r>
      <w:r w:rsidRPr="00F933AF">
        <w:rPr>
          <w:rFonts w:eastAsia="Times New Roman" w:cs="Calibri"/>
          <w:sz w:val="16"/>
        </w:rPr>
        <w:t xml:space="preserve"> (Jenks, 1995</w:t>
      </w:r>
      <w:r w:rsidRPr="00F933AF">
        <w:rPr>
          <w:rFonts w:eastAsia="Times New Roman" w:cs="Calibri"/>
          <w:sz w:val="24"/>
          <w:u w:val="single"/>
        </w:rPr>
        <w:t>) which constitutes the contemporary form of the `scopic regime’</w:t>
      </w:r>
      <w:r w:rsidRPr="00F933AF">
        <w:rPr>
          <w:rFonts w:eastAsia="Times New Roman" w:cs="Calibri"/>
          <w:sz w:val="16"/>
        </w:rPr>
        <w:t xml:space="preserve"> (Jay, 1994; Jay &amp; Bannan; 1996) </w:t>
      </w:r>
      <w:r w:rsidRPr="00F933AF">
        <w:rPr>
          <w:rFonts w:eastAsia="Times New Roman" w:cs="Calibri"/>
          <w:sz w:val="24"/>
          <w:u w:val="single"/>
        </w:rPr>
        <w:t>of modernity can unpack the social constitution of impairment as a category which denotes negativity and invalidation</w:t>
      </w:r>
      <w:r w:rsidRPr="00F933AF">
        <w:rPr>
          <w:rFonts w:eastAsia="Times New Roman" w:cs="Calibri"/>
          <w:sz w:val="16"/>
        </w:rPr>
        <w:t xml:space="preserve">. The oppressiveness of what Sartre (1958), long before Foucault (1973), called `le regard’ (the gaze) is part, for sure, of the experience of impairment but it is also constitutive of it. In short, in this paper, I want to examine - with respect to impairment- the ways in which vision is disfiguring. This is predicated on the challenge to the neutrality of vision which is developing through a critical sociology of the senses and the epistemological uncertainties of the contemporary world. As Jenks (1995, p. 12) argues: The senses have, through modernity, become in fiated indicators of the real, but none more so than vision. As a direct consequence of this elevation, </w:t>
      </w:r>
      <w:r w:rsidRPr="00F933AF">
        <w:rPr>
          <w:rFonts w:eastAsia="Times New Roman" w:cs="Calibri"/>
          <w:sz w:val="24"/>
          <w:u w:val="single"/>
        </w:rPr>
        <w:t xml:space="preserve">the staring optics of humankind act as the final arbiters of truth, beauty, desire and goodness. </w:t>
      </w:r>
      <w:r w:rsidRPr="00F933AF">
        <w:rPr>
          <w:rFonts w:eastAsia="Times New Roman" w:cs="Calibri"/>
          <w:b/>
          <w:sz w:val="24"/>
          <w:u w:val="single"/>
        </w:rPr>
        <w:t xml:space="preserve">Modernity has a particularly pervasive capacity to produce strangers; people, that is, who disturb its fragile `cognitive, moral and aesthetic’ boundaries and challenge </w:t>
      </w:r>
      <w:proofErr w:type="gramStart"/>
      <w:r w:rsidRPr="00F933AF">
        <w:rPr>
          <w:rFonts w:eastAsia="Times New Roman" w:cs="Calibri"/>
          <w:b/>
          <w:sz w:val="24"/>
          <w:u w:val="single"/>
        </w:rPr>
        <w:t>its</w:t>
      </w:r>
      <w:proofErr w:type="gramEnd"/>
      <w:r w:rsidRPr="00F933AF">
        <w:rPr>
          <w:rFonts w:eastAsia="Times New Roman" w:cs="Calibri"/>
          <w:b/>
          <w:sz w:val="24"/>
          <w:u w:val="single"/>
        </w:rPr>
        <w:t xml:space="preserve"> rather overbearing sense of order</w:t>
      </w:r>
      <w:r w:rsidRPr="00F933AF">
        <w:rPr>
          <w:rFonts w:eastAsia="Times New Roman" w:cs="Calibri"/>
          <w:sz w:val="16"/>
        </w:rPr>
        <w:t xml:space="preserve">. </w:t>
      </w:r>
      <w:r w:rsidRPr="00F933AF">
        <w:rPr>
          <w:rFonts w:eastAsia="Times New Roman" w:cs="Calibri"/>
          <w:sz w:val="24"/>
          <w:u w:val="single"/>
        </w:rPr>
        <w:t>The stranger is constructed by the limits of tolerance and conformity, and by the tendency of modernity to homogenize and annihilate the differences it invariably produces.</w:t>
      </w:r>
      <w:r w:rsidRPr="00F933AF">
        <w:rPr>
          <w:rFonts w:eastAsia="Times New Roman" w:cs="Calibri"/>
          <w:sz w:val="16"/>
        </w:rPr>
        <w:t xml:space="preserve"> These limits are constituted in both perception - through the gaze - and in discourse [2]. Furthermore, the </w:t>
      </w:r>
      <w:r w:rsidRPr="00F933AF">
        <w:rPr>
          <w:rFonts w:eastAsia="Times New Roman" w:cs="Calibri"/>
          <w:sz w:val="24"/>
          <w:u w:val="single"/>
        </w:rPr>
        <w:t>modern disciplines</w:t>
      </w:r>
      <w:r w:rsidRPr="00F933AF">
        <w:rPr>
          <w:rFonts w:eastAsia="Times New Roman" w:cs="Calibri"/>
          <w:sz w:val="16"/>
        </w:rPr>
        <w:t xml:space="preserve"> (including sociology) </w:t>
      </w:r>
      <w:r w:rsidRPr="00F933AF">
        <w:rPr>
          <w:rFonts w:eastAsia="Times New Roman" w:cs="Calibri"/>
          <w:sz w:val="24"/>
          <w:u w:val="single"/>
        </w:rPr>
        <w:t>are,</w:t>
      </w:r>
      <w:r w:rsidRPr="00F933AF">
        <w:rPr>
          <w:rFonts w:eastAsia="Times New Roman" w:cs="Calibri"/>
          <w:sz w:val="16"/>
        </w:rPr>
        <w:t xml:space="preserve"> themselves, </w:t>
      </w:r>
      <w:r w:rsidRPr="00F933AF">
        <w:rPr>
          <w:rFonts w:eastAsia="Times New Roman" w:cs="Calibri"/>
          <w:sz w:val="24"/>
          <w:u w:val="single"/>
        </w:rPr>
        <w:t>key players in this game of exclusion</w:t>
      </w:r>
      <w:r w:rsidRPr="00F933AF">
        <w:rPr>
          <w:rFonts w:eastAsia="Times New Roman" w:cs="Calibri"/>
          <w:sz w:val="16"/>
        </w:rPr>
        <w:t xml:space="preserve"> (Bauman, 1997). </w:t>
      </w:r>
      <w:r w:rsidRPr="00F933AF">
        <w:rPr>
          <w:rFonts w:eastAsia="Times New Roman" w:cs="Calibri"/>
          <w:sz w:val="24"/>
          <w:u w:val="single"/>
        </w:rPr>
        <w:t>The stranger is conceived as a threat. She is produced by the categorising and normalising propensities of knowledge</w:t>
      </w:r>
      <w:r w:rsidRPr="00F933AF">
        <w:rPr>
          <w:rFonts w:eastAsia="Times New Roman" w:cs="Calibri"/>
          <w:sz w:val="16"/>
        </w:rPr>
        <w:t xml:space="preserve"> (Foucault, 1973), and either condemned to `pass as normal’ (Goffman, 1978) or wither in `total institutions’ (Goffman, 1968); in the, `cities of the damned’ which became the modern equivalent of leprosaria. </w:t>
      </w:r>
      <w:r w:rsidRPr="00F933AF">
        <w:rPr>
          <w:rFonts w:eastAsia="Times New Roman" w:cs="Calibri"/>
          <w:sz w:val="24"/>
          <w:u w:val="single"/>
        </w:rPr>
        <w:t>This generic construction/treatment of the stranger in modernity can</w:t>
      </w:r>
      <w:r w:rsidRPr="00F933AF">
        <w:rPr>
          <w:rFonts w:eastAsia="Times New Roman" w:cs="Calibri"/>
          <w:sz w:val="16"/>
        </w:rPr>
        <w:t xml:space="preserve"> easily </w:t>
      </w:r>
      <w:r w:rsidRPr="00F933AF">
        <w:rPr>
          <w:rFonts w:eastAsia="Times New Roman" w:cs="Calibri"/>
          <w:sz w:val="24"/>
          <w:u w:val="single"/>
        </w:rPr>
        <w:t>be applied specifically to disabled people</w:t>
      </w:r>
      <w:r w:rsidRPr="00F933AF">
        <w:rPr>
          <w:rFonts w:eastAsia="Times New Roman" w:cs="Calibri"/>
          <w:sz w:val="16"/>
        </w:rPr>
        <w:t xml:space="preserve">. </w:t>
      </w:r>
      <w:r w:rsidRPr="00F933AF">
        <w:rPr>
          <w:rFonts w:eastAsia="Times New Roman" w:cs="Calibri"/>
          <w:sz w:val="24"/>
          <w:u w:val="single"/>
        </w:rPr>
        <w:t xml:space="preserve">Anthropophagic (or assimilationist) and anthropoemic (or exclusionary) strategies </w:t>
      </w:r>
      <w:r w:rsidRPr="00F933AF">
        <w:rPr>
          <w:rFonts w:eastAsia="Times New Roman" w:cs="Calibri"/>
          <w:sz w:val="16"/>
        </w:rPr>
        <w:t xml:space="preserve">(Bauman, 1997) </w:t>
      </w:r>
      <w:r w:rsidRPr="00F933AF">
        <w:rPr>
          <w:rFonts w:eastAsia="Times New Roman" w:cs="Calibri"/>
          <w:sz w:val="24"/>
          <w:u w:val="single"/>
        </w:rPr>
        <w:t xml:space="preserve">have been applied to disabled people throughout the modern period. Segregationist policies were an example of the latter, while community care was an example of the former, and both hinge upon the gaze that composes impairment as disorder. </w:t>
      </w:r>
      <w:r w:rsidRPr="00F933AF">
        <w:rPr>
          <w:rFonts w:eastAsia="Times New Roman" w:cs="Calibri"/>
          <w:sz w:val="16"/>
        </w:rPr>
        <w:t xml:space="preserve">To cast out or to remake in the image of normality are the two extremes (of policy response) that characterise modernity. These strategies are not the product of observational or perceptual indifference and objectivity, but the outcome of a powerful `will to order’ in which the perception of impairment is continuously constituted and reconstituted in terms of invalidation. </w:t>
      </w:r>
      <w:r w:rsidRPr="00F933AF">
        <w:rPr>
          <w:rFonts w:eastAsia="Times New Roman" w:cs="Calibri"/>
          <w:b/>
          <w:sz w:val="24"/>
          <w:u w:val="single"/>
        </w:rPr>
        <w:t>To be impaired is to be perceived as invalid, to be seen to be anomalous or contrary to order:</w:t>
      </w:r>
      <w:r w:rsidRPr="00F933AF">
        <w:rPr>
          <w:rFonts w:eastAsia="Times New Roman" w:cs="Calibri"/>
          <w:sz w:val="24"/>
          <w:u w:val="single"/>
        </w:rPr>
        <w:t xml:space="preserve"> Every preference for a possible order is accompanied, most often implicitly, by the aversion for the opposite order.</w:t>
      </w:r>
      <w:r w:rsidRPr="00F933AF">
        <w:rPr>
          <w:rFonts w:eastAsia="Times New Roman" w:cs="Calibri"/>
          <w:sz w:val="16"/>
        </w:rPr>
        <w:t xml:space="preserve"> </w:t>
      </w:r>
      <w:r w:rsidRPr="00F933AF">
        <w:rPr>
          <w:rFonts w:eastAsia="Times New Roman" w:cs="Calibri"/>
          <w:sz w:val="24"/>
          <w:u w:val="single"/>
        </w:rPr>
        <w:t xml:space="preserve">That which diverges from the preferable in a given area of evaluation is not the indifferent but </w:t>
      </w:r>
      <w:r w:rsidRPr="00F933AF">
        <w:rPr>
          <w:rFonts w:eastAsia="Times New Roman" w:cs="Calibri"/>
          <w:b/>
          <w:sz w:val="24"/>
          <w:u w:val="single"/>
        </w:rPr>
        <w:t>the repulsive or more exactly, the repulsed, the detestable</w:t>
      </w:r>
      <w:r w:rsidRPr="00F933AF">
        <w:rPr>
          <w:rFonts w:eastAsia="Times New Roman" w:cs="Calibri"/>
          <w:sz w:val="16"/>
        </w:rPr>
        <w:t xml:space="preserve">. (Canguilhem, 1991, p. 240.) This binary marking out of the world, first, in the interests and `innocence’ of classification and then (inevitably) in the name of moral order, was a key feature of nineteenth century positive sociology. Normality and abnormality, function and dysfunction were the master categories that provided sociology with its window on the world. The gaze that sponsored the sociological imagination from Comte to Parsons is compelled to search for `social pathology’ which `refers to maladjustments in social relationships’: an ocularcentric epistemological position which `is based on the analogy of bodily maladjustment of function in the organ’ (Gillan &amp; Blackmar, 1930, p. 24). </w:t>
      </w:r>
      <w:r w:rsidRPr="00F933AF">
        <w:rPr>
          <w:rFonts w:eastAsia="Times New Roman" w:cs="Calibri"/>
          <w:sz w:val="24"/>
          <w:u w:val="single"/>
        </w:rPr>
        <w:t>For sociology, the medicalized body was an attractive way of making sense of the social body. The former was a natural, organic object of analyzable, calculable, spatio-temporal forces and motions, in which the normal and pathological competed for hegemony. In the context of industrialization and urbanization and, more importantly, the `need’</w:t>
      </w:r>
      <w:r w:rsidRPr="00F933AF">
        <w:rPr>
          <w:rFonts w:eastAsia="Times New Roman" w:cs="Calibri"/>
          <w:sz w:val="16"/>
        </w:rPr>
        <w:t xml:space="preserve">- as Nietzsche might have it- </w:t>
      </w:r>
      <w:r w:rsidRPr="00F933AF">
        <w:rPr>
          <w:rFonts w:eastAsia="Times New Roman" w:cs="Calibri"/>
          <w:sz w:val="24"/>
          <w:u w:val="single"/>
        </w:rPr>
        <w:t>to constitute these new social phenomena in `regimes of truth’, positive sociology developed a way of seeing which, like biomedicine itself, was normative and normalising</w:t>
      </w:r>
      <w:r w:rsidRPr="00F933AF">
        <w:rPr>
          <w:rFonts w:eastAsia="Times New Roman" w:cs="Calibri"/>
          <w:sz w:val="16"/>
        </w:rPr>
        <w:t xml:space="preserve"> (Canguilhem, 1991). </w:t>
      </w:r>
      <w:r w:rsidRPr="00F933AF">
        <w:rPr>
          <w:rFonts w:eastAsia="Times New Roman" w:cs="Calibri"/>
          <w:b/>
          <w:sz w:val="24"/>
          <w:u w:val="single"/>
        </w:rPr>
        <w:t>The `observations’ of nineteenth century medical science pathologised and invalidated impairment.</w:t>
      </w:r>
      <w:r w:rsidRPr="00F933AF">
        <w:rPr>
          <w:rFonts w:eastAsia="Times New Roman" w:cs="Calibri"/>
          <w:sz w:val="16"/>
        </w:rPr>
        <w:t xml:space="preserve"> </w:t>
      </w:r>
      <w:r w:rsidRPr="00F933AF">
        <w:rPr>
          <w:rFonts w:eastAsia="Times New Roman" w:cs="Calibri"/>
          <w:sz w:val="24"/>
          <w:u w:val="single"/>
        </w:rPr>
        <w:t>The capitalist economy, with its accent on labour power, validated this invalidation</w:t>
      </w:r>
      <w:r w:rsidRPr="00F933AF">
        <w:rPr>
          <w:rFonts w:eastAsia="Times New Roman" w:cs="Calibri"/>
          <w:sz w:val="16"/>
        </w:rPr>
        <w:t xml:space="preserve"> (Finkelstein, 1980) </w:t>
      </w:r>
      <w:r w:rsidRPr="00F933AF">
        <w:rPr>
          <w:rFonts w:eastAsia="Times New Roman" w:cs="Calibri"/>
          <w:sz w:val="24"/>
          <w:u w:val="single"/>
        </w:rPr>
        <w:t>and positive social science</w:t>
      </w:r>
      <w:r w:rsidRPr="00F933AF">
        <w:rPr>
          <w:rFonts w:eastAsia="Times New Roman" w:cs="Calibri"/>
          <w:sz w:val="16"/>
        </w:rPr>
        <w:t xml:space="preserve">, by virtue of its disembodied discourse of handicap and (in the twentieth century) its disablist concepts of the impairment and rehabilitation role (Oliver, 1996) </w:t>
      </w:r>
      <w:r w:rsidRPr="00F933AF">
        <w:rPr>
          <w:rFonts w:eastAsia="Times New Roman" w:cs="Calibri"/>
          <w:sz w:val="24"/>
          <w:u w:val="single"/>
        </w:rPr>
        <w:t xml:space="preserve">stamped the exclusion order. </w:t>
      </w:r>
      <w:r w:rsidRPr="00F933AF">
        <w:rPr>
          <w:rFonts w:eastAsia="Times New Roman" w:cs="Calibri"/>
          <w:b/>
          <w:sz w:val="24"/>
          <w:u w:val="single"/>
        </w:rPr>
        <w:t>This suggests that the perceptual and discursive constitution of impairment is important in the material construction of disabling barriers.</w:t>
      </w:r>
      <w:r w:rsidRPr="00F933AF">
        <w:rPr>
          <w:rFonts w:eastAsia="Times New Roman" w:cs="Calibri"/>
          <w:b/>
          <w:sz w:val="16"/>
        </w:rPr>
        <w:t xml:space="preserve"> </w:t>
      </w:r>
      <w:r w:rsidRPr="00F933AF">
        <w:rPr>
          <w:rFonts w:eastAsia="Times New Roman" w:cs="Calibri"/>
          <w:b/>
          <w:sz w:val="24"/>
          <w:u w:val="single"/>
        </w:rPr>
        <w:t>The impaired body is rendered disorderly (and thus repulsive and detestable) by the `positive’ observational practices that produce it.</w:t>
      </w:r>
      <w:r w:rsidRPr="00F933AF">
        <w:rPr>
          <w:rFonts w:eastAsia="Times New Roman" w:cs="Calibri"/>
          <w:sz w:val="16"/>
        </w:rPr>
        <w:t xml:space="preserve"> The sociological fascination with strangers, outsiders, pariahs, those existing on the margins of society is deeply rooted in the voyeuristic tradition of symbolic interactionism - a species of theory and method that translates the Anglo-American, Liberal love of the underdog into a sociology of the misunderstood. The many and fascinating ethno-texts, ground out by the judicious mix of observation and participation, produced by the Chicago School were perceived as a challenge to these misunderstandings. This was, in itself, an anthropophagic strategy guided by an ethic of liberal tolerance and founded methodologically on a gaze that was both visually penetrating and corporeally active. In this tradition, impairment is a primary deviance and disability refers to the secondary processes in which it is amplified by negative social reactions. Normative order (convention!) is treated uncritically as an empirical given - constituted by the vigilance and lucidity of the gaze - and deviance derived from it. </w:t>
      </w:r>
      <w:r w:rsidRPr="00F933AF">
        <w:rPr>
          <w:rFonts w:eastAsia="Times New Roman" w:cs="Calibri"/>
          <w:sz w:val="24"/>
          <w:u w:val="single"/>
        </w:rPr>
        <w:t>The primacy of (albeit situational) conformity - that which is seen to generally characterize social relationships - automatically confers discredited status or otherness. The strangers are thus produced by observational practice</w:t>
      </w:r>
      <w:r w:rsidRPr="00F933AF">
        <w:rPr>
          <w:rFonts w:eastAsia="Times New Roman" w:cs="Calibri"/>
          <w:sz w:val="16"/>
        </w:rPr>
        <w:t xml:space="preserve"> but re-presented (in the rhetoric of tolerance) as not so bad after all. However, their strangeness or their `social deviance’ is never called into question (save in a situation where `their’ conventions are the modus operandi). The purity and objectivity of the empirical gaze is never called into question. They ARE outsiders, but `we’ should exercise magnanimity and let them in. The `we’ describes the source of the gaze, and also refers to a dominant social group and a comfortable social space - the non-disabled, WASP heartland of western liberalism. Alterity, be it impairment or some other form of primary deviance, provokes a charitable and tolerant disposition but it has already been constituted by an ocularcentric (Jay, 1994) scientific practice which is blind to the discriminatory nature of its own vision</w:t>
      </w:r>
    </w:p>
    <w:p w:rsidR="00E5343F" w:rsidRPr="00F933AF" w:rsidRDefault="00E5343F" w:rsidP="00E5343F">
      <w:pPr>
        <w:spacing w:after="0" w:line="240" w:lineRule="auto"/>
        <w:rPr>
          <w:rFonts w:eastAsia="Times New Roman" w:cs="Calibri"/>
          <w:sz w:val="24"/>
        </w:rPr>
      </w:pPr>
    </w:p>
    <w:p w:rsidR="00E5343F" w:rsidRPr="00F933AF" w:rsidRDefault="00E5343F" w:rsidP="00E5343F">
      <w:pPr>
        <w:spacing w:after="0" w:line="240" w:lineRule="auto"/>
        <w:rPr>
          <w:rFonts w:eastAsia="Times New Roman" w:cs="Calibri"/>
          <w:sz w:val="24"/>
        </w:rPr>
      </w:pPr>
    </w:p>
    <w:p w:rsidR="00E5343F" w:rsidRPr="00F933AF" w:rsidRDefault="00E5343F" w:rsidP="00E5343F">
      <w:pPr>
        <w:pStyle w:val="Heading4"/>
        <w:rPr>
          <w:rFonts w:cs="Calibri"/>
        </w:rPr>
      </w:pPr>
      <w:r w:rsidRPr="00F933AF">
        <w:rPr>
          <w:rFonts w:cs="Calibri"/>
        </w:rPr>
        <w:t xml:space="preserve">The negative’s totalizing theory pushes out any analysis of the role of impairment and the eugenic gaze </w:t>
      </w:r>
    </w:p>
    <w:p w:rsidR="00E5343F" w:rsidRPr="00F933AF" w:rsidRDefault="00E5343F" w:rsidP="00E5343F">
      <w:pPr>
        <w:spacing w:after="0" w:line="240" w:lineRule="auto"/>
        <w:rPr>
          <w:rFonts w:cs="Calibri"/>
          <w:sz w:val="16"/>
          <w:szCs w:val="16"/>
        </w:rPr>
      </w:pPr>
      <w:r w:rsidRPr="00F933AF">
        <w:rPr>
          <w:rStyle w:val="Style13ptBold"/>
          <w:rFonts w:cs="Calibri"/>
        </w:rPr>
        <w:t>Hughes 99</w:t>
      </w:r>
      <w:r w:rsidRPr="00F933AF">
        <w:rPr>
          <w:rStyle w:val="Style13ptBold"/>
          <w:rFonts w:cs="Calibri"/>
          <w:b w:val="0"/>
          <w:sz w:val="16"/>
          <w:szCs w:val="16"/>
        </w:rPr>
        <w:t>, Bill- awarded a BA (Hons) in sociology (1st Class) from the University of Stirling in 1979 and a PhD in political philosophy from the University of Aberdeen in 1985 The Constitution of Impairment: Modernity and the aesthetic of oppression, Disability &amp; Society, 14:2, 155-172//mr</w:t>
      </w:r>
    </w:p>
    <w:p w:rsidR="00E5343F" w:rsidRPr="00F933AF" w:rsidRDefault="00E5343F" w:rsidP="00E5343F">
      <w:pPr>
        <w:spacing w:after="0" w:line="240" w:lineRule="auto"/>
        <w:rPr>
          <w:rFonts w:eastAsia="Times New Roman" w:cs="Calibri"/>
          <w:sz w:val="16"/>
        </w:rPr>
      </w:pPr>
      <w:r w:rsidRPr="00F933AF">
        <w:rPr>
          <w:rFonts w:eastAsia="Times New Roman" w:cs="Calibri"/>
          <w:sz w:val="16"/>
        </w:rPr>
        <w:t xml:space="preserve">This approach to the stranger ran out of steam in the 1970s, partly because it could not transcend the disablist language of stigma and the process of labelling that it articulated and partly because some of the underdogs had decided to take matters into their own hands. Disabled people, for example, recognised that they could articulate their viewpoint and perspective rather better than the well meaning social scientists and disability experts who had hitherto taken up arms (or should it be alms) for them. </w:t>
      </w:r>
      <w:r w:rsidRPr="00F933AF">
        <w:rPr>
          <w:rFonts w:eastAsia="Times New Roman" w:cs="Calibri"/>
          <w:sz w:val="24"/>
          <w:u w:val="single"/>
        </w:rPr>
        <w:t>Disabled people</w:t>
      </w:r>
      <w:r w:rsidRPr="00F933AF">
        <w:rPr>
          <w:rFonts w:eastAsia="Times New Roman" w:cs="Calibri"/>
          <w:sz w:val="16"/>
        </w:rPr>
        <w:t xml:space="preserve">, as Oliver (1990, p. 68) argues, </w:t>
      </w:r>
      <w:r w:rsidRPr="00F933AF">
        <w:rPr>
          <w:rFonts w:eastAsia="Times New Roman" w:cs="Calibri"/>
          <w:sz w:val="24"/>
          <w:u w:val="single"/>
        </w:rPr>
        <w:t>have `preferred to reinterpret their collective experiences in terms of structural notions of</w:t>
      </w:r>
      <w:r w:rsidRPr="00F933AF">
        <w:rPr>
          <w:rFonts w:eastAsia="Times New Roman" w:cs="Calibri"/>
          <w:sz w:val="16"/>
        </w:rPr>
        <w:t xml:space="preserve"> </w:t>
      </w:r>
      <w:r w:rsidRPr="00F933AF">
        <w:rPr>
          <w:rFonts w:eastAsia="Times New Roman" w:cs="Calibri"/>
          <w:sz w:val="24"/>
          <w:u w:val="single"/>
        </w:rPr>
        <w:t>discrimination and oppression rather than interpersonal ones of stigma and stigmatization’.</w:t>
      </w:r>
      <w:r w:rsidRPr="00F933AF">
        <w:rPr>
          <w:rFonts w:eastAsia="Times New Roman" w:cs="Calibri"/>
          <w:sz w:val="16"/>
        </w:rPr>
        <w:t xml:space="preserve"> </w:t>
      </w:r>
      <w:r w:rsidRPr="00F933AF">
        <w:rPr>
          <w:rFonts w:eastAsia="Times New Roman" w:cs="Calibri"/>
          <w:sz w:val="24"/>
          <w:u w:val="single"/>
        </w:rPr>
        <w:t xml:space="preserve">Yet this is not only a paradigm or epistemic shift </w:t>
      </w:r>
      <w:r w:rsidRPr="00F933AF">
        <w:rPr>
          <w:rFonts w:eastAsia="Times New Roman" w:cs="Calibri"/>
          <w:sz w:val="16"/>
        </w:rPr>
        <w:t xml:space="preserve">(which changes the content of knowledge about disability). </w:t>
      </w:r>
      <w:r w:rsidRPr="00F933AF">
        <w:rPr>
          <w:rFonts w:eastAsia="Times New Roman" w:cs="Calibri"/>
          <w:sz w:val="24"/>
          <w:u w:val="single"/>
        </w:rPr>
        <w:t xml:space="preserve">It is also a profound refusal to be constituted by the vision of others. It is a refusal to accept the false lucidity and penetrating curiosity of the gaze of the </w:t>
      </w:r>
      <w:proofErr w:type="gramStart"/>
      <w:r w:rsidRPr="00F933AF">
        <w:rPr>
          <w:rFonts w:eastAsia="Times New Roman" w:cs="Calibri"/>
          <w:sz w:val="24"/>
          <w:u w:val="single"/>
        </w:rPr>
        <w:t>disciplines</w:t>
      </w:r>
      <w:r w:rsidRPr="00F933AF">
        <w:rPr>
          <w:rFonts w:eastAsia="Times New Roman" w:cs="Calibri"/>
          <w:sz w:val="16"/>
        </w:rPr>
        <w:t xml:space="preserve"> .</w:t>
      </w:r>
      <w:proofErr w:type="gramEnd"/>
      <w:r w:rsidRPr="00F933AF">
        <w:rPr>
          <w:rFonts w:eastAsia="Times New Roman" w:cs="Calibri"/>
          <w:sz w:val="16"/>
        </w:rPr>
        <w:t xml:space="preserve"> It is a refusal to be objectified and invalidated by the abstract and external corporeality of the eye of power. It marks the moment of the storming of the watchtower of modernity and the appropriation of the objectifying gaze. </w:t>
      </w:r>
      <w:r w:rsidRPr="00F933AF">
        <w:rPr>
          <w:rFonts w:eastAsia="Times New Roman" w:cs="Calibri"/>
          <w:sz w:val="24"/>
          <w:u w:val="single"/>
        </w:rPr>
        <w:t>The gaze is deflected, by disabled people, from impaired bodies to the social body which, hitherto a model of innocence, is now identified as the source of disorder</w:t>
      </w:r>
      <w:r w:rsidRPr="00F933AF">
        <w:rPr>
          <w:rFonts w:eastAsia="Times New Roman" w:cs="Calibri"/>
          <w:sz w:val="16"/>
        </w:rPr>
        <w:t xml:space="preserve">. It marks the beginning of an assault on the `tyranny of perfection’ It is no accident that the rise of the Independent Living Movement and the decline of labelling theory are historically co-terminous. Civil rights began to replace sociological civility. As the politics of disability began to take shape, its own theory (after the fashion of the Owl of Minerva) followed. </w:t>
      </w:r>
      <w:r w:rsidRPr="00F933AF">
        <w:rPr>
          <w:rFonts w:eastAsia="Times New Roman" w:cs="Calibri"/>
          <w:sz w:val="24"/>
          <w:u w:val="single"/>
        </w:rPr>
        <w:t xml:space="preserve">Disabled people began to argue that disability had to be conceived as a form of social oppression </w:t>
      </w:r>
      <w:r w:rsidRPr="00F933AF">
        <w:rPr>
          <w:rFonts w:eastAsia="Times New Roman" w:cs="Calibri"/>
          <w:sz w:val="16"/>
        </w:rPr>
        <w:t xml:space="preserve">(UPIAS, 1976; Sutherland, 1981; Oliver, 1986). This suggests a perspectival shift; the re-visualisation of disability from the viewpoint of people with impairments. As the intellectual expression of the social movement of disabled people, the social model of disability (Oliver, 1983) proposed a theory of disability praxis and a materialist model of emancipation which validated and valorised the intellectual and practical activity of disabled people themselves (Oliver, 1990). Patronage was no longer acceptable; the stranger - through collective action - had discovered an autonomous point of view and set about the task of putting an end to the hegemony of the charitable gaze of bourgeois paternalism- particularly, in its institutional forms. </w:t>
      </w:r>
      <w:r w:rsidRPr="00F933AF">
        <w:rPr>
          <w:rFonts w:eastAsia="Times New Roman" w:cs="Calibri"/>
          <w:sz w:val="24"/>
          <w:u w:val="single"/>
        </w:rPr>
        <w:t>Disability was no longer conceived as or reduced to</w:t>
      </w:r>
      <w:r w:rsidRPr="00F933AF">
        <w:rPr>
          <w:rFonts w:eastAsia="Times New Roman" w:cs="Calibri"/>
          <w:sz w:val="16"/>
        </w:rPr>
        <w:t xml:space="preserve"> (as it had been in reactionary biomedical and naive sociological terms) </w:t>
      </w:r>
      <w:r w:rsidRPr="00F933AF">
        <w:rPr>
          <w:rFonts w:eastAsia="Times New Roman" w:cs="Calibri"/>
          <w:sz w:val="24"/>
          <w:u w:val="single"/>
        </w:rPr>
        <w:t>a deficit of the body, but reconceptualized as a product of social organization or, more specifically, as a consequence of the social relationships of production in a capitalist society</w:t>
      </w:r>
      <w:r w:rsidRPr="00F933AF">
        <w:rPr>
          <w:rFonts w:eastAsia="Times New Roman" w:cs="Calibri"/>
          <w:sz w:val="16"/>
        </w:rPr>
        <w:t xml:space="preserve"> (Oliver, 1990).  However, the qualitative advances precipitated by the social model of disability and the radicalisation of disability studies have not yet developed into epistemological diversity and an open-ended critique of modernity. </w:t>
      </w:r>
      <w:r w:rsidRPr="00F933AF">
        <w:rPr>
          <w:rFonts w:eastAsia="Times New Roman" w:cs="Calibri"/>
          <w:sz w:val="24"/>
          <w:u w:val="single"/>
        </w:rPr>
        <w:t xml:space="preserve">The `turn to culture’ characteristic </w:t>
      </w:r>
      <w:r w:rsidRPr="00F933AF">
        <w:rPr>
          <w:rFonts w:eastAsia="Times New Roman" w:cs="Calibri"/>
          <w:sz w:val="16"/>
        </w:rPr>
        <w:t xml:space="preserve">of contemporary sociology </w:t>
      </w:r>
      <w:r w:rsidRPr="00F933AF">
        <w:rPr>
          <w:rFonts w:eastAsia="Times New Roman" w:cs="Calibri"/>
          <w:sz w:val="24"/>
          <w:u w:val="single"/>
        </w:rPr>
        <w:t>is</w:t>
      </w:r>
      <w:r w:rsidRPr="00F933AF">
        <w:rPr>
          <w:rFonts w:eastAsia="Times New Roman" w:cs="Calibri"/>
          <w:sz w:val="16"/>
        </w:rPr>
        <w:t xml:space="preserve">, however, </w:t>
      </w:r>
      <w:r w:rsidRPr="00F933AF">
        <w:rPr>
          <w:rFonts w:eastAsia="Times New Roman" w:cs="Calibri"/>
          <w:sz w:val="24"/>
          <w:u w:val="single"/>
        </w:rPr>
        <w:t>beginning to boom within disability studies</w:t>
      </w:r>
      <w:r w:rsidRPr="00F933AF">
        <w:rPr>
          <w:rFonts w:eastAsia="Times New Roman" w:cs="Calibri"/>
          <w:sz w:val="16"/>
        </w:rPr>
        <w:t xml:space="preserve"> (Hevey, 1992: Shakespeare, 1994; Barnes, 1996) and the new emphasis on (indeed, infatuation with) the body which has had a profound effect on sociology and the human sciences are slowly becoming influential (Abberley; 1996: Shakespeare and Watson, 1995a</w:t>
      </w:r>
      <w:proofErr w:type="gramStart"/>
      <w:r w:rsidRPr="00F933AF">
        <w:rPr>
          <w:rFonts w:eastAsia="Times New Roman" w:cs="Calibri"/>
          <w:sz w:val="16"/>
        </w:rPr>
        <w:t>,b,c</w:t>
      </w:r>
      <w:proofErr w:type="gramEnd"/>
      <w:r w:rsidRPr="00F933AF">
        <w:rPr>
          <w:rFonts w:eastAsia="Times New Roman" w:cs="Calibri"/>
          <w:sz w:val="16"/>
        </w:rPr>
        <w:t xml:space="preserve">). </w:t>
      </w:r>
      <w:r w:rsidRPr="00F933AF">
        <w:rPr>
          <w:rFonts w:eastAsia="Times New Roman" w:cs="Calibri"/>
          <w:sz w:val="24"/>
          <w:u w:val="single"/>
        </w:rPr>
        <w:t>The radical separation of impairment and disability in which the former is regarded as pre-social and the latter socially produced is an axiom of the social model and the theoretical source of its reluctance to articulate the social constitution of impairment</w:t>
      </w:r>
      <w:r w:rsidRPr="00F933AF">
        <w:rPr>
          <w:rFonts w:eastAsia="Times New Roman" w:cs="Calibri"/>
          <w:sz w:val="16"/>
        </w:rPr>
        <w:t xml:space="preserve"> (Hughes &amp; Paterson, 1997). One might argue that the epistemological, essentially historical materialist, roots of the social model of disability have become something of an epistemocracy and a brake on its development. Indeed, </w:t>
      </w:r>
      <w:r w:rsidRPr="00F933AF">
        <w:rPr>
          <w:rFonts w:eastAsia="Times New Roman" w:cs="Calibri"/>
          <w:sz w:val="24"/>
          <w:u w:val="single"/>
        </w:rPr>
        <w:t>the contemporary epistemological crisis (post- modernity) might be faced more fruitfully by theoretical pragmatism rather than retrenchment and repetition of first principles. Disability studies needs to develop a radical sociology of impairment</w:t>
      </w:r>
      <w:r w:rsidRPr="00F933AF">
        <w:rPr>
          <w:rFonts w:eastAsia="Times New Roman" w:cs="Calibri"/>
          <w:sz w:val="16"/>
        </w:rPr>
        <w:t xml:space="preserve"> (in the context of a critique of modernity) </w:t>
      </w:r>
      <w:r w:rsidRPr="00F933AF">
        <w:rPr>
          <w:rFonts w:eastAsia="Times New Roman" w:cs="Calibri"/>
          <w:sz w:val="24"/>
          <w:u w:val="single"/>
        </w:rPr>
        <w:t>which can only benefit by engaging more fully with contemporary ideas about culture and embodiment, and by adopting a more flexible attitude to anti-cartesian theoretical traditions</w:t>
      </w:r>
      <w:r w:rsidRPr="00F933AF">
        <w:rPr>
          <w:rFonts w:eastAsia="Times New Roman" w:cs="Calibri"/>
          <w:sz w:val="16"/>
        </w:rPr>
        <w:t xml:space="preserve"> like phenomenology and post-structuralism (Hughes &amp; Paterson, 1997), </w:t>
      </w:r>
      <w:r w:rsidRPr="00F933AF">
        <w:rPr>
          <w:rFonts w:eastAsia="Times New Roman" w:cs="Calibri"/>
          <w:sz w:val="24"/>
          <w:u w:val="single"/>
        </w:rPr>
        <w:t>particularly where they can be used to illustrate oppression and exclusion. The structuralist emphasis of the social model of disability leaves it poorly placed to develop a sociological analysis of impairment and the body.</w:t>
      </w:r>
      <w:r w:rsidRPr="00F933AF">
        <w:rPr>
          <w:rFonts w:eastAsia="Times New Roman" w:cs="Calibri"/>
          <w:sz w:val="16"/>
        </w:rPr>
        <w:t xml:space="preserve"> The model is dualistic since it draws a clear distinction between nature and the social, with impairment consigned to the former domain and disability to the latter. While the production of disability, mapped out in the form of excluded spaces, disabling barriers (Swain et al., 1993), institutional discrimination (Barnes, 1991) and oppressive social relationships provides the theoretical core of the social model, its vision of the carnal, the lebenswelt and the role of impairment in the constitution of oppression is limited by the very focus which makes it such a powerful tool of analysis. To analyse variations in the cultural response to impairment (Barnes, 1996) from within the political economy perspective that characterises the social model, provides a valuable contribution to the sociology of impairment but it tells us little about how the impaired body is constituted as alterity and disorder, and therefore invalidated not through responses to it, but in the interpretive act of perception that produces it. This suggests an appeal to an epistemological position that is essentially foreign to the social model of disability. </w:t>
      </w:r>
      <w:r w:rsidRPr="00F933AF">
        <w:rPr>
          <w:rFonts w:eastAsia="Times New Roman" w:cs="Calibri"/>
          <w:sz w:val="24"/>
          <w:u w:val="single"/>
        </w:rPr>
        <w:t>The social model does not problematise the senses. It does not problematise the visual</w:t>
      </w:r>
      <w:r w:rsidRPr="00F933AF">
        <w:rPr>
          <w:rFonts w:eastAsia="Times New Roman" w:cs="Calibri"/>
          <w:sz w:val="16"/>
        </w:rPr>
        <w:t>. It employs a correspondence theory of perception in which vision provides immediate access to the external world</w:t>
      </w:r>
      <w:r w:rsidRPr="00F933AF">
        <w:rPr>
          <w:rFonts w:eastAsia="Times New Roman" w:cs="Calibri"/>
          <w:sz w:val="24"/>
          <w:u w:val="single"/>
        </w:rPr>
        <w:t>. Ideas or mental representations are, thus, an exact reflection of reality or where Marxist realism is employed to detect the structures and essences behind phenomenal form, ideas become either scientific (true) or ideological (false).</w:t>
      </w:r>
      <w:r w:rsidRPr="00F933AF">
        <w:rPr>
          <w:rFonts w:eastAsia="Times New Roman" w:cs="Calibri"/>
          <w:sz w:val="16"/>
        </w:rPr>
        <w:t xml:space="preserve"> It is, however, this very form of knowing which privileges the ocular and the specular as the roads to truth and assumes the innocence of perception which underpins the constitution of impairment as invalidation. </w:t>
      </w:r>
      <w:r w:rsidRPr="00F933AF">
        <w:rPr>
          <w:rFonts w:eastAsia="Times New Roman" w:cs="Calibri"/>
          <w:sz w:val="24"/>
          <w:u w:val="single"/>
        </w:rPr>
        <w:t xml:space="preserve">An `aesthetic’ view of the production of knowledge suggests that observational practices are not neutral. </w:t>
      </w:r>
      <w:r w:rsidRPr="00F933AF">
        <w:rPr>
          <w:rFonts w:eastAsia="Times New Roman" w:cs="Calibri"/>
          <w:sz w:val="16"/>
        </w:rPr>
        <w:t>The lucidity of the eye is a myth. Perception and vision are clouded by interpretation. Vision is a social practice which imposes itself on the field of vision. It is predicated upon a culturally produced `scopic’ or `ocular regime’ which in modernity has been dominated by `cartesian perspectivalism’- a worldview which is, itself, ocularcentric (Jay, 1994) since it proposes an unproblematic relationship between seeing and believing, voir and savoir. But this relationship is problematic. It does not denote the only way to know. It is simply an attitude (the so called `natural attitude’) to knowledge which is most clearly at work in the fetishism of scienti®c observation which grounds empiricism and positivism. This plain view of reality is not the royal road to truth. It is, on the contrary, but one way of seeing; one which has, indeed, dominated the modern era and exists in a precritical relationship to the social model of disability. In the next section, I will focus on Sartre’s phenomenological ontology (1958), and draw less heavily on the post-structuralist critique of the gaze, in order to illustrate the association between the constitution of impairment and the oppressiveness of ocularcentric modernity</w:t>
      </w:r>
    </w:p>
    <w:p w:rsidR="00E5343F" w:rsidRPr="00F933AF" w:rsidRDefault="00E5343F" w:rsidP="00E5343F">
      <w:pPr>
        <w:spacing w:after="0" w:line="240" w:lineRule="auto"/>
        <w:rPr>
          <w:rFonts w:eastAsia="Times New Roman" w:cs="Calibri"/>
          <w:sz w:val="24"/>
        </w:rPr>
      </w:pPr>
    </w:p>
    <w:p w:rsidR="00E5343F" w:rsidRPr="00F933AF" w:rsidRDefault="00E5343F" w:rsidP="00E5343F">
      <w:pPr>
        <w:pStyle w:val="Heading4"/>
        <w:rPr>
          <w:rFonts w:cs="Calibri"/>
        </w:rPr>
      </w:pPr>
      <w:r w:rsidRPr="00F933AF">
        <w:rPr>
          <w:rFonts w:cs="Calibri"/>
        </w:rPr>
        <w:t>Focusing solely on elimination of economic conditions leaves behind other facets of disability and ignores the connection between impairment and oppression</w:t>
      </w:r>
    </w:p>
    <w:p w:rsidR="00E5343F" w:rsidRPr="00F933AF" w:rsidRDefault="00E5343F" w:rsidP="00E5343F">
      <w:pPr>
        <w:spacing w:after="0" w:line="240" w:lineRule="auto"/>
        <w:rPr>
          <w:rFonts w:cs="Calibri"/>
          <w:sz w:val="16"/>
          <w:szCs w:val="16"/>
        </w:rPr>
      </w:pPr>
      <w:r w:rsidRPr="00F933AF">
        <w:rPr>
          <w:rStyle w:val="Style13ptBold"/>
          <w:rFonts w:cs="Calibri"/>
        </w:rPr>
        <w:t>Hughes 99</w:t>
      </w:r>
      <w:r w:rsidRPr="00F933AF">
        <w:rPr>
          <w:rStyle w:val="Style13ptBold"/>
          <w:rFonts w:cs="Calibri"/>
          <w:b w:val="0"/>
          <w:sz w:val="16"/>
          <w:szCs w:val="16"/>
        </w:rPr>
        <w:t>, Bill- awarded a BA (Hons) in sociology (1st Class) from the University of Stirling in 1979 and a PhD in political philosophy from the University of Aberdeen in 1985 The Constitution of Impairment: Modernity and the aesthetic of oppression, Disability &amp; Society, 14:2, 155-172//mr</w:t>
      </w:r>
    </w:p>
    <w:p w:rsidR="00E5343F" w:rsidRPr="00F933AF" w:rsidRDefault="00E5343F" w:rsidP="00E5343F">
      <w:pPr>
        <w:spacing w:after="0" w:line="240" w:lineRule="auto"/>
        <w:rPr>
          <w:rFonts w:eastAsia="Times New Roman" w:cs="Calibri"/>
          <w:sz w:val="16"/>
        </w:rPr>
      </w:pPr>
      <w:r w:rsidRPr="00F933AF">
        <w:rPr>
          <w:rFonts w:eastAsia="Times New Roman" w:cs="Calibri"/>
          <w:sz w:val="16"/>
        </w:rPr>
        <w:t xml:space="preserve">It has to be remembered that </w:t>
      </w:r>
      <w:r w:rsidRPr="00F933AF">
        <w:rPr>
          <w:rFonts w:eastAsia="Times New Roman" w:cs="Calibri"/>
          <w:sz w:val="24"/>
          <w:u w:val="single"/>
        </w:rPr>
        <w:t>personal tragedy theory</w:t>
      </w:r>
      <w:r w:rsidRPr="00F933AF">
        <w:rPr>
          <w:rFonts w:eastAsia="Times New Roman" w:cs="Calibri"/>
          <w:sz w:val="16"/>
        </w:rPr>
        <w:t xml:space="preserve"> itself has performed a particular ideological function of its own. Like deficit theory as an explanation of poor educational attainment, like sickness as an explanation of criminal behavior, like character weakness as an explanation of poverty and unemployment and like all other victim blaming theories personal tragedy theory has served to individualize the problems of disability and hence </w:t>
      </w:r>
      <w:r w:rsidRPr="00F933AF">
        <w:rPr>
          <w:rFonts w:eastAsia="Times New Roman" w:cs="Calibri"/>
          <w:sz w:val="24"/>
          <w:u w:val="single"/>
        </w:rPr>
        <w:t>leave social and economic structures as untouched</w:t>
      </w:r>
      <w:r w:rsidRPr="00F933AF">
        <w:rPr>
          <w:rFonts w:eastAsia="Times New Roman" w:cs="Calibri"/>
          <w:sz w:val="16"/>
        </w:rPr>
        <w:t xml:space="preserve">. (Oliver, 1986, p. 16.) </w:t>
      </w:r>
      <w:r w:rsidRPr="00F933AF">
        <w:rPr>
          <w:rFonts w:eastAsia="Times New Roman" w:cs="Calibri"/>
          <w:sz w:val="24"/>
          <w:u w:val="single"/>
        </w:rPr>
        <w:t>This position suggests that personal tragedy theory is culturally produced and, therefore, part of the superstructure of capitalist society, that is an ideological reflection of a particular mode of production, a distortion that arises from a particular set of economic conditions.</w:t>
      </w:r>
      <w:r w:rsidRPr="00F933AF">
        <w:rPr>
          <w:rFonts w:eastAsia="Times New Roman" w:cs="Calibri"/>
          <w:sz w:val="16"/>
        </w:rPr>
        <w:t xml:space="preserve"> Yet, </w:t>
      </w:r>
      <w:r w:rsidRPr="00F933AF">
        <w:rPr>
          <w:rFonts w:eastAsia="Times New Roman" w:cs="Calibri"/>
          <w:sz w:val="24"/>
          <w:u w:val="single"/>
        </w:rPr>
        <w:t>despite the considerable emancipatory value in this mode of explanation, impairment (the body) is left out of its frame of reference and has no part to play in the constitution of (disability as) oppression</w:t>
      </w:r>
      <w:r w:rsidRPr="00F933AF">
        <w:rPr>
          <w:rFonts w:eastAsia="Times New Roman" w:cs="Calibri"/>
          <w:sz w:val="16"/>
        </w:rPr>
        <w:t xml:space="preserve">. The explanatory focus is on the economic rather than the intercorporeal on how the ideology (of personal tragedy) is naturalised and becomes common sense rather than on the role of visual perception as an act of rejection and invalidation. </w:t>
      </w:r>
      <w:r w:rsidRPr="00F933AF">
        <w:rPr>
          <w:rFonts w:eastAsia="Times New Roman" w:cs="Calibri"/>
          <w:sz w:val="24"/>
          <w:u w:val="single"/>
        </w:rPr>
        <w:t>The aesthetic and existential anxiety (Hahn, 1986) that is the emotional reflex of the ideology of tragedy which is, in turn, the reflex of economic conditions is not related to the disablist nature of perception.</w:t>
      </w:r>
      <w:r w:rsidRPr="00F933AF">
        <w:rPr>
          <w:rFonts w:eastAsia="Times New Roman" w:cs="Calibri"/>
          <w:sz w:val="16"/>
        </w:rPr>
        <w:t xml:space="preserve"> </w:t>
      </w:r>
      <w:r w:rsidRPr="00F933AF">
        <w:rPr>
          <w:rFonts w:eastAsia="Times New Roman" w:cs="Calibri"/>
          <w:b/>
          <w:sz w:val="24"/>
          <w:u w:val="single"/>
        </w:rPr>
        <w:t>Emancipation, therefore, rests on the elimination of those economic conditions and the massive project of reconstituting the despotism of the visual, is left unchallenged</w:t>
      </w:r>
      <w:r w:rsidRPr="00F933AF">
        <w:rPr>
          <w:rFonts w:eastAsia="Times New Roman" w:cs="Calibri"/>
          <w:sz w:val="16"/>
        </w:rPr>
        <w:t xml:space="preserve">. Disabled people are seen as dependent and deserving of charity - ocularly constructed, day in and day out, by a way of seeing which has become common sense, </w:t>
      </w:r>
      <w:proofErr w:type="gramStart"/>
      <w:r w:rsidRPr="00F933AF">
        <w:rPr>
          <w:rFonts w:eastAsia="Times New Roman" w:cs="Calibri"/>
          <w:sz w:val="16"/>
        </w:rPr>
        <w:t>authoritative ,</w:t>
      </w:r>
      <w:proofErr w:type="gramEnd"/>
      <w:r w:rsidRPr="00F933AF">
        <w:rPr>
          <w:rFonts w:eastAsia="Times New Roman" w:cs="Calibri"/>
          <w:sz w:val="16"/>
        </w:rPr>
        <w:t xml:space="preserve"> naturalised.</w:t>
      </w:r>
      <w:r w:rsidRPr="00F933AF">
        <w:rPr>
          <w:rFonts w:cs="Calibri"/>
          <w:sz w:val="16"/>
        </w:rPr>
        <w:t xml:space="preserve"> </w:t>
      </w:r>
      <w:r w:rsidRPr="00F933AF">
        <w:rPr>
          <w:rFonts w:eastAsia="Times New Roman" w:cs="Calibri"/>
          <w:sz w:val="24"/>
          <w:u w:val="single"/>
        </w:rPr>
        <w:t xml:space="preserve">The problem with the structural account of tragedy adopted by the social model is that it </w:t>
      </w:r>
      <w:r w:rsidRPr="00F933AF">
        <w:rPr>
          <w:rFonts w:eastAsia="Times New Roman" w:cs="Calibri"/>
          <w:sz w:val="16"/>
        </w:rPr>
        <w:t>does not give due recognition to the intercorporeal</w:t>
      </w:r>
      <w:r w:rsidRPr="00F933AF">
        <w:rPr>
          <w:rFonts w:eastAsia="Times New Roman" w:cs="Calibri"/>
          <w:sz w:val="24"/>
          <w:u w:val="single"/>
        </w:rPr>
        <w:t xml:space="preserve"> relationships</w:t>
      </w:r>
      <w:r w:rsidRPr="00F933AF">
        <w:rPr>
          <w:rFonts w:eastAsia="Times New Roman" w:cs="Calibri"/>
          <w:sz w:val="16"/>
        </w:rPr>
        <w:t xml:space="preserve"> (the bio-politics) that are constitutive of it. </w:t>
      </w:r>
      <w:r w:rsidRPr="00F933AF">
        <w:rPr>
          <w:rFonts w:eastAsia="Times New Roman" w:cs="Calibri"/>
          <w:sz w:val="24"/>
          <w:u w:val="single"/>
        </w:rPr>
        <w:t>It does not recognise the aesthetic moment in which the gaze is disfiguring and discriminatory.</w:t>
      </w:r>
      <w:r w:rsidRPr="00F933AF">
        <w:rPr>
          <w:rFonts w:eastAsia="Times New Roman" w:cs="Calibri"/>
          <w:sz w:val="16"/>
        </w:rPr>
        <w:t xml:space="preserve"> </w:t>
      </w:r>
      <w:r w:rsidRPr="00F933AF">
        <w:rPr>
          <w:rFonts w:eastAsia="Times New Roman" w:cs="Calibri"/>
          <w:sz w:val="24"/>
          <w:u w:val="single"/>
        </w:rPr>
        <w:t>The connection between impairment and oppression is lost to the social model of disability</w:t>
      </w:r>
      <w:r w:rsidRPr="00F933AF">
        <w:rPr>
          <w:rFonts w:eastAsia="Times New Roman" w:cs="Calibri"/>
          <w:sz w:val="16"/>
        </w:rPr>
        <w:t xml:space="preserve"> because impairment is regarded as something that is constituted entirely in the domain of nature and is, therefore, a natural fact beyond contestation. In other words, </w:t>
      </w:r>
      <w:r w:rsidRPr="00F933AF">
        <w:rPr>
          <w:rFonts w:eastAsia="Times New Roman" w:cs="Calibri"/>
          <w:sz w:val="24"/>
          <w:u w:val="single"/>
        </w:rPr>
        <w:t>the social model concedes that impairment is a disfigurement and therefore accepts the medico- aesthetic distinction between valid and invalid bodies.</w:t>
      </w:r>
      <w:r w:rsidRPr="00F933AF">
        <w:rPr>
          <w:rFonts w:eastAsia="Times New Roman" w:cs="Calibri"/>
          <w:sz w:val="16"/>
        </w:rPr>
        <w:t xml:space="preserve"> </w:t>
      </w:r>
      <w:r w:rsidRPr="00F933AF">
        <w:rPr>
          <w:rFonts w:eastAsia="Times New Roman" w:cs="Calibri"/>
          <w:sz w:val="24"/>
          <w:u w:val="single"/>
        </w:rPr>
        <w:t>This position actually lends legitimacy to accounts of impairment that are shaped by notions of tragedy and pity.</w:t>
      </w:r>
      <w:r w:rsidRPr="00F933AF">
        <w:rPr>
          <w:rFonts w:eastAsia="Times New Roman" w:cs="Calibri"/>
          <w:sz w:val="16"/>
        </w:rPr>
        <w:t xml:space="preserve"> Such a position hinders the theoretical and practical basis for a politics of pride and difference.</w:t>
      </w:r>
    </w:p>
    <w:p w:rsidR="00E5343F" w:rsidRPr="00F933AF" w:rsidRDefault="00E5343F" w:rsidP="00E5343F">
      <w:pPr>
        <w:rPr>
          <w:rFonts w:cs="Calibri"/>
        </w:rPr>
      </w:pPr>
    </w:p>
    <w:p w:rsidR="00E5343F" w:rsidRPr="00F933AF" w:rsidRDefault="00E5343F" w:rsidP="00E5343F">
      <w:pPr>
        <w:pStyle w:val="Heading4"/>
        <w:rPr>
          <w:rFonts w:cs="Calibri"/>
        </w:rPr>
      </w:pPr>
      <w:r w:rsidRPr="00F933AF">
        <w:rPr>
          <w:rFonts w:cs="Calibri"/>
        </w:rPr>
        <w:t>The neg’s claims are too totalizing—capital cannot explain all of ableism—history proves that immigrants were seen as ‘impaired’ by appearance AND function</w:t>
      </w:r>
    </w:p>
    <w:p w:rsidR="00E5343F" w:rsidRPr="00F933AF" w:rsidRDefault="00E5343F" w:rsidP="00E5343F">
      <w:pPr>
        <w:rPr>
          <w:rFonts w:cs="Calibri"/>
        </w:rPr>
      </w:pPr>
      <w:r w:rsidRPr="00F933AF">
        <w:rPr>
          <w:rFonts w:cs="Calibri"/>
          <w:b/>
        </w:rPr>
        <w:t xml:space="preserve">Baynton 13 </w:t>
      </w:r>
      <w:r w:rsidRPr="00F933AF">
        <w:rPr>
          <w:rFonts w:cs="Calibri"/>
          <w:sz w:val="18"/>
          <w:szCs w:val="18"/>
        </w:rPr>
        <w:t>(Douglas C. Baynton, “Disability and the Justification of Inequality in American History,” The Disability Studies Reader, Ch.2, pg. 48, 2013, https://www.uua.org/sites/live-new.uua.org/files/documents/bayntondouglas/justification_inequality.pdf)//jy</w:t>
      </w:r>
    </w:p>
    <w:p w:rsidR="00E5343F" w:rsidRPr="00F933AF" w:rsidRDefault="00E5343F" w:rsidP="00E5343F">
      <w:pPr>
        <w:rPr>
          <w:rFonts w:cs="Calibri"/>
          <w:sz w:val="14"/>
        </w:rPr>
      </w:pPr>
      <w:r w:rsidRPr="00F933AF">
        <w:rPr>
          <w:rFonts w:cs="Calibri"/>
          <w:u w:val="single"/>
        </w:rPr>
        <w:t>Arguments for immigration restriction often emphasized the inferior appearance of immigrants,</w:t>
      </w:r>
      <w:r w:rsidRPr="00F933AF">
        <w:rPr>
          <w:rFonts w:cs="Calibri"/>
          <w:sz w:val="14"/>
        </w:rPr>
        <w:t xml:space="preserve"> and here also ethnicity and disability overlapped and intertwined. </w:t>
      </w:r>
      <w:r w:rsidRPr="00F933AF">
        <w:rPr>
          <w:rFonts w:cs="Calibri"/>
          <w:b/>
          <w:u w:val="single"/>
        </w:rPr>
        <w:t>Disability scholars have emphasized the uncertain and shifting line between an impairment of appearance and one of function</w:t>
      </w:r>
      <w:r w:rsidRPr="00F933AF">
        <w:rPr>
          <w:rFonts w:cs="Calibri"/>
          <w:sz w:val="14"/>
        </w:rPr>
        <w:t xml:space="preserve">. Martin Pernick, for example, has described the importance of aesthetics in eugenics literature—how </w:t>
      </w:r>
      <w:r w:rsidRPr="00F933AF">
        <w:rPr>
          <w:rFonts w:cs="Calibri"/>
          <w:u w:val="single"/>
        </w:rPr>
        <w:t>fitness was equated with beauty and disability with ugliness.</w:t>
      </w:r>
      <w:r w:rsidRPr="00F933AF">
        <w:rPr>
          <w:rFonts w:cs="Calibri"/>
          <w:sz w:val="14"/>
        </w:rPr>
        <w:t xml:space="preserve"> Lennard Davis has maintained that </w:t>
      </w:r>
      <w:r w:rsidRPr="00F933AF">
        <w:rPr>
          <w:rFonts w:cs="Calibri"/>
          <w:u w:val="single"/>
        </w:rPr>
        <w:t>disability presents itself “through two main modalities—function and appearance</w:t>
      </w:r>
      <w:r w:rsidRPr="00F933AF">
        <w:rPr>
          <w:rFonts w:cs="Calibri"/>
          <w:sz w:val="14"/>
        </w:rPr>
        <w:t xml:space="preserve">.” Restrictionists often emphasized the impaired appearance of immigrants. </w:t>
      </w:r>
      <w:r w:rsidRPr="00F933AF">
        <w:rPr>
          <w:rFonts w:cs="Calibri"/>
          <w:u w:val="single"/>
        </w:rPr>
        <w:t>An Ellis Island inspector claimed that “no one can stand at Ellis Island and see the physical and mental wrecks who are stopped there . . . without becoming a firm believer in restriction</w:t>
      </w:r>
      <w:r w:rsidRPr="00F933AF">
        <w:rPr>
          <w:rFonts w:cs="Calibri"/>
          <w:sz w:val="14"/>
        </w:rPr>
        <w:t xml:space="preserve">.”36 A proponent of restriction avowed, “To the practised eye, the physiognomy of certain groups unmistakably proclaims inferiority of type.” </w:t>
      </w:r>
      <w:r w:rsidRPr="00F933AF">
        <w:rPr>
          <w:rFonts w:cs="Calibri"/>
          <w:u w:val="single"/>
        </w:rPr>
        <w:t>When he observed immigrants, he saw that “in every face there was something wrong . . . . There were so many sugar-loaf heads, moon-faces, slit mouths, lantern-jaws, and goose-bill noses</w:t>
      </w:r>
      <w:r w:rsidRPr="00F933AF">
        <w:rPr>
          <w:rFonts w:cs="Calibri"/>
          <w:sz w:val="14"/>
        </w:rPr>
        <w:t xml:space="preserve"> that one might imagine a malicious jinn had amused himself by casting human beings in a set of skewmolds discarded by the Creator.” Most </w:t>
      </w:r>
      <w:r w:rsidRPr="00F933AF">
        <w:rPr>
          <w:rFonts w:cs="Calibri"/>
          <w:u w:val="single"/>
        </w:rPr>
        <w:t>new immigrants were physically inadequate in some way</w:t>
      </w:r>
      <w:r w:rsidRPr="00F933AF">
        <w:rPr>
          <w:rFonts w:cs="Calibri"/>
          <w:sz w:val="14"/>
        </w:rPr>
        <w:t xml:space="preserve">: “South Europeans run to </w:t>
      </w:r>
      <w:r w:rsidRPr="00F933AF">
        <w:rPr>
          <w:rFonts w:cs="Calibri"/>
          <w:u w:val="single"/>
        </w:rPr>
        <w:t>low stature</w:t>
      </w:r>
      <w:r w:rsidRPr="00F933AF">
        <w:rPr>
          <w:rFonts w:cs="Calibri"/>
          <w:sz w:val="14"/>
        </w:rPr>
        <w:t xml:space="preserve">. A gang of Italian navvies filing along the street present, by their </w:t>
      </w:r>
      <w:r w:rsidRPr="00F933AF">
        <w:rPr>
          <w:rFonts w:cs="Calibri"/>
          <w:u w:val="single"/>
        </w:rPr>
        <w:t>dwarfishness</w:t>
      </w:r>
      <w:r w:rsidRPr="00F933AF">
        <w:rPr>
          <w:rFonts w:cs="Calibri"/>
          <w:sz w:val="14"/>
        </w:rPr>
        <w:t>, a curious contrast to other people. The Portuguese, the Greeks, and the Syrians are, from our point of view</w:t>
      </w:r>
      <w:r w:rsidRPr="00F933AF">
        <w:rPr>
          <w:rFonts w:cs="Calibri"/>
          <w:u w:val="single"/>
        </w:rPr>
        <w:t>, undersized</w:t>
      </w:r>
      <w:r w:rsidRPr="00F933AF">
        <w:rPr>
          <w:rFonts w:cs="Calibri"/>
          <w:sz w:val="14"/>
        </w:rPr>
        <w:t xml:space="preserve">. The Hebrew immigrants are very </w:t>
      </w:r>
      <w:r w:rsidRPr="00F933AF">
        <w:rPr>
          <w:rFonts w:cs="Calibri"/>
          <w:u w:val="single"/>
        </w:rPr>
        <w:t>poor in physique</w:t>
      </w:r>
      <w:r w:rsidRPr="00F933AF">
        <w:rPr>
          <w:rFonts w:cs="Calibri"/>
          <w:sz w:val="14"/>
        </w:rPr>
        <w:t xml:space="preserve"> . . . </w:t>
      </w:r>
      <w:r w:rsidRPr="00F933AF">
        <w:rPr>
          <w:rFonts w:cs="Calibri"/>
          <w:u w:val="single"/>
        </w:rPr>
        <w:t>the polar opposite of our pioneer breed</w:t>
      </w:r>
      <w:r w:rsidRPr="00F933AF">
        <w:rPr>
          <w:rFonts w:cs="Calibri"/>
          <w:sz w:val="14"/>
        </w:rPr>
        <w:t xml:space="preserve">.”37 The initial screening of immigrants was mostly a matter of detecting visible abnormality. Inspectors, who prided themselves on their ability to make a “snapshot diagnosis,” had only a few seconds to detect the signs of disability or disease as immigrants streamed past them in single file. </w:t>
      </w:r>
      <w:r w:rsidRPr="00F933AF">
        <w:rPr>
          <w:rFonts w:cs="Calibri"/>
          <w:u w:val="single"/>
        </w:rPr>
        <w:t>Inspection regulations specified that “each individual should be seen first at rest and then in motion,” in order to detect “irregularities in movement</w:t>
      </w:r>
      <w:r w:rsidRPr="00F933AF">
        <w:rPr>
          <w:rFonts w:cs="Calibri"/>
          <w:sz w:val="14"/>
        </w:rPr>
        <w:t xml:space="preserve">” and “abnormalities of any description.” If possible, </w:t>
      </w:r>
      <w:r w:rsidRPr="00F933AF">
        <w:rPr>
          <w:rFonts w:cs="Calibri"/>
          <w:u w:val="single"/>
        </w:rPr>
        <w:t>inspectors watched immigrants as they carried their luggage up stairs to see if “the exertion would reveal deformities and defective posture</w:t>
      </w:r>
      <w:r w:rsidRPr="00F933AF">
        <w:rPr>
          <w:rFonts w:cs="Calibri"/>
          <w:sz w:val="14"/>
        </w:rPr>
        <w:t>.”38 As one inspector wrote, “</w:t>
      </w:r>
      <w:r w:rsidRPr="00F933AF">
        <w:rPr>
          <w:rFonts w:cs="Calibri"/>
          <w:u w:val="single"/>
        </w:rPr>
        <w:t>It is no more difficult to detect poorly built, defective or broken down human beings than to recognize a cheap or defective automobile. . . . The wise man who really wants to find out all he can about an automobile or an immigrant, will want to see both in action, performing as well as at rest</w:t>
      </w:r>
      <w:r w:rsidRPr="00F933AF">
        <w:rPr>
          <w:rFonts w:cs="Calibri"/>
          <w:sz w:val="14"/>
        </w:rPr>
        <w:t>.”39</w:t>
      </w:r>
    </w:p>
    <w:p w:rsidR="00E5343F" w:rsidRPr="00F933AF" w:rsidRDefault="00E5343F" w:rsidP="00E5343F">
      <w:pPr>
        <w:rPr>
          <w:rFonts w:cs="Calibri"/>
          <w:b/>
          <w:u w:val="single"/>
        </w:rPr>
      </w:pPr>
    </w:p>
    <w:p w:rsidR="00E5343F" w:rsidRPr="00F933AF" w:rsidRDefault="00E5343F" w:rsidP="00E5343F">
      <w:pPr>
        <w:pStyle w:val="Heading4"/>
        <w:rPr>
          <w:rFonts w:cs="Calibri"/>
        </w:rPr>
      </w:pPr>
      <w:r w:rsidRPr="00F933AF">
        <w:rPr>
          <w:rFonts w:cs="Calibri"/>
        </w:rPr>
        <w:t xml:space="preserve">Neoliberalism is not the root cause of ableism and the K is totalizing—many immigrants who were rejected via public charge were self-supporting workers who received job offers  </w:t>
      </w:r>
    </w:p>
    <w:p w:rsidR="00E5343F" w:rsidRPr="00F933AF" w:rsidRDefault="00E5343F" w:rsidP="00E5343F">
      <w:pPr>
        <w:rPr>
          <w:rFonts w:cs="Calibri"/>
          <w:sz w:val="18"/>
          <w:szCs w:val="18"/>
        </w:rPr>
      </w:pPr>
      <w:r w:rsidRPr="00F933AF">
        <w:rPr>
          <w:rFonts w:cs="Calibri"/>
          <w:b/>
        </w:rPr>
        <w:t xml:space="preserve">Baynton 6 </w:t>
      </w:r>
      <w:r w:rsidRPr="00F933AF">
        <w:rPr>
          <w:rFonts w:cs="Calibri"/>
          <w:sz w:val="18"/>
          <w:szCs w:val="18"/>
        </w:rPr>
        <w:t>(Douglas C. Baynton, “The Undesirability of Admitting Deaf Mutes: US Immigration Policy and Deaf Immigrants, 1882-1924,” Project Muse, Sign Language Studies, Volume 6, Number 4, 2006, pg. 411-412)//jy</w:t>
      </w:r>
    </w:p>
    <w:p w:rsidR="00E5343F" w:rsidRPr="00F933AF" w:rsidRDefault="00E5343F" w:rsidP="00E5343F">
      <w:pPr>
        <w:rPr>
          <w:rFonts w:cs="Calibri"/>
          <w:sz w:val="16"/>
        </w:rPr>
      </w:pPr>
      <w:r w:rsidRPr="00F933AF">
        <w:rPr>
          <w:rFonts w:cs="Calibri"/>
          <w:u w:val="single"/>
        </w:rPr>
        <w:t>The exclusion of deaf immigrants grew out of fears that deaf peo-ple would be a burden on the state and that they would reproduce more of their kind.</w:t>
      </w:r>
      <w:r w:rsidRPr="00F933AF">
        <w:rPr>
          <w:rFonts w:cs="Calibri"/>
          <w:sz w:val="16"/>
        </w:rPr>
        <w:t xml:space="preserve"> Both were based upon only very partial truths. Only about 4 percent of deaf children have one or two deaf parents today, 33 and the percentage was probably much less a century ago, when deafness was more frequently caused by disease. The eugenicist alarms were as groundless concerning deaf people as they were for disabled people in general. Keeping out deaf immigrants could have had no measurable effect on the prevalence of deafness in the country. </w:t>
      </w:r>
      <w:r w:rsidRPr="00F933AF">
        <w:rPr>
          <w:rFonts w:cs="Calibri"/>
          <w:u w:val="single"/>
        </w:rPr>
        <w:t>The economic issue is more complex. People with disabilities did (and still do) experience higher unemployment than workers in gen- eral</w:t>
      </w:r>
      <w:r w:rsidRPr="00F933AF">
        <w:rPr>
          <w:rFonts w:cs="Calibri"/>
          <w:sz w:val="16"/>
        </w:rPr>
        <w:t xml:space="preserve">. This is true of deaf people today. The extent to which it was true at the time is unclear, but it was not an implausible assumption to make. </w:t>
      </w:r>
      <w:r w:rsidRPr="00F933AF">
        <w:rPr>
          <w:rFonts w:cs="Calibri"/>
          <w:u w:val="single"/>
        </w:rPr>
        <w:t xml:space="preserve">The question, however, was hardly </w:t>
      </w:r>
      <w:proofErr w:type="gramStart"/>
      <w:r w:rsidRPr="00F933AF">
        <w:rPr>
          <w:rFonts w:cs="Calibri"/>
          <w:u w:val="single"/>
        </w:rPr>
        <w:t>so</w:t>
      </w:r>
      <w:proofErr w:type="gramEnd"/>
      <w:r w:rsidRPr="00F933AF">
        <w:rPr>
          <w:rFonts w:cs="Calibri"/>
          <w:u w:val="single"/>
        </w:rPr>
        <w:t xml:space="preserve"> straightforward as immigration officials made it appear. To the extent that some deaf people might indeed have a harder time finding employment than comparably skilled hearing people, the exclusion of deaf immigrants was based on </w:t>
      </w:r>
      <w:r w:rsidRPr="00F933AF">
        <w:rPr>
          <w:rFonts w:cs="Calibri"/>
          <w:b/>
          <w:u w:val="single"/>
        </w:rPr>
        <w:t>an assumption that disability was an individual rather than a social issue and that it was defective bodies that were at fault rather than the relationship between particular bodies and particular social environments</w:t>
      </w:r>
      <w:r w:rsidRPr="00F933AF">
        <w:rPr>
          <w:rFonts w:cs="Calibri"/>
          <w:u w:val="single"/>
        </w:rPr>
        <w:t>.</w:t>
      </w:r>
      <w:r w:rsidRPr="00F933AF">
        <w:rPr>
          <w:rFonts w:cs="Calibri"/>
          <w:sz w:val="16"/>
        </w:rPr>
        <w:t xml:space="preserve"> Immigration restriction has to be seen in con- text as one element in a larger system of discrimination that made it difficult for deaf people to compete on an equal basis with hearing people. Even leaving aside the larger question of whether and why deaf people may have faced difficulty obtaining work, </w:t>
      </w:r>
      <w:r w:rsidRPr="00F933AF">
        <w:rPr>
          <w:rFonts w:cs="Calibri"/>
          <w:b/>
          <w:u w:val="single"/>
        </w:rPr>
        <w:t>the economic justi- fication for exclusion remains inadequate</w:t>
      </w:r>
      <w:r w:rsidRPr="00F933AF">
        <w:rPr>
          <w:rFonts w:cs="Calibri"/>
          <w:u w:val="single"/>
        </w:rPr>
        <w:t>. Many of the deaf immi- grants who were rejected had been self-supporting in their home countries, and some of them received job offers while awaiting their hearing but still were deported as likely to become public charges.</w:t>
      </w:r>
      <w:r w:rsidRPr="00F933AF">
        <w:rPr>
          <w:rFonts w:cs="Calibri"/>
          <w:sz w:val="16"/>
        </w:rPr>
        <w:t xml:space="preserve"> In these instances, immigration officials were surely responding more to stereotypes than to individuals. Employers tended to ask more spe- cific questions than did immigration officials: Who is the individual standing before me, and what skills, abilities, and history does this person bring to the particular work I need done? </w:t>
      </w:r>
      <w:r w:rsidRPr="00F933AF">
        <w:rPr>
          <w:rFonts w:cs="Calibri"/>
          <w:u w:val="single"/>
        </w:rPr>
        <w:t>Prejudice and pre- suppositions naturally still intruded but less so than when legislators and immigration officials tried to construct general policies regarding disability.</w:t>
      </w:r>
      <w:r w:rsidRPr="00F933AF">
        <w:rPr>
          <w:rFonts w:cs="Calibri"/>
          <w:sz w:val="16"/>
        </w:rPr>
        <w:t xml:space="preserve"> A skilled deaf granite cutter was essentially a skilled granite cutter, and deafness a detail. But </w:t>
      </w:r>
      <w:r w:rsidRPr="00F933AF">
        <w:rPr>
          <w:rFonts w:cs="Calibri"/>
          <w:u w:val="single"/>
        </w:rPr>
        <w:t>those who created immigration pol- icy and the officials who enforced it relied largely upon images they carried in their heads from long cultural conditioning. Physical differ- ence meant defect, which meant dependency. And in that simplistic equation originated much injustice and unnecessary hardship</w:t>
      </w:r>
      <w:r w:rsidRPr="00F933AF">
        <w:rPr>
          <w:rFonts w:cs="Calibri"/>
          <w:sz w:val="16"/>
        </w:rPr>
        <w:t>.</w:t>
      </w:r>
    </w:p>
    <w:p w:rsidR="0025410F" w:rsidRPr="00F933AF" w:rsidRDefault="0025410F" w:rsidP="0025410F">
      <w:pPr>
        <w:pStyle w:val="Heading4"/>
        <w:rPr>
          <w:rFonts w:cs="Calibri"/>
        </w:rPr>
      </w:pPr>
      <w:r w:rsidRPr="00F933AF">
        <w:rPr>
          <w:rFonts w:cs="Calibri"/>
        </w:rPr>
        <w:t xml:space="preserve">The neg’s reduction of disability to a singular model/root cause is totalizing and reinforces a static notion of identity that recreates the conditions for ableist oppression </w:t>
      </w:r>
    </w:p>
    <w:p w:rsidR="0025410F" w:rsidRPr="00F933AF" w:rsidRDefault="0025410F" w:rsidP="0025410F">
      <w:pPr>
        <w:rPr>
          <w:rStyle w:val="Style13ptBold"/>
          <w:rFonts w:cs="Calibri"/>
          <w:b w:val="0"/>
          <w:sz w:val="16"/>
          <w:szCs w:val="16"/>
        </w:rPr>
      </w:pPr>
      <w:r w:rsidRPr="00F933AF">
        <w:rPr>
          <w:rStyle w:val="Style13ptBold"/>
          <w:rFonts w:cs="Calibri"/>
        </w:rPr>
        <w:t>Shakespeare and Watson 02</w:t>
      </w:r>
      <w:r w:rsidRPr="00F933AF">
        <w:rPr>
          <w:rStyle w:val="Style13ptBold"/>
          <w:rFonts w:cs="Calibri"/>
          <w:b w:val="0"/>
          <w:sz w:val="16"/>
          <w:szCs w:val="16"/>
        </w:rPr>
        <w:t>,</w:t>
      </w:r>
      <w:r w:rsidRPr="00F933AF">
        <w:rPr>
          <w:rStyle w:val="Style13ptBold"/>
          <w:rFonts w:cs="Calibri"/>
          <w:sz w:val="16"/>
          <w:szCs w:val="16"/>
        </w:rPr>
        <w:t xml:space="preserve"> </w:t>
      </w:r>
      <w:r w:rsidRPr="00F933AF">
        <w:rPr>
          <w:rStyle w:val="Style13ptBold"/>
          <w:rFonts w:cs="Calibri"/>
          <w:b w:val="0"/>
          <w:sz w:val="16"/>
          <w:szCs w:val="16"/>
        </w:rPr>
        <w:t>Tom -</w:t>
      </w:r>
      <w:r w:rsidRPr="00F933AF">
        <w:rPr>
          <w:rStyle w:val="Style13ptBold"/>
          <w:rFonts w:cs="Calibri"/>
          <w:sz w:val="16"/>
          <w:szCs w:val="16"/>
        </w:rPr>
        <w:t xml:space="preserve"> </w:t>
      </w:r>
      <w:r w:rsidRPr="00F933AF">
        <w:rPr>
          <w:rFonts w:cs="Calibri"/>
          <w:color w:val="222222"/>
          <w:sz w:val="16"/>
          <w:szCs w:val="16"/>
          <w:shd w:val="clear" w:color="auto" w:fill="FFFFFF"/>
        </w:rPr>
        <w:t>English sociologist and broadcaster</w:t>
      </w:r>
      <w:r w:rsidRPr="00F933AF">
        <w:rPr>
          <w:rFonts w:cs="Calibri"/>
          <w:sz w:val="16"/>
          <w:szCs w:val="16"/>
        </w:rPr>
        <w:t xml:space="preserve"> </w:t>
      </w:r>
      <w:r w:rsidRPr="00F933AF">
        <w:rPr>
          <w:rStyle w:val="Style13ptBold"/>
          <w:rFonts w:cs="Calibri"/>
          <w:b w:val="0"/>
          <w:sz w:val="16"/>
          <w:szCs w:val="16"/>
        </w:rPr>
        <w:t>and Nicholas</w:t>
      </w:r>
      <w:r w:rsidRPr="00F933AF">
        <w:rPr>
          <w:rFonts w:cs="Calibri"/>
          <w:b/>
          <w:sz w:val="16"/>
          <w:szCs w:val="16"/>
        </w:rPr>
        <w:t xml:space="preserve"> -</w:t>
      </w:r>
      <w:r w:rsidRPr="00F933AF">
        <w:rPr>
          <w:rFonts w:cs="Calibri"/>
          <w:sz w:val="16"/>
          <w:szCs w:val="16"/>
        </w:rPr>
        <w:t xml:space="preserve"> </w:t>
      </w:r>
      <w:r w:rsidRPr="00F933AF">
        <w:rPr>
          <w:rFonts w:cs="Calibri"/>
          <w:color w:val="222222"/>
          <w:sz w:val="16"/>
          <w:szCs w:val="16"/>
          <w:shd w:val="clear" w:color="auto" w:fill="FFFFFF"/>
        </w:rPr>
        <w:t>English-Canadian medievalist, literary critic, religious historian, and author.</w:t>
      </w:r>
      <w:r w:rsidRPr="00F933AF">
        <w:rPr>
          <w:rStyle w:val="Style13ptBold"/>
          <w:rFonts w:cs="Calibri"/>
          <w:b w:val="0"/>
          <w:sz w:val="16"/>
          <w:szCs w:val="16"/>
        </w:rPr>
        <w:t xml:space="preserve"> “The Social Model of Disability: An Outdated Ideology?”</w:t>
      </w:r>
      <w:r w:rsidRPr="00F933AF">
        <w:rPr>
          <w:rStyle w:val="Style13ptBold"/>
          <w:rFonts w:cs="Calibri"/>
          <w:sz w:val="16"/>
          <w:szCs w:val="16"/>
        </w:rPr>
        <w:t xml:space="preserve"> ‘</w:t>
      </w:r>
      <w:r w:rsidRPr="00F933AF">
        <w:rPr>
          <w:rFonts w:cs="Calibri"/>
          <w:sz w:val="16"/>
          <w:szCs w:val="16"/>
        </w:rPr>
        <w:t>Research in Social Science and Disability’ Volume 2, pp. 9-28 (2002)//mr</w:t>
      </w:r>
    </w:p>
    <w:p w:rsidR="0025410F" w:rsidRPr="00F933AF" w:rsidRDefault="0025410F" w:rsidP="0025410F">
      <w:pPr>
        <w:rPr>
          <w:rFonts w:cs="Calibri"/>
          <w:u w:val="single"/>
        </w:rPr>
      </w:pPr>
      <w:r w:rsidRPr="00F933AF">
        <w:rPr>
          <w:rFonts w:cs="Calibri"/>
          <w:u w:val="single"/>
        </w:rPr>
        <w:t>The critique of dualism within gender studies</w:t>
      </w:r>
      <w:r w:rsidRPr="00F933AF">
        <w:rPr>
          <w:rFonts w:cs="Calibri"/>
          <w:sz w:val="16"/>
        </w:rPr>
        <w:t xml:space="preserve"> has been informed by the work of post-structuralists such as Jacques Derrida, and post-modernists such as Judith Butler. Mairian Corker (1999) </w:t>
      </w:r>
      <w:r w:rsidRPr="00F933AF">
        <w:rPr>
          <w:rFonts w:cs="Calibri"/>
          <w:u w:val="single"/>
        </w:rPr>
        <w:t>has been a pioneer in applying such ideas to the field of disability, and we believe that it would be fruitful for disability studies to engage more extensively with the mainstream of contemporary social theory, while remaining accessible and politically engaged</w:t>
      </w:r>
      <w:r w:rsidRPr="00F933AF">
        <w:rPr>
          <w:rFonts w:cs="Calibri"/>
          <w:sz w:val="16"/>
        </w:rPr>
        <w:t xml:space="preserve"> (see also Cashling, 1993). We would also claim that </w:t>
      </w:r>
      <w:r w:rsidRPr="00F933AF">
        <w:rPr>
          <w:rFonts w:cs="Calibri"/>
          <w:u w:val="single"/>
        </w:rPr>
        <w:t xml:space="preserve">a modernist theory of disability – </w:t>
      </w:r>
      <w:r w:rsidRPr="00F933AF">
        <w:rPr>
          <w:rFonts w:cs="Calibri"/>
          <w:b/>
          <w:u w:val="single"/>
        </w:rPr>
        <w:t>seeking to provide an overarching meta-analysis covering all dimensions of every disabled person’s experience - is not a useful or attainable goal</w:t>
      </w:r>
      <w:r w:rsidRPr="00F933AF">
        <w:rPr>
          <w:rFonts w:cs="Calibri"/>
          <w:u w:val="single"/>
        </w:rPr>
        <w:t>.</w:t>
      </w:r>
      <w:r w:rsidRPr="00F933AF">
        <w:rPr>
          <w:rFonts w:cs="Calibri"/>
          <w:sz w:val="16"/>
        </w:rPr>
        <w:t xml:space="preserve"> For us, </w:t>
      </w:r>
      <w:r w:rsidRPr="00F933AF">
        <w:rPr>
          <w:rFonts w:cs="Calibri"/>
          <w:u w:val="single"/>
        </w:rPr>
        <w:t>disability is</w:t>
      </w:r>
      <w:r w:rsidRPr="00F933AF">
        <w:rPr>
          <w:rFonts w:cs="Calibri"/>
          <w:sz w:val="16"/>
        </w:rPr>
        <w:t xml:space="preserve"> the quintessential post-modern concept, because it is so </w:t>
      </w:r>
      <w:r w:rsidRPr="00F933AF">
        <w:rPr>
          <w:rFonts w:cs="Calibri"/>
          <w:u w:val="single"/>
        </w:rPr>
        <w:t xml:space="preserve">complex, so variable, </w:t>
      </w:r>
      <w:proofErr w:type="gramStart"/>
      <w:r w:rsidRPr="00F933AF">
        <w:rPr>
          <w:rFonts w:cs="Calibri"/>
          <w:u w:val="single"/>
        </w:rPr>
        <w:t>so</w:t>
      </w:r>
      <w:proofErr w:type="gramEnd"/>
      <w:r w:rsidRPr="00F933AF">
        <w:rPr>
          <w:rFonts w:cs="Calibri"/>
          <w:u w:val="single"/>
        </w:rPr>
        <w:t xml:space="preserve"> contingent, so situated. It sits at the intersection of biology and society and of agency and structure. Disability cannot be reduced to a singular identity: </w:t>
      </w:r>
      <w:r w:rsidRPr="00F933AF">
        <w:rPr>
          <w:rFonts w:cs="Calibri"/>
          <w:b/>
          <w:u w:val="single"/>
        </w:rPr>
        <w:t>it is a multiplicity, a plurality</w:t>
      </w:r>
      <w:r w:rsidRPr="00F933AF">
        <w:rPr>
          <w:rFonts w:cs="Calibri"/>
          <w:u w:val="single"/>
        </w:rPr>
        <w:t>.</w:t>
      </w:r>
      <w:r w:rsidRPr="00F933AF">
        <w:rPr>
          <w:rFonts w:cs="Calibri"/>
          <w:sz w:val="16"/>
        </w:rPr>
        <w:t xml:space="preserve"> Social model theory has worked within a modernist context, and within rules of logic which are now actively being contested. Nancy Jay writes about the principle of contradiction (nothing can be </w:t>
      </w:r>
      <w:proofErr w:type="gramStart"/>
      <w:r w:rsidRPr="00F933AF">
        <w:rPr>
          <w:rFonts w:cs="Calibri"/>
          <w:sz w:val="16"/>
        </w:rPr>
        <w:t>A and</w:t>
      </w:r>
      <w:proofErr w:type="gramEnd"/>
      <w:r w:rsidRPr="00F933AF">
        <w:rPr>
          <w:rFonts w:cs="Calibri"/>
          <w:sz w:val="16"/>
        </w:rPr>
        <w:t xml:space="preserve"> not-A) and the principle of the excluded middle (everything must be either A or not-A) (Jay, 1981, 42). These </w:t>
      </w:r>
      <w:r w:rsidRPr="00F933AF">
        <w:rPr>
          <w:rFonts w:cs="Calibri"/>
          <w:u w:val="single"/>
        </w:rPr>
        <w:t>modernist principles have been applied to disability, to deny that both the body and social barriers together can be the cause of disablement, and to argue against a middle ground between the medical model and the social model.</w:t>
      </w:r>
      <w:r w:rsidRPr="00F933AF">
        <w:rPr>
          <w:rFonts w:cs="Calibri"/>
          <w:sz w:val="16"/>
        </w:rPr>
        <w:t xml:space="preserve"> As an example, look again at the table Mike Oliver provides to show the distinction between the individual/medical model and the social model (1996, 34). We believe that </w:t>
      </w:r>
      <w:r w:rsidRPr="00F933AF">
        <w:rPr>
          <w:rFonts w:cs="Calibri"/>
          <w:u w:val="single"/>
        </w:rPr>
        <w:t xml:space="preserve">an adequate social theory of disability would include </w:t>
      </w:r>
      <w:r w:rsidRPr="00F933AF">
        <w:rPr>
          <w:rFonts w:cs="Calibri"/>
          <w:b/>
          <w:u w:val="single"/>
        </w:rPr>
        <w:t>all the dimensions of disabled people’s experiences: bodily, psychological, cultural, social, political</w:t>
      </w:r>
      <w:r w:rsidRPr="00F933AF">
        <w:rPr>
          <w:rFonts w:cs="Calibri"/>
          <w:u w:val="single"/>
        </w:rPr>
        <w:t>, rather than claiming that disability is either medical or social</w:t>
      </w:r>
      <w:r w:rsidRPr="00F933AF">
        <w:rPr>
          <w:rFonts w:cs="Calibri"/>
          <w:sz w:val="16"/>
        </w:rPr>
        <w:t xml:space="preserve"> (Shakespeare &amp; Erickson, 2000). Only and always disabled? 20 “</w:t>
      </w:r>
      <w:r w:rsidRPr="00F933AF">
        <w:rPr>
          <w:rFonts w:cs="Calibri"/>
          <w:u w:val="single"/>
        </w:rPr>
        <w:t>No one today is purely one thing. Labels like Indian, or woman, or Muslim, or American are no more than starting-points, which if followed into actual experience for only a moment are quickly left behind</w:t>
      </w:r>
      <w:r w:rsidRPr="00F933AF">
        <w:rPr>
          <w:rFonts w:cs="Calibri"/>
          <w:sz w:val="16"/>
        </w:rPr>
        <w:t xml:space="preserve">.” (Said, 1994, 407) </w:t>
      </w:r>
      <w:r w:rsidRPr="00F933AF">
        <w:rPr>
          <w:rFonts w:cs="Calibri"/>
          <w:u w:val="single"/>
        </w:rPr>
        <w:t>Disability politics</w:t>
      </w:r>
      <w:r w:rsidRPr="00F933AF">
        <w:rPr>
          <w:rFonts w:cs="Calibri"/>
          <w:sz w:val="16"/>
        </w:rPr>
        <w:t xml:space="preserve">, by its very nature, often </w:t>
      </w:r>
      <w:r w:rsidRPr="00F933AF">
        <w:rPr>
          <w:rFonts w:cs="Calibri"/>
          <w:b/>
          <w:u w:val="single"/>
        </w:rPr>
        <w:t>rests on a fairly unreflexive acceptance of the distinction disabled/non-disabled distinction.</w:t>
      </w:r>
      <w:r w:rsidRPr="00F933AF">
        <w:rPr>
          <w:rFonts w:cs="Calibri"/>
          <w:sz w:val="16"/>
        </w:rPr>
        <w:t xml:space="preserve"> Disabled people are seen as those who identify as such. Non-disabled people are often not welcome. Disabled leadership is seen as vital. But Liggett argues: “From an interpretative point of view </w:t>
      </w:r>
      <w:r w:rsidRPr="00F933AF">
        <w:rPr>
          <w:rFonts w:cs="Calibri"/>
          <w:u w:val="single"/>
        </w:rPr>
        <w:t>the minority group approach is double edged because it means enlarging the discursive practices which participate in the constitution of disability</w:t>
      </w:r>
      <w:r w:rsidRPr="00F933AF">
        <w:rPr>
          <w:rFonts w:cs="Calibri"/>
          <w:sz w:val="16"/>
        </w:rPr>
        <w:t xml:space="preserve">. […] [I]n order to participate in their own management disabled people have had to participate as disabled. Even among the politically active, the price of being heard is understanding that it is the disabled who are speaking.” (1988, 271ff) Liggett is following those post-structuralist authors who point out </w:t>
      </w:r>
      <w:r w:rsidRPr="00F933AF">
        <w:rPr>
          <w:rFonts w:cs="Calibri"/>
          <w:b/>
          <w:u w:val="single"/>
        </w:rPr>
        <w:t>the costs to identity politics</w:t>
      </w:r>
      <w:r w:rsidRPr="00F933AF">
        <w:rPr>
          <w:rFonts w:cs="Calibri"/>
          <w:sz w:val="16"/>
        </w:rPr>
        <w:t xml:space="preserve">. To be an activist - whether as a gay person, or a woman, or a disabled person - </w:t>
      </w:r>
      <w:r w:rsidRPr="00F933AF">
        <w:rPr>
          <w:rFonts w:cs="Calibri"/>
          <w:u w:val="single"/>
        </w:rPr>
        <w:t xml:space="preserve">is to make </w:t>
      </w:r>
      <w:r w:rsidRPr="00F933AF">
        <w:rPr>
          <w:rFonts w:cs="Calibri"/>
          <w:b/>
          <w:u w:val="single"/>
        </w:rPr>
        <w:t>the label into a badge</w:t>
      </w:r>
      <w:r w:rsidRPr="00F933AF">
        <w:rPr>
          <w:rFonts w:cs="Calibri"/>
          <w:u w:val="single"/>
        </w:rPr>
        <w:t xml:space="preserve">, to make the ghetto into </w:t>
      </w:r>
      <w:proofErr w:type="gramStart"/>
      <w:r w:rsidRPr="00F933AF">
        <w:rPr>
          <w:rFonts w:cs="Calibri"/>
          <w:u w:val="single"/>
        </w:rPr>
        <w:t>a</w:t>
      </w:r>
      <w:proofErr w:type="gramEnd"/>
      <w:r w:rsidRPr="00F933AF">
        <w:rPr>
          <w:rFonts w:cs="Calibri"/>
          <w:u w:val="single"/>
        </w:rPr>
        <w:t xml:space="preserve"> oppositional culture.</w:t>
      </w:r>
      <w:r w:rsidRPr="00F933AF">
        <w:rPr>
          <w:rFonts w:cs="Calibri"/>
          <w:sz w:val="16"/>
        </w:rPr>
        <w:t xml:space="preserve"> </w:t>
      </w:r>
      <w:r w:rsidRPr="00F933AF">
        <w:rPr>
          <w:rFonts w:cs="Calibri"/>
          <w:b/>
          <w:u w:val="single"/>
        </w:rPr>
        <w:t>Yet what about</w:t>
      </w:r>
      <w:r w:rsidRPr="00F933AF">
        <w:rPr>
          <w:rFonts w:cs="Calibri"/>
          <w:sz w:val="16"/>
        </w:rPr>
        <w:t xml:space="preserve"> those who wish to be ordinary, not different? Many </w:t>
      </w:r>
      <w:r w:rsidRPr="00F933AF">
        <w:rPr>
          <w:rFonts w:cs="Calibri"/>
          <w:b/>
          <w:u w:val="single"/>
        </w:rPr>
        <w:t>disabled people do not want to see themselves as disabled, either in terms of the medical model or the social model.</w:t>
      </w:r>
      <w:r w:rsidRPr="00F933AF">
        <w:rPr>
          <w:rFonts w:cs="Calibri"/>
          <w:sz w:val="16"/>
        </w:rPr>
        <w:t xml:space="preserve"> They downplay the significance of their impairments, and seek access to a mainstream identity. They do not have a political identity, because they do not see themselves as part of the disability movement either. </w:t>
      </w:r>
      <w:r w:rsidRPr="00F933AF">
        <w:rPr>
          <w:rFonts w:cs="Calibri"/>
          <w:u w:val="single"/>
        </w:rPr>
        <w:t>This refusal to define oneself by impairment or disability has sometimes been seen as internalised oppression or false consciousness by radicals in the disability movement.</w:t>
      </w:r>
      <w:r w:rsidRPr="00F933AF">
        <w:rPr>
          <w:rFonts w:cs="Calibri"/>
          <w:sz w:val="16"/>
        </w:rPr>
        <w:t xml:space="preserve"> Yet </w:t>
      </w:r>
      <w:r w:rsidRPr="00F933AF">
        <w:rPr>
          <w:rFonts w:cs="Calibri"/>
          <w:b/>
          <w:u w:val="single"/>
        </w:rPr>
        <w:t>this attitude can itself be patronising and oppressive.</w:t>
      </w:r>
      <w:r w:rsidRPr="00F933AF">
        <w:rPr>
          <w:rFonts w:cs="Calibri"/>
          <w:sz w:val="16"/>
        </w:rPr>
        <w:t xml:space="preserve"> </w:t>
      </w:r>
      <w:r w:rsidRPr="00F933AF">
        <w:rPr>
          <w:rFonts w:cs="Calibri"/>
          <w:u w:val="single"/>
        </w:rPr>
        <w:t>People do have a choice as to how they identify, within obvious limitations</w:t>
      </w:r>
      <w:r w:rsidRPr="00F933AF">
        <w:rPr>
          <w:rFonts w:cs="Calibri"/>
          <w:sz w:val="16"/>
        </w:rPr>
        <w:t xml:space="preserve">. </w:t>
      </w:r>
      <w:r w:rsidRPr="00F933AF">
        <w:rPr>
          <w:rFonts w:cs="Calibri"/>
          <w:u w:val="single"/>
        </w:rPr>
        <w:t xml:space="preserve">What is wrong with seeing yourself as a person with a disability, rather than a disabled person, or even identifying simply as a human being, or a citizen, rather than as a member of a minority community? </w:t>
      </w:r>
      <w:r w:rsidRPr="00F933AF">
        <w:rPr>
          <w:rFonts w:cs="Calibri"/>
          <w:b/>
          <w:u w:val="single"/>
        </w:rPr>
        <w:t>After all, identity politics can be a prison, as well as a haven</w:t>
      </w:r>
      <w:r w:rsidRPr="00F933AF">
        <w:rPr>
          <w:rFonts w:cs="Calibri"/>
          <w:sz w:val="16"/>
        </w:rPr>
        <w:t xml:space="preserve">. The unwillingness to identify as disabled - either in a political sense, or in a medical sense - is very evident in our recent research with children with impairments (the ‘Life as a disabled child’ project, funded by the UK Economic and Social Research Council). </w:t>
      </w:r>
      <w:r w:rsidRPr="00F933AF">
        <w:rPr>
          <w:rFonts w:cs="Calibri"/>
          <w:u w:val="single"/>
        </w:rPr>
        <w:t>We started with the intention of imposing our social model perspective on their lives.</w:t>
      </w:r>
      <w:r w:rsidRPr="00F933AF">
        <w:rPr>
          <w:rFonts w:cs="Calibri"/>
          <w:sz w:val="16"/>
        </w:rPr>
        <w:t xml:space="preserve"> Yet, because we were also following the precepts of the new sociology of childhood, and treating children as agents, and their testimony as reliable, we were forced to rethink our adult-oriented social model assumptions. The children easily identified the social barriers which they experienced, and were often vociferous in complaining about the treatment which they received. But most of them wanted to be seen as normal, though different, and actively resisted definition as disabled (Priestley et al, 1999). It has been argued that many people with learning difficulties resist being defined as disabled or different (Finlay &amp; Lyons, 1998). We hypothesise that the same might apply to older people with impairments or chronic illnesses, who make up the majority of 'disabled people' in Britain and America. </w:t>
      </w:r>
      <w:r w:rsidRPr="00F933AF">
        <w:rPr>
          <w:rFonts w:cs="Calibri"/>
          <w:u w:val="single"/>
        </w:rPr>
        <w:t>There is also the issue of multiple identities.</w:t>
      </w:r>
      <w:r w:rsidRPr="00F933AF">
        <w:rPr>
          <w:rFonts w:cs="Calibri"/>
          <w:sz w:val="16"/>
        </w:rPr>
        <w:t xml:space="preserve"> While </w:t>
      </w:r>
      <w:r w:rsidRPr="00F933AF">
        <w:rPr>
          <w:rFonts w:cs="Calibri"/>
          <w:u w:val="single"/>
        </w:rPr>
        <w:t>some people</w:t>
      </w:r>
      <w:r w:rsidRPr="00F933AF">
        <w:rPr>
          <w:rFonts w:cs="Calibri"/>
          <w:sz w:val="16"/>
        </w:rPr>
        <w:t xml:space="preserve"> with impairment resist identification as disabled, because they want to see themselves as normal, others </w:t>
      </w:r>
      <w:r w:rsidRPr="00F933AF">
        <w:rPr>
          <w:rFonts w:cs="Calibri"/>
          <w:b/>
          <w:u w:val="single"/>
        </w:rPr>
        <w:t>are more likely to identify in terms of alternative parts of their experience.</w:t>
      </w:r>
      <w:r w:rsidRPr="00F933AF">
        <w:rPr>
          <w:rFonts w:cs="Calibri"/>
          <w:sz w:val="16"/>
        </w:rPr>
        <w:t xml:space="preserve"> For 22 example, </w:t>
      </w:r>
      <w:r w:rsidRPr="00F933AF">
        <w:rPr>
          <w:rFonts w:cs="Calibri"/>
          <w:b/>
          <w:u w:val="single"/>
        </w:rPr>
        <w:t>gender may be more salient, or perhaps ethnicity, or sexuality, or class, or marital status.</w:t>
      </w:r>
      <w:r w:rsidRPr="00F933AF">
        <w:rPr>
          <w:rFonts w:cs="Calibri"/>
          <w:sz w:val="16"/>
        </w:rPr>
        <w:t xml:space="preserve"> Research on disabled sexuality has found gay people, for example, who prioritise their sexual identity, and ignore their experience of impairment (Shakespeare et al, 1996). </w:t>
      </w:r>
      <w:r w:rsidRPr="00F933AF">
        <w:rPr>
          <w:rFonts w:cs="Calibri"/>
          <w:u w:val="single"/>
        </w:rPr>
        <w:t>Social model perspectives have not proved very effective in reconciling the dimensions of gender, race and sexuality within or alongside disability</w:t>
      </w:r>
      <w:r w:rsidRPr="00F933AF">
        <w:rPr>
          <w:rFonts w:cs="Calibri"/>
          <w:sz w:val="16"/>
        </w:rPr>
        <w:t xml:space="preserve"> (Morris, 1991, Vernon, 1996). Most people are simultaneously situated in a range of subject positions. </w:t>
      </w:r>
      <w:r w:rsidRPr="00F933AF">
        <w:rPr>
          <w:rFonts w:cs="Calibri"/>
          <w:b/>
          <w:u w:val="single"/>
        </w:rPr>
        <w:t xml:space="preserve">To assume that disability will always be the key to their identity is to </w:t>
      </w:r>
      <w:r w:rsidRPr="00F933AF">
        <w:rPr>
          <w:rStyle w:val="Emphasis"/>
          <w:rFonts w:cs="Calibri"/>
        </w:rPr>
        <w:t>recapitulate the error made by those from the medical model perspective</w:t>
      </w:r>
      <w:r w:rsidRPr="00F933AF">
        <w:rPr>
          <w:rFonts w:cs="Calibri"/>
          <w:b/>
          <w:u w:val="single"/>
        </w:rPr>
        <w:t xml:space="preserve"> who define people by their impairment</w:t>
      </w:r>
      <w:r w:rsidRPr="00F933AF">
        <w:rPr>
          <w:rFonts w:cs="Calibri"/>
          <w:sz w:val="16"/>
        </w:rPr>
        <w:t xml:space="preserve">. Any individual disabled person may strategically identify, at different times, as a person with a particular impairment, as a disabled person, or by their particular gender, ethnicity, sexuality, occupation, religion, or football team. </w:t>
      </w:r>
      <w:r w:rsidRPr="00F933AF">
        <w:rPr>
          <w:rFonts w:cs="Calibri"/>
          <w:u w:val="single"/>
        </w:rPr>
        <w:t xml:space="preserve">Identity cannot be straightforwardly read off any more, it is, within limit, a matter of choice. </w:t>
      </w:r>
    </w:p>
    <w:p w:rsidR="00E5343F" w:rsidRPr="00F933AF" w:rsidRDefault="00E5343F" w:rsidP="00E5343F">
      <w:pPr>
        <w:rPr>
          <w:rFonts w:cs="Calibri"/>
          <w:sz w:val="12"/>
        </w:rPr>
      </w:pPr>
    </w:p>
    <w:p w:rsidR="00D61738" w:rsidRDefault="00D61738" w:rsidP="00E5343F">
      <w:pPr>
        <w:pStyle w:val="Heading3"/>
        <w:rPr>
          <w:rFonts w:cs="Calibri"/>
        </w:rPr>
      </w:pPr>
      <w:r>
        <w:rPr>
          <w:rFonts w:cs="Calibri"/>
        </w:rPr>
        <w:t>Link Turn</w:t>
      </w:r>
    </w:p>
    <w:p w:rsidR="00D61738" w:rsidRDefault="00D61738" w:rsidP="00D61738">
      <w:pPr>
        <w:pStyle w:val="Heading4"/>
      </w:pPr>
      <w:r>
        <w:t>Aff allows immigrants access to welfare- removes reliance on for-profit health care that drives biopower/neoliberalism</w:t>
      </w:r>
    </w:p>
    <w:p w:rsidR="00D61738" w:rsidRDefault="00D61738" w:rsidP="00D61738">
      <w:r w:rsidRPr="00BC615D">
        <w:rPr>
          <w:rStyle w:val="Style13ptBold"/>
        </w:rPr>
        <w:t>Mitchell 15</w:t>
      </w:r>
      <w:r>
        <w:t xml:space="preserve"> (David T. </w:t>
      </w:r>
      <w:r w:rsidRPr="00BC615D">
        <w:t>Mitchell, faculty member in the Department of Disability and Human Development at the University of Illinois at Chicago, coeditor of Corporealities: Discourses of Disability, author of Precarity, Geopolitics, and the Matter of Disability, Ed. Sharon L. Snyder, 2015, “The Biopolitics of Disability neoliberalism, ablenationalism, and peripheral embodiment”, University of Michigan Press, https://www.press.umich.edu/7331366)/CWB</w:t>
      </w:r>
    </w:p>
    <w:p w:rsidR="00D61738" w:rsidRPr="003F19FC" w:rsidRDefault="00D61738" w:rsidP="00D61738">
      <w:pPr>
        <w:rPr>
          <w:sz w:val="16"/>
        </w:rPr>
      </w:pPr>
      <w:r w:rsidRPr="003F19FC">
        <w:rPr>
          <w:sz w:val="16"/>
        </w:rPr>
        <w:t xml:space="preserve">In this section we want to underscore how </w:t>
      </w:r>
      <w:r w:rsidRPr="00F9607A">
        <w:rPr>
          <w:rStyle w:val="StyleUnderline"/>
        </w:rPr>
        <w:t>the toxic environments of for-profit health care research networks participate in this neoliberal social annexation of</w:t>
      </w:r>
      <w:r w:rsidRPr="003F19FC">
        <w:rPr>
          <w:sz w:val="16"/>
        </w:rPr>
        <w:t xml:space="preserve"> those </w:t>
      </w:r>
      <w:r w:rsidRPr="00F9607A">
        <w:rPr>
          <w:rStyle w:val="StyleUnderline"/>
        </w:rPr>
        <w:t xml:space="preserve">peripheral embodiments. Such research networks promote normalization schemes based on the emptying out of disability-based differences and active exclusions from competitive labor environments. Nearly all efforts in the domain of for-profit medicine serve as components of the </w:t>
      </w:r>
      <w:proofErr w:type="gramStart"/>
      <w:r w:rsidRPr="00F9607A">
        <w:rPr>
          <w:rStyle w:val="StyleUnderline"/>
        </w:rPr>
        <w:t>bio(</w:t>
      </w:r>
      <w:proofErr w:type="gramEnd"/>
      <w:r w:rsidRPr="00F9607A">
        <w:rPr>
          <w:rStyle w:val="StyleUnderline"/>
        </w:rPr>
        <w:t>political)sphere of disability influencing global interactions among marginalized forms of citizenship.</w:t>
      </w:r>
      <w:r w:rsidRPr="003F19FC">
        <w:rPr>
          <w:sz w:val="16"/>
        </w:rPr>
        <w:t xml:space="preserve"> If biopolitics is most distinctively characterized by Foucault’s formulation in The History of Sexuality as “the right of death and power over life” (157), then these </w:t>
      </w:r>
      <w:r w:rsidRPr="00F9607A">
        <w:rPr>
          <w:rStyle w:val="StyleUnderline"/>
        </w:rPr>
        <w:t>collaborative disability domains are seeking to survive experiments of exclusionary (sometimes death-making) environments manufactured for the maintenance of some privileged lives over others—those who embody lives that cannot be effectively accommodated within the human-made toxicity (of attitudes, structures, environments, and practices) of the neoliberal built biopolitical sphere</w:t>
      </w:r>
      <w:r w:rsidRPr="003F19FC">
        <w:rPr>
          <w:sz w:val="16"/>
        </w:rPr>
        <w:t xml:space="preserve">. In particular we analyze how the rarity of </w:t>
      </w:r>
      <w:r w:rsidRPr="003F19FC">
        <w:rPr>
          <w:rStyle w:val="StyleUnderline"/>
        </w:rPr>
        <w:t>some impairments</w:t>
      </w:r>
      <w:r w:rsidRPr="003F19FC">
        <w:rPr>
          <w:sz w:val="16"/>
        </w:rPr>
        <w:t xml:space="preserve"> that </w:t>
      </w:r>
      <w:r w:rsidRPr="003F19FC">
        <w:rPr>
          <w:rStyle w:val="StyleUnderline"/>
        </w:rPr>
        <w:t>require extraordinary medical care</w:t>
      </w:r>
      <w:r w:rsidRPr="003F19FC">
        <w:rPr>
          <w:sz w:val="16"/>
        </w:rPr>
        <w:t xml:space="preserve"> (such as multiple surgeries to reconstruct unviable organs) fail to galvanize enough promise as lucrative interventions for medical practitioners, pharmaceutical research corporations, and health care systems alike. </w:t>
      </w:r>
      <w:r w:rsidRPr="003F19FC">
        <w:rPr>
          <w:rStyle w:val="StyleUnderline"/>
        </w:rPr>
        <w:t xml:space="preserve">In neoliberal for-profit medicine a premium is placed upon the numbers of people who might benefit from a particular treatment regimen in the risk calculations of viability for future medical research, the procurement of financial backing for the development of treatment technologies and protocols, and the training of sufficient expertise in medicine to improve viability for those in peripheral embodiments. </w:t>
      </w:r>
      <w:r w:rsidRPr="003F19FC">
        <w:rPr>
          <w:sz w:val="16"/>
        </w:rPr>
        <w:t xml:space="preserve">In these economically generated measures of who is worth saving, one is left with the immoral quandaries of which bodies should receive treatment and which ones should not. Often lack of treatment results from the fact that no research organization has identified a sufficient market-based demand for promoting profit-based research and development (R &amp; D) explorations. </w:t>
      </w:r>
      <w:r w:rsidRPr="003F19FC">
        <w:rPr>
          <w:rStyle w:val="StyleUnderline"/>
        </w:rPr>
        <w:t>Those who exist under the classification of “letting die” have been increasingly subject to participating in the economic press of funding generation schemes to underwrite necessary treatment, pleading with surgeons and researchers to undertake skills training in necessary interventions, and, most recently, purchasing in the neoliberal for-profit medical markets to underwrite potential “cures,” treatments, and medications.</w:t>
      </w:r>
      <w:r w:rsidRPr="003F19FC">
        <w:rPr>
          <w:rStyle w:val="StyleUnderline"/>
        </w:rPr>
        <w:br/>
      </w:r>
    </w:p>
    <w:p w:rsidR="00DF1FAC" w:rsidRPr="00020FC7" w:rsidRDefault="00DF1FAC" w:rsidP="00DF1FAC">
      <w:pPr>
        <w:rPr>
          <w:sz w:val="14"/>
        </w:rPr>
      </w:pPr>
    </w:p>
    <w:p w:rsidR="00D61738" w:rsidRPr="00D61738" w:rsidRDefault="00D61738" w:rsidP="00D61738"/>
    <w:p w:rsidR="00E5343F" w:rsidRPr="00F933AF" w:rsidRDefault="00E5343F" w:rsidP="00E5343F">
      <w:pPr>
        <w:pStyle w:val="Heading3"/>
        <w:rPr>
          <w:rFonts w:cs="Calibri"/>
        </w:rPr>
      </w:pPr>
      <w:r w:rsidRPr="00F933AF">
        <w:rPr>
          <w:rFonts w:cs="Calibri"/>
        </w:rPr>
        <w:t xml:space="preserve">Perm </w:t>
      </w:r>
      <w:r w:rsidR="00B059DC">
        <w:rPr>
          <w:rFonts w:cs="Calibri"/>
        </w:rPr>
        <w:t>do both</w:t>
      </w:r>
    </w:p>
    <w:p w:rsidR="00F703ED" w:rsidRDefault="00F703ED" w:rsidP="00F703ED">
      <w:pPr>
        <w:pStyle w:val="Heading4"/>
      </w:pPr>
      <w:r>
        <w:t>Grass roots organizing and state reform are not mutually exclusive—the USFG has the power and resources to legitimize disability movements and code their proposals in federal law</w:t>
      </w:r>
    </w:p>
    <w:p w:rsidR="00F703ED" w:rsidRPr="00B307E9" w:rsidRDefault="00F703ED" w:rsidP="00F703ED">
      <w:r>
        <w:rPr>
          <w:b/>
        </w:rPr>
        <w:t xml:space="preserve">Scotch 88 </w:t>
      </w:r>
      <w:r w:rsidRPr="001A1417">
        <w:rPr>
          <w:sz w:val="18"/>
          <w:szCs w:val="18"/>
        </w:rPr>
        <w:t>(Richard K. Scotch, professor at the University of Texas at Dallas, “Disability as the Basis for a Social Movement: Advocacy and the Politics of Definition,” Section: The Role of the State in Redefining Disability, Journal of Social Issues, Vol. 44, No. 1, 1988, pg. 166-168)//jy</w:t>
      </w:r>
    </w:p>
    <w:p w:rsidR="00F703ED" w:rsidRPr="007A775B" w:rsidRDefault="00F703ED" w:rsidP="00F703ED">
      <w:pPr>
        <w:shd w:val="clear" w:color="auto" w:fill="FFFFFF"/>
        <w:spacing w:after="0" w:line="0" w:lineRule="auto"/>
        <w:rPr>
          <w:rFonts w:ascii="ff6" w:eastAsia="Times New Roman" w:hAnsi="ff6" w:cs="Times New Roman"/>
          <w:spacing w:val="-12"/>
          <w:sz w:val="124"/>
          <w:szCs w:val="124"/>
          <w:lang w:eastAsia="ko-KR"/>
        </w:rPr>
      </w:pPr>
      <w:r w:rsidRPr="007A775B">
        <w:rPr>
          <w:rFonts w:ascii="ff6" w:eastAsia="Times New Roman" w:hAnsi="ff6" w:cs="Times New Roman"/>
          <w:spacing w:val="-12"/>
          <w:sz w:val="124"/>
          <w:szCs w:val="124"/>
          <w:lang w:eastAsia="ko-KR"/>
        </w:rPr>
        <w:t xml:space="preserve">The Role </w:t>
      </w:r>
    </w:p>
    <w:p w:rsidR="00F703ED" w:rsidRPr="007A775B" w:rsidRDefault="00F703ED" w:rsidP="00F703ED">
      <w:pPr>
        <w:shd w:val="clear" w:color="auto" w:fill="FFFFFF"/>
        <w:spacing w:after="0" w:line="0" w:lineRule="auto"/>
        <w:rPr>
          <w:rFonts w:ascii="ff6" w:eastAsia="Times New Roman" w:hAnsi="ff6" w:cs="Times New Roman"/>
          <w:spacing w:val="-75"/>
          <w:sz w:val="125"/>
          <w:szCs w:val="125"/>
          <w:lang w:eastAsia="ko-KR"/>
        </w:rPr>
      </w:pPr>
      <w:proofErr w:type="gramStart"/>
      <w:r w:rsidRPr="007A775B">
        <w:rPr>
          <w:rFonts w:ascii="ff6" w:eastAsia="Times New Roman" w:hAnsi="ff6" w:cs="Times New Roman"/>
          <w:spacing w:val="-75"/>
          <w:sz w:val="125"/>
          <w:szCs w:val="125"/>
          <w:lang w:eastAsia="ko-KR"/>
        </w:rPr>
        <w:t>of</w:t>
      </w:r>
      <w:proofErr w:type="gramEnd"/>
      <w:r w:rsidRPr="007A775B">
        <w:rPr>
          <w:rFonts w:ascii="ff6" w:eastAsia="Times New Roman" w:hAnsi="ff6" w:cs="Times New Roman"/>
          <w:spacing w:val="-75"/>
          <w:sz w:val="125"/>
          <w:szCs w:val="125"/>
          <w:lang w:eastAsia="ko-KR"/>
        </w:rPr>
        <w:t xml:space="preserve"> </w:t>
      </w:r>
    </w:p>
    <w:p w:rsidR="00F703ED" w:rsidRPr="007A775B" w:rsidRDefault="00F703ED" w:rsidP="00F703ED">
      <w:pPr>
        <w:shd w:val="clear" w:color="auto" w:fill="FFFFFF"/>
        <w:spacing w:after="0" w:line="0" w:lineRule="auto"/>
        <w:rPr>
          <w:rFonts w:ascii="ff6" w:eastAsia="Times New Roman" w:hAnsi="ff6" w:cs="Times New Roman"/>
          <w:spacing w:val="-12"/>
          <w:sz w:val="124"/>
          <w:szCs w:val="124"/>
          <w:lang w:eastAsia="ko-KR"/>
        </w:rPr>
      </w:pPr>
      <w:proofErr w:type="gramStart"/>
      <w:r w:rsidRPr="007A775B">
        <w:rPr>
          <w:rFonts w:ascii="ff6" w:eastAsia="Times New Roman" w:hAnsi="ff6" w:cs="Times New Roman"/>
          <w:spacing w:val="-12"/>
          <w:sz w:val="124"/>
          <w:szCs w:val="124"/>
          <w:lang w:eastAsia="ko-KR"/>
        </w:rPr>
        <w:t>the</w:t>
      </w:r>
      <w:proofErr w:type="gramEnd"/>
      <w:r w:rsidRPr="007A775B">
        <w:rPr>
          <w:rFonts w:ascii="ff6" w:eastAsia="Times New Roman" w:hAnsi="ff6" w:cs="Times New Roman"/>
          <w:spacing w:val="-12"/>
          <w:sz w:val="124"/>
          <w:szCs w:val="124"/>
          <w:lang w:eastAsia="ko-KR"/>
        </w:rPr>
        <w:t xml:space="preserve"> </w:t>
      </w:r>
      <w:r w:rsidRPr="007A775B">
        <w:rPr>
          <w:rFonts w:ascii="ff6" w:eastAsia="Times New Roman" w:hAnsi="ff6" w:cs="Times New Roman"/>
          <w:sz w:val="124"/>
          <w:szCs w:val="124"/>
          <w:lang w:eastAsia="ko-KR"/>
        </w:rPr>
        <w:t xml:space="preserve">State </w:t>
      </w:r>
      <w:r w:rsidRPr="007A775B">
        <w:rPr>
          <w:rFonts w:ascii="ff6" w:eastAsia="Times New Roman" w:hAnsi="ff6" w:cs="Times New Roman"/>
          <w:spacing w:val="-25"/>
          <w:sz w:val="124"/>
          <w:szCs w:val="124"/>
          <w:lang w:eastAsia="ko-KR"/>
        </w:rPr>
        <w:t xml:space="preserve">in  </w:t>
      </w:r>
      <w:r w:rsidRPr="007A775B">
        <w:rPr>
          <w:rFonts w:ascii="ff6" w:eastAsia="Times New Roman" w:hAnsi="ff6" w:cs="Times New Roman"/>
          <w:sz w:val="124"/>
          <w:szCs w:val="124"/>
          <w:lang w:eastAsia="ko-KR"/>
        </w:rPr>
        <w:t xml:space="preserve">Redefining </w:t>
      </w:r>
      <w:r w:rsidRPr="007A775B">
        <w:rPr>
          <w:rFonts w:ascii="ff6" w:eastAsia="Times New Roman" w:hAnsi="ff6" w:cs="Times New Roman"/>
          <w:spacing w:val="-12"/>
          <w:sz w:val="124"/>
          <w:szCs w:val="124"/>
          <w:lang w:eastAsia="ko-KR"/>
        </w:rPr>
        <w:t xml:space="preserve">Disability </w:t>
      </w:r>
    </w:p>
    <w:p w:rsidR="00F703ED" w:rsidRPr="007A775B" w:rsidRDefault="00F703ED" w:rsidP="00F703ED">
      <w:pPr>
        <w:shd w:val="clear" w:color="auto" w:fill="FFFFFF"/>
        <w:spacing w:after="0" w:line="0" w:lineRule="auto"/>
        <w:rPr>
          <w:rFonts w:ascii="ff2" w:eastAsia="Times New Roman" w:hAnsi="ff2" w:cs="Times New Roman"/>
          <w:spacing w:val="36"/>
          <w:sz w:val="119"/>
          <w:szCs w:val="119"/>
          <w:lang w:eastAsia="ko-KR"/>
        </w:rPr>
      </w:pPr>
      <w:r w:rsidRPr="007A775B">
        <w:rPr>
          <w:rFonts w:ascii="ff2" w:eastAsia="Times New Roman" w:hAnsi="ff2" w:cs="Times New Roman"/>
          <w:spacing w:val="36"/>
          <w:sz w:val="119"/>
          <w:szCs w:val="119"/>
          <w:lang w:eastAsia="ko-KR"/>
        </w:rPr>
        <w:t xml:space="preserve">The above </w:t>
      </w:r>
      <w:proofErr w:type="gramStart"/>
      <w:r w:rsidRPr="007A775B">
        <w:rPr>
          <w:rFonts w:ascii="ff2" w:eastAsia="Times New Roman" w:hAnsi="ff2" w:cs="Times New Roman"/>
          <w:spacing w:val="12"/>
          <w:sz w:val="119"/>
          <w:szCs w:val="119"/>
          <w:lang w:eastAsia="ko-KR"/>
        </w:rPr>
        <w:t xml:space="preserve">discussion  </w:t>
      </w:r>
      <w:r w:rsidRPr="007A775B">
        <w:rPr>
          <w:rFonts w:ascii="ff2" w:eastAsia="Times New Roman" w:hAnsi="ff2" w:cs="Times New Roman"/>
          <w:sz w:val="119"/>
          <w:szCs w:val="119"/>
          <w:lang w:eastAsia="ko-KR"/>
        </w:rPr>
        <w:t>of</w:t>
      </w:r>
      <w:proofErr w:type="gramEnd"/>
      <w:r w:rsidRPr="007A775B">
        <w:rPr>
          <w:rFonts w:ascii="ff2" w:eastAsia="Times New Roman" w:hAnsi="ff2" w:cs="Times New Roman"/>
          <w:sz w:val="119"/>
          <w:szCs w:val="119"/>
          <w:lang w:eastAsia="ko-KR"/>
        </w:rPr>
        <w:t xml:space="preserve">  </w:t>
      </w:r>
      <w:r w:rsidRPr="007A775B">
        <w:rPr>
          <w:rFonts w:ascii="ff2" w:eastAsia="Times New Roman" w:hAnsi="ff2" w:cs="Times New Roman"/>
          <w:spacing w:val="12"/>
          <w:sz w:val="119"/>
          <w:szCs w:val="119"/>
          <w:lang w:eastAsia="ko-KR"/>
        </w:rPr>
        <w:t xml:space="preserve">barriers  to  political  activism  </w:t>
      </w:r>
      <w:r w:rsidRPr="007A775B">
        <w:rPr>
          <w:rFonts w:ascii="ff2" w:eastAsia="Times New Roman" w:hAnsi="ff2" w:cs="Times New Roman"/>
          <w:spacing w:val="-12"/>
          <w:sz w:val="119"/>
          <w:szCs w:val="119"/>
          <w:lang w:eastAsia="ko-KR"/>
        </w:rPr>
        <w:t xml:space="preserve">by  </w:t>
      </w:r>
      <w:r w:rsidRPr="007A775B">
        <w:rPr>
          <w:rFonts w:ascii="ff2" w:eastAsia="Times New Roman" w:hAnsi="ff2" w:cs="Times New Roman"/>
          <w:spacing w:val="12"/>
          <w:sz w:val="119"/>
          <w:szCs w:val="119"/>
          <w:lang w:eastAsia="ko-KR"/>
        </w:rPr>
        <w:t xml:space="preserve">disabled  people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7A775B">
        <w:rPr>
          <w:rFonts w:ascii="ff2" w:eastAsia="Times New Roman" w:hAnsi="ff2" w:cs="Times New Roman"/>
          <w:sz w:val="119"/>
          <w:szCs w:val="119"/>
          <w:lang w:eastAsia="ko-KR"/>
        </w:rPr>
        <w:t>suggested</w:t>
      </w:r>
      <w:proofErr w:type="gramEnd"/>
      <w:r w:rsidRPr="007A775B">
        <w:rPr>
          <w:rFonts w:ascii="ff2" w:eastAsia="Times New Roman" w:hAnsi="ff2" w:cs="Times New Roman"/>
          <w:sz w:val="119"/>
          <w:szCs w:val="119"/>
          <w:lang w:eastAsia="ko-KR"/>
        </w:rPr>
        <w:t xml:space="preserve"> that </w:t>
      </w:r>
      <w:r w:rsidRPr="007A775B">
        <w:rPr>
          <w:rFonts w:ascii="ff2" w:eastAsia="Times New Roman" w:hAnsi="ff2" w:cs="Times New Roman"/>
          <w:spacing w:val="12"/>
          <w:sz w:val="119"/>
          <w:szCs w:val="119"/>
          <w:lang w:eastAsia="ko-KR"/>
        </w:rPr>
        <w:t xml:space="preserve">a prerequisite </w:t>
      </w:r>
      <w:r w:rsidRPr="007A775B">
        <w:rPr>
          <w:rFonts w:ascii="ff2" w:eastAsia="Times New Roman" w:hAnsi="ff2" w:cs="Times New Roman"/>
          <w:spacing w:val="48"/>
          <w:sz w:val="119"/>
          <w:szCs w:val="119"/>
          <w:lang w:eastAsia="ko-KR"/>
        </w:rPr>
        <w:t xml:space="preserve">to </w:t>
      </w:r>
      <w:r w:rsidRPr="007A775B">
        <w:rPr>
          <w:rFonts w:ascii="ff2" w:eastAsia="Times New Roman" w:hAnsi="ff2" w:cs="Times New Roman"/>
          <w:spacing w:val="36"/>
          <w:sz w:val="119"/>
          <w:szCs w:val="119"/>
          <w:lang w:eastAsia="ko-KR"/>
        </w:rPr>
        <w:t xml:space="preserve">such </w:t>
      </w:r>
      <w:r w:rsidRPr="007A775B">
        <w:rPr>
          <w:rFonts w:ascii="ff2" w:eastAsia="Times New Roman" w:hAnsi="ff2" w:cs="Times New Roman"/>
          <w:spacing w:val="12"/>
          <w:sz w:val="119"/>
          <w:szCs w:val="119"/>
          <w:lang w:eastAsia="ko-KR"/>
        </w:rPr>
        <w:t xml:space="preserve">activism </w:t>
      </w:r>
      <w:r w:rsidRPr="007A775B">
        <w:rPr>
          <w:rFonts w:ascii="ff2" w:eastAsia="Times New Roman" w:hAnsi="ff2" w:cs="Times New Roman"/>
          <w:sz w:val="119"/>
          <w:szCs w:val="119"/>
          <w:lang w:eastAsia="ko-KR"/>
        </w:rPr>
        <w:t xml:space="preserve">was </w:t>
      </w:r>
      <w:r w:rsidRPr="007A775B">
        <w:rPr>
          <w:rFonts w:ascii="ff2" w:eastAsia="Times New Roman" w:hAnsi="ff2" w:cs="Times New Roman"/>
          <w:spacing w:val="12"/>
          <w:sz w:val="119"/>
          <w:szCs w:val="119"/>
          <w:lang w:eastAsia="ko-KR"/>
        </w:rPr>
        <w:t xml:space="preserve">a redefinition </w:t>
      </w:r>
      <w:r w:rsidRPr="007A775B">
        <w:rPr>
          <w:rFonts w:ascii="ff2" w:eastAsia="Times New Roman" w:hAnsi="ff2" w:cs="Times New Roman"/>
          <w:sz w:val="119"/>
          <w:szCs w:val="119"/>
          <w:lang w:eastAsia="ko-KR"/>
        </w:rPr>
        <w:t xml:space="preserve">of </w:t>
      </w:r>
      <w:r w:rsidRPr="007A775B">
        <w:rPr>
          <w:rFonts w:ascii="ff2" w:eastAsia="Times New Roman" w:hAnsi="ff2" w:cs="Times New Roman"/>
          <w:spacing w:val="12"/>
          <w:sz w:val="119"/>
          <w:szCs w:val="119"/>
          <w:lang w:eastAsia="ko-KR"/>
        </w:rPr>
        <w:t xml:space="preserve">disabilities </w:t>
      </w:r>
      <w:r w:rsidRPr="007A775B">
        <w:rPr>
          <w:rFonts w:ascii="ff2" w:eastAsia="Times New Roman" w:hAnsi="ff2" w:cs="Times New Roman"/>
          <w:spacing w:val="48"/>
          <w:sz w:val="119"/>
          <w:szCs w:val="119"/>
          <w:lang w:eastAsia="ko-KR"/>
        </w:rPr>
        <w:t xml:space="preserve">as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7A775B">
        <w:rPr>
          <w:rFonts w:ascii="ff2" w:eastAsia="Times New Roman" w:hAnsi="ff2" w:cs="Times New Roman"/>
          <w:sz w:val="119"/>
          <w:szCs w:val="119"/>
          <w:lang w:eastAsia="ko-KR"/>
        </w:rPr>
        <w:t xml:space="preserve">impairments  </w:t>
      </w:r>
      <w:r w:rsidRPr="007A775B">
        <w:rPr>
          <w:rFonts w:ascii="ff2" w:eastAsia="Times New Roman" w:hAnsi="ff2" w:cs="Times New Roman"/>
          <w:spacing w:val="12"/>
          <w:sz w:val="119"/>
          <w:szCs w:val="119"/>
          <w:lang w:eastAsia="ko-KR"/>
        </w:rPr>
        <w:t>that</w:t>
      </w:r>
      <w:proofErr w:type="gramEnd"/>
      <w:r w:rsidRPr="007A775B">
        <w:rPr>
          <w:rFonts w:ascii="ff2" w:eastAsia="Times New Roman" w:hAnsi="ff2" w:cs="Times New Roman"/>
          <w:spacing w:val="12"/>
          <w:sz w:val="119"/>
          <w:szCs w:val="119"/>
          <w:lang w:eastAsia="ko-KR"/>
        </w:rPr>
        <w:t xml:space="preserve"> are limiting  only </w:t>
      </w:r>
      <w:r w:rsidRPr="007A775B">
        <w:rPr>
          <w:rFonts w:ascii="ff2" w:eastAsia="Times New Roman" w:hAnsi="ff2" w:cs="Times New Roman"/>
          <w:spacing w:val="48"/>
          <w:sz w:val="119"/>
          <w:szCs w:val="119"/>
          <w:lang w:eastAsia="ko-KR"/>
        </w:rPr>
        <w:t xml:space="preserve">to </w:t>
      </w:r>
      <w:r w:rsidRPr="007A775B">
        <w:rPr>
          <w:rFonts w:ascii="ff2" w:eastAsia="Times New Roman" w:hAnsi="ff2" w:cs="Times New Roman"/>
          <w:spacing w:val="12"/>
          <w:sz w:val="119"/>
          <w:szCs w:val="119"/>
          <w:lang w:eastAsia="ko-KR"/>
        </w:rPr>
        <w:t xml:space="preserve">the </w:t>
      </w:r>
      <w:r w:rsidRPr="007A775B">
        <w:rPr>
          <w:rFonts w:ascii="ff2" w:eastAsia="Times New Roman" w:hAnsi="ff2" w:cs="Times New Roman"/>
          <w:spacing w:val="36"/>
          <w:sz w:val="119"/>
          <w:szCs w:val="119"/>
          <w:lang w:eastAsia="ko-KR"/>
        </w:rPr>
        <w:t xml:space="preserve">extent </w:t>
      </w:r>
      <w:r w:rsidRPr="007A775B">
        <w:rPr>
          <w:rFonts w:ascii="ff2" w:eastAsia="Times New Roman" w:hAnsi="ff2" w:cs="Times New Roman"/>
          <w:spacing w:val="12"/>
          <w:sz w:val="119"/>
          <w:szCs w:val="119"/>
          <w:lang w:eastAsia="ko-KR"/>
        </w:rPr>
        <w:t xml:space="preserve">that constraints  are imposed </w:t>
      </w:r>
      <w:r w:rsidRPr="007A775B">
        <w:rPr>
          <w:rFonts w:ascii="ff2" w:eastAsia="Times New Roman" w:hAnsi="ff2" w:cs="Times New Roman"/>
          <w:sz w:val="119"/>
          <w:szCs w:val="119"/>
          <w:lang w:eastAsia="ko-KR"/>
        </w:rPr>
        <w:t xml:space="preserve">by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7A775B">
        <w:rPr>
          <w:rFonts w:ascii="ff2" w:eastAsia="Times New Roman" w:hAnsi="ff2" w:cs="Times New Roman"/>
          <w:sz w:val="119"/>
          <w:szCs w:val="119"/>
          <w:lang w:eastAsia="ko-KR"/>
        </w:rPr>
        <w:t>the</w:t>
      </w:r>
      <w:proofErr w:type="gramEnd"/>
      <w:r w:rsidRPr="007A775B">
        <w:rPr>
          <w:rFonts w:ascii="ff2" w:eastAsia="Times New Roman" w:hAnsi="ff2" w:cs="Times New Roman"/>
          <w:sz w:val="119"/>
          <w:szCs w:val="119"/>
          <w:lang w:eastAsia="ko-KR"/>
        </w:rPr>
        <w:t xml:space="preserve"> physical  </w:t>
      </w:r>
      <w:r w:rsidRPr="007A775B">
        <w:rPr>
          <w:rFonts w:ascii="ff2" w:eastAsia="Times New Roman" w:hAnsi="ff2" w:cs="Times New Roman"/>
          <w:spacing w:val="12"/>
          <w:sz w:val="119"/>
          <w:szCs w:val="119"/>
          <w:lang w:eastAsia="ko-KR"/>
        </w:rPr>
        <w:t xml:space="preserve">and social </w:t>
      </w:r>
      <w:r w:rsidRPr="007A775B">
        <w:rPr>
          <w:rFonts w:ascii="ff2" w:eastAsia="Times New Roman" w:hAnsi="ff2" w:cs="Times New Roman"/>
          <w:spacing w:val="36"/>
          <w:sz w:val="119"/>
          <w:szCs w:val="119"/>
          <w:lang w:eastAsia="ko-KR"/>
        </w:rPr>
        <w:t xml:space="preserve">environment. </w:t>
      </w:r>
      <w:r w:rsidRPr="007A775B">
        <w:rPr>
          <w:rFonts w:ascii="ff2" w:eastAsia="Times New Roman" w:hAnsi="ff2" w:cs="Times New Roman"/>
          <w:spacing w:val="48"/>
          <w:sz w:val="119"/>
          <w:szCs w:val="119"/>
          <w:lang w:eastAsia="ko-KR"/>
        </w:rPr>
        <w:t xml:space="preserve">The </w:t>
      </w:r>
      <w:proofErr w:type="gramStart"/>
      <w:r w:rsidRPr="007A775B">
        <w:rPr>
          <w:rFonts w:ascii="ff2" w:eastAsia="Times New Roman" w:hAnsi="ff2" w:cs="Times New Roman"/>
          <w:spacing w:val="12"/>
          <w:sz w:val="119"/>
          <w:szCs w:val="119"/>
          <w:lang w:eastAsia="ko-KR"/>
        </w:rPr>
        <w:t>activists  who</w:t>
      </w:r>
      <w:proofErr w:type="gramEnd"/>
      <w:r w:rsidRPr="007A775B">
        <w:rPr>
          <w:rFonts w:ascii="ff2" w:eastAsia="Times New Roman" w:hAnsi="ff2" w:cs="Times New Roman"/>
          <w:spacing w:val="12"/>
          <w:sz w:val="119"/>
          <w:szCs w:val="119"/>
          <w:lang w:eastAsia="ko-KR"/>
        </w:rPr>
        <w:t xml:space="preserve"> created the  various  </w:t>
      </w:r>
      <w:r w:rsidRPr="007A775B">
        <w:rPr>
          <w:rFonts w:ascii="ff2" w:eastAsia="Times New Roman" w:hAnsi="ff2" w:cs="Times New Roman"/>
          <w:spacing w:val="36"/>
          <w:sz w:val="119"/>
          <w:szCs w:val="119"/>
          <w:lang w:eastAsia="ko-KR"/>
        </w:rPr>
        <w:t xml:space="preserve">dis-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r w:rsidRPr="007A775B">
        <w:rPr>
          <w:rFonts w:ascii="ff2" w:eastAsia="Times New Roman" w:hAnsi="ff2" w:cs="Times New Roman"/>
          <w:sz w:val="119"/>
          <w:szCs w:val="119"/>
          <w:lang w:eastAsia="ko-KR"/>
        </w:rPr>
        <w:t xml:space="preserve">ability  rights  </w:t>
      </w:r>
      <w:r w:rsidRPr="007A775B">
        <w:rPr>
          <w:rFonts w:ascii="ff2" w:eastAsia="Times New Roman" w:hAnsi="ff2" w:cs="Times New Roman"/>
          <w:spacing w:val="12"/>
          <w:sz w:val="119"/>
          <w:szCs w:val="119"/>
          <w:lang w:eastAsia="ko-KR"/>
        </w:rPr>
        <w:t xml:space="preserve">organizations  redefined  disability  </w:t>
      </w:r>
      <w:r w:rsidRPr="007A775B">
        <w:rPr>
          <w:rFonts w:ascii="ff2" w:eastAsia="Times New Roman" w:hAnsi="ff2" w:cs="Times New Roman"/>
          <w:sz w:val="119"/>
          <w:szCs w:val="119"/>
          <w:lang w:eastAsia="ko-KR"/>
        </w:rPr>
        <w:t xml:space="preserve">in  </w:t>
      </w:r>
      <w:r w:rsidRPr="007A775B">
        <w:rPr>
          <w:rFonts w:ascii="ff2" w:eastAsia="Times New Roman" w:hAnsi="ff2" w:cs="Times New Roman"/>
          <w:spacing w:val="12"/>
          <w:sz w:val="119"/>
          <w:szCs w:val="119"/>
          <w:lang w:eastAsia="ko-KR"/>
        </w:rPr>
        <w:t xml:space="preserve">this  way  and  sought  </w:t>
      </w:r>
      <w:r w:rsidRPr="007A775B">
        <w:rPr>
          <w:rFonts w:ascii="ff2" w:eastAsia="Times New Roman" w:hAnsi="ff2" w:cs="Times New Roman"/>
          <w:spacing w:val="48"/>
          <w:sz w:val="119"/>
          <w:szCs w:val="119"/>
          <w:lang w:eastAsia="ko-KR"/>
        </w:rPr>
        <w:t xml:space="preserve">to </w:t>
      </w:r>
      <w:r w:rsidRPr="007A775B">
        <w:rPr>
          <w:rFonts w:ascii="ff2" w:eastAsia="Times New Roman" w:hAnsi="ff2" w:cs="Times New Roman"/>
          <w:spacing w:val="12"/>
          <w:sz w:val="119"/>
          <w:szCs w:val="119"/>
          <w:lang w:eastAsia="ko-KR"/>
        </w:rPr>
        <w:t xml:space="preserve">have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7A775B">
        <w:rPr>
          <w:rFonts w:ascii="ff2" w:eastAsia="Times New Roman" w:hAnsi="ff2" w:cs="Times New Roman"/>
          <w:sz w:val="119"/>
          <w:szCs w:val="119"/>
          <w:lang w:eastAsia="ko-KR"/>
        </w:rPr>
        <w:t>this</w:t>
      </w:r>
      <w:proofErr w:type="gramEnd"/>
      <w:r w:rsidRPr="007A775B">
        <w:rPr>
          <w:rFonts w:ascii="ff2" w:eastAsia="Times New Roman" w:hAnsi="ff2" w:cs="Times New Roman"/>
          <w:sz w:val="119"/>
          <w:szCs w:val="119"/>
          <w:lang w:eastAsia="ko-KR"/>
        </w:rPr>
        <w:t xml:space="preserve"> redefinition  </w:t>
      </w:r>
      <w:r w:rsidRPr="007A775B">
        <w:rPr>
          <w:rFonts w:ascii="ff2" w:eastAsia="Times New Roman" w:hAnsi="ff2" w:cs="Times New Roman"/>
          <w:spacing w:val="12"/>
          <w:sz w:val="119"/>
          <w:szCs w:val="119"/>
          <w:lang w:eastAsia="ko-KR"/>
        </w:rPr>
        <w:t xml:space="preserve">institutionalized and accepted </w:t>
      </w:r>
      <w:r w:rsidRPr="007A775B">
        <w:rPr>
          <w:rFonts w:ascii="ff2" w:eastAsia="Times New Roman" w:hAnsi="ff2" w:cs="Times New Roman"/>
          <w:spacing w:val="-12"/>
          <w:sz w:val="119"/>
          <w:szCs w:val="119"/>
          <w:lang w:eastAsia="ko-KR"/>
        </w:rPr>
        <w:t xml:space="preserve">in </w:t>
      </w:r>
      <w:r w:rsidRPr="007A775B">
        <w:rPr>
          <w:rFonts w:ascii="ff2" w:eastAsia="Times New Roman" w:hAnsi="ff2" w:cs="Times New Roman"/>
          <w:spacing w:val="12"/>
          <w:sz w:val="119"/>
          <w:szCs w:val="119"/>
          <w:lang w:eastAsia="ko-KR"/>
        </w:rPr>
        <w:t xml:space="preserve">public policy </w:t>
      </w:r>
      <w:r w:rsidRPr="007A775B">
        <w:rPr>
          <w:rFonts w:ascii="ff2" w:eastAsia="Times New Roman" w:hAnsi="ff2" w:cs="Times New Roman"/>
          <w:sz w:val="119"/>
          <w:szCs w:val="119"/>
          <w:lang w:eastAsia="ko-KR"/>
        </w:rPr>
        <w:t xml:space="preserve">and by </w:t>
      </w:r>
      <w:r w:rsidRPr="007A775B">
        <w:rPr>
          <w:rFonts w:ascii="ff2" w:eastAsia="Times New Roman" w:hAnsi="ff2" w:cs="Times New Roman"/>
          <w:spacing w:val="36"/>
          <w:sz w:val="119"/>
          <w:szCs w:val="119"/>
          <w:lang w:eastAsia="ko-KR"/>
        </w:rPr>
        <w:t xml:space="preserve">the </w:t>
      </w:r>
      <w:r w:rsidRPr="007A775B">
        <w:rPr>
          <w:rFonts w:ascii="ff2" w:eastAsia="Times New Roman" w:hAnsi="ff2" w:cs="Times New Roman"/>
          <w:spacing w:val="12"/>
          <w:sz w:val="119"/>
          <w:szCs w:val="119"/>
          <w:lang w:eastAsia="ko-KR"/>
        </w:rPr>
        <w:t xml:space="preserve">general </w:t>
      </w:r>
    </w:p>
    <w:p w:rsidR="00F703ED" w:rsidRPr="007A775B"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7A775B">
        <w:rPr>
          <w:rFonts w:ascii="ff2" w:eastAsia="Times New Roman" w:hAnsi="ff2" w:cs="Times New Roman"/>
          <w:spacing w:val="12"/>
          <w:sz w:val="119"/>
          <w:szCs w:val="119"/>
          <w:lang w:eastAsia="ko-KR"/>
        </w:rPr>
        <w:t>public</w:t>
      </w:r>
      <w:proofErr w:type="gramEnd"/>
      <w:r w:rsidRPr="007A775B">
        <w:rPr>
          <w:rFonts w:ascii="ff2" w:eastAsia="Times New Roman" w:hAnsi="ff2" w:cs="Times New Roman"/>
          <w:spacing w:val="12"/>
          <w:sz w:val="119"/>
          <w:szCs w:val="119"/>
          <w:lang w:eastAsia="ko-KR"/>
        </w:rPr>
        <w:t xml:space="preserve">. </w:t>
      </w:r>
    </w:p>
    <w:p w:rsidR="00F703ED" w:rsidRPr="007A775B" w:rsidRDefault="00F703ED" w:rsidP="00F703ED">
      <w:pPr>
        <w:shd w:val="clear" w:color="auto" w:fill="FFFFFF"/>
        <w:spacing w:after="0" w:line="0" w:lineRule="auto"/>
        <w:rPr>
          <w:rFonts w:ascii="ff2" w:eastAsia="Times New Roman" w:hAnsi="ff2" w:cs="Times New Roman"/>
          <w:spacing w:val="12"/>
          <w:sz w:val="119"/>
          <w:szCs w:val="119"/>
          <w:lang w:eastAsia="ko-KR"/>
        </w:rPr>
      </w:pPr>
      <w:r w:rsidRPr="007A775B">
        <w:rPr>
          <w:rFonts w:ascii="ff2" w:eastAsia="Times New Roman" w:hAnsi="ff2" w:cs="Times New Roman"/>
          <w:spacing w:val="12"/>
          <w:sz w:val="119"/>
          <w:szCs w:val="119"/>
          <w:lang w:eastAsia="ko-KR"/>
        </w:rPr>
        <w:t xml:space="preserve">However,  the  political  and  financial  resources  </w:t>
      </w:r>
      <w:r w:rsidRPr="007A775B">
        <w:rPr>
          <w:rFonts w:ascii="ff2" w:eastAsia="Times New Roman" w:hAnsi="ff2" w:cs="Times New Roman"/>
          <w:sz w:val="119"/>
          <w:szCs w:val="119"/>
          <w:lang w:eastAsia="ko-KR"/>
        </w:rPr>
        <w:t xml:space="preserve">of  </w:t>
      </w:r>
      <w:r w:rsidRPr="007A775B">
        <w:rPr>
          <w:rFonts w:ascii="ff2" w:eastAsia="Times New Roman" w:hAnsi="ff2" w:cs="Times New Roman"/>
          <w:spacing w:val="12"/>
          <w:sz w:val="119"/>
          <w:szCs w:val="119"/>
          <w:lang w:eastAsia="ko-KR"/>
        </w:rPr>
        <w:t xml:space="preserve">most  </w:t>
      </w:r>
      <w:r w:rsidRPr="007A775B">
        <w:rPr>
          <w:rFonts w:ascii="ff2" w:eastAsia="Times New Roman" w:hAnsi="ff2" w:cs="Times New Roman"/>
          <w:sz w:val="119"/>
          <w:szCs w:val="119"/>
          <w:lang w:eastAsia="ko-KR"/>
        </w:rPr>
        <w:t xml:space="preserve">of  the  </w:t>
      </w:r>
      <w:r w:rsidRPr="007A775B">
        <w:rPr>
          <w:rFonts w:ascii="ff2" w:eastAsia="Times New Roman" w:hAnsi="ff2" w:cs="Times New Roman"/>
          <w:spacing w:val="12"/>
          <w:sz w:val="119"/>
          <w:szCs w:val="119"/>
          <w:lang w:eastAsia="ko-KR"/>
        </w:rPr>
        <w:t xml:space="preserve">disability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7A775B">
        <w:rPr>
          <w:rFonts w:ascii="ff2" w:eastAsia="Times New Roman" w:hAnsi="ff2" w:cs="Times New Roman"/>
          <w:sz w:val="119"/>
          <w:szCs w:val="119"/>
          <w:lang w:eastAsia="ko-KR"/>
        </w:rPr>
        <w:t>rights</w:t>
      </w:r>
      <w:proofErr w:type="gramEnd"/>
      <w:r w:rsidRPr="007A775B">
        <w:rPr>
          <w:rFonts w:ascii="ff2" w:eastAsia="Times New Roman" w:hAnsi="ff2" w:cs="Times New Roman"/>
          <w:sz w:val="119"/>
          <w:szCs w:val="119"/>
          <w:lang w:eastAsia="ko-KR"/>
        </w:rPr>
        <w:t xml:space="preserve"> </w:t>
      </w:r>
      <w:r w:rsidRPr="007A775B">
        <w:rPr>
          <w:rFonts w:ascii="ff2" w:eastAsia="Times New Roman" w:hAnsi="ff2" w:cs="Times New Roman"/>
          <w:spacing w:val="12"/>
          <w:sz w:val="119"/>
          <w:szCs w:val="119"/>
          <w:lang w:eastAsia="ko-KR"/>
        </w:rPr>
        <w:t xml:space="preserve">organizations were extremely  limited. A major proportion </w:t>
      </w:r>
    </w:p>
    <w:p w:rsidR="00F703ED" w:rsidRPr="007A775B" w:rsidRDefault="00F703ED" w:rsidP="00F703ED">
      <w:pPr>
        <w:shd w:val="clear" w:color="auto" w:fill="FFFFFF"/>
        <w:spacing w:after="0" w:line="0" w:lineRule="auto"/>
        <w:rPr>
          <w:rFonts w:ascii="ff2" w:eastAsia="Times New Roman" w:hAnsi="ff2" w:cs="Times New Roman"/>
          <w:spacing w:val="-73"/>
          <w:sz w:val="121"/>
          <w:szCs w:val="121"/>
          <w:lang w:eastAsia="ko-KR"/>
        </w:rPr>
      </w:pPr>
      <w:proofErr w:type="gramStart"/>
      <w:r w:rsidRPr="007A775B">
        <w:rPr>
          <w:rFonts w:ascii="ff2" w:eastAsia="Times New Roman" w:hAnsi="ff2" w:cs="Times New Roman"/>
          <w:spacing w:val="-73"/>
          <w:sz w:val="121"/>
          <w:szCs w:val="121"/>
          <w:lang w:eastAsia="ko-KR"/>
        </w:rPr>
        <w:t>of</w:t>
      </w:r>
      <w:proofErr w:type="gramEnd"/>
      <w:r w:rsidRPr="007A775B">
        <w:rPr>
          <w:rFonts w:ascii="ff2" w:eastAsia="Times New Roman" w:hAnsi="ff2" w:cs="Times New Roman"/>
          <w:spacing w:val="-73"/>
          <w:sz w:val="121"/>
          <w:szCs w:val="121"/>
          <w:lang w:eastAsia="ko-KR"/>
        </w:rPr>
        <w:t xml:space="preserve"> </w:t>
      </w:r>
    </w:p>
    <w:p w:rsidR="00F703ED" w:rsidRPr="007A775B"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7A775B">
        <w:rPr>
          <w:rFonts w:ascii="ff2" w:eastAsia="Times New Roman" w:hAnsi="ff2" w:cs="Times New Roman"/>
          <w:spacing w:val="12"/>
          <w:sz w:val="119"/>
          <w:szCs w:val="119"/>
          <w:lang w:eastAsia="ko-KR"/>
        </w:rPr>
        <w:t>their</w:t>
      </w:r>
      <w:proofErr w:type="gramEnd"/>
      <w:r w:rsidRPr="007A775B">
        <w:rPr>
          <w:rFonts w:ascii="ff2" w:eastAsia="Times New Roman" w:hAnsi="ff2" w:cs="Times New Roman"/>
          <w:spacing w:val="12"/>
          <w:sz w:val="119"/>
          <w:szCs w:val="119"/>
          <w:lang w:eastAsia="ko-KR"/>
        </w:rPr>
        <w:t xml:space="preserve"> budgets </w:t>
      </w:r>
    </w:p>
    <w:p w:rsidR="00F703ED" w:rsidRPr="007A775B"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7A775B">
        <w:rPr>
          <w:rFonts w:ascii="ff2" w:eastAsia="Times New Roman" w:hAnsi="ff2" w:cs="Times New Roman"/>
          <w:spacing w:val="-12"/>
          <w:sz w:val="119"/>
          <w:szCs w:val="119"/>
          <w:lang w:eastAsia="ko-KR"/>
        </w:rPr>
        <w:t>in</w:t>
      </w:r>
      <w:proofErr w:type="gramEnd"/>
      <w:r w:rsidRPr="007A775B">
        <w:rPr>
          <w:rFonts w:ascii="ff2" w:eastAsia="Times New Roman" w:hAnsi="ff2" w:cs="Times New Roman"/>
          <w:spacing w:val="-12"/>
          <w:sz w:val="119"/>
          <w:szCs w:val="119"/>
          <w:lang w:eastAsia="ko-KR"/>
        </w:rPr>
        <w:t xml:space="preserve"> </w:t>
      </w:r>
      <w:r w:rsidRPr="007A775B">
        <w:rPr>
          <w:rFonts w:ascii="ff2" w:eastAsia="Times New Roman" w:hAnsi="ff2" w:cs="Times New Roman"/>
          <w:sz w:val="119"/>
          <w:szCs w:val="119"/>
          <w:lang w:eastAsia="ko-KR"/>
        </w:rPr>
        <w:t xml:space="preserve">the  </w:t>
      </w:r>
      <w:r w:rsidRPr="007A775B">
        <w:rPr>
          <w:rFonts w:ascii="ff2" w:eastAsia="Times New Roman" w:hAnsi="ff2" w:cs="Times New Roman"/>
          <w:spacing w:val="12"/>
          <w:sz w:val="119"/>
          <w:szCs w:val="119"/>
          <w:lang w:eastAsia="ko-KR"/>
        </w:rPr>
        <w:t xml:space="preserve">late </w:t>
      </w:r>
    </w:p>
    <w:p w:rsidR="00F703ED" w:rsidRPr="007A775B" w:rsidRDefault="00F703ED" w:rsidP="00F703ED">
      <w:pPr>
        <w:shd w:val="clear" w:color="auto" w:fill="FFFFFF"/>
        <w:spacing w:after="0" w:line="0" w:lineRule="auto"/>
        <w:rPr>
          <w:rFonts w:ascii="ff2" w:eastAsia="Times New Roman" w:hAnsi="ff2" w:cs="Times New Roman"/>
          <w:spacing w:val="-12"/>
          <w:sz w:val="121"/>
          <w:szCs w:val="121"/>
          <w:lang w:eastAsia="ko-KR"/>
        </w:rPr>
      </w:pPr>
      <w:r w:rsidRPr="007A775B">
        <w:rPr>
          <w:rFonts w:ascii="ff2" w:eastAsia="Times New Roman" w:hAnsi="ff2" w:cs="Times New Roman"/>
          <w:spacing w:val="-12"/>
          <w:sz w:val="121"/>
          <w:szCs w:val="121"/>
          <w:lang w:eastAsia="ko-KR"/>
        </w:rPr>
        <w:t xml:space="preserve">1970s </w:t>
      </w:r>
    </w:p>
    <w:p w:rsidR="00F703ED" w:rsidRPr="007A775B"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7A775B">
        <w:rPr>
          <w:rFonts w:ascii="ff2" w:eastAsia="Times New Roman" w:hAnsi="ff2" w:cs="Times New Roman"/>
          <w:spacing w:val="12"/>
          <w:sz w:val="119"/>
          <w:szCs w:val="119"/>
          <w:lang w:eastAsia="ko-KR"/>
        </w:rPr>
        <w:t>was</w:t>
      </w:r>
      <w:proofErr w:type="gramEnd"/>
      <w:r w:rsidRPr="007A775B">
        <w:rPr>
          <w:rFonts w:ascii="ff2" w:eastAsia="Times New Roman" w:hAnsi="ff2" w:cs="Times New Roman"/>
          <w:spacing w:val="12"/>
          <w:sz w:val="119"/>
          <w:szCs w:val="119"/>
          <w:lang w:eastAsia="ko-KR"/>
        </w:rPr>
        <w:t xml:space="preserve"> provided  </w:t>
      </w:r>
      <w:r w:rsidRPr="007A775B">
        <w:rPr>
          <w:rFonts w:ascii="ff2" w:eastAsia="Times New Roman" w:hAnsi="ff2" w:cs="Times New Roman"/>
          <w:sz w:val="119"/>
          <w:szCs w:val="119"/>
          <w:lang w:eastAsia="ko-KR"/>
        </w:rPr>
        <w:t xml:space="preserve">by  </w:t>
      </w:r>
      <w:r w:rsidRPr="007A775B">
        <w:rPr>
          <w:rFonts w:ascii="ff2" w:eastAsia="Times New Roman" w:hAnsi="ff2" w:cs="Times New Roman"/>
          <w:spacing w:val="12"/>
          <w:sz w:val="119"/>
          <w:szCs w:val="119"/>
          <w:lang w:eastAsia="ko-KR"/>
        </w:rPr>
        <w:t xml:space="preserve">the  federal  government  </w:t>
      </w:r>
      <w:r w:rsidRPr="007A775B">
        <w:rPr>
          <w:rFonts w:ascii="ff2" w:eastAsia="Times New Roman" w:hAnsi="ff2" w:cs="Times New Roman"/>
          <w:sz w:val="119"/>
          <w:szCs w:val="119"/>
          <w:lang w:eastAsia="ko-KR"/>
        </w:rPr>
        <w:t xml:space="preserve">in </w:t>
      </w:r>
      <w:r w:rsidRPr="007A775B">
        <w:rPr>
          <w:rFonts w:ascii="ff2" w:eastAsia="Times New Roman" w:hAnsi="ff2" w:cs="Times New Roman"/>
          <w:spacing w:val="12"/>
          <w:sz w:val="119"/>
          <w:szCs w:val="119"/>
          <w:lang w:eastAsia="ko-KR"/>
        </w:rPr>
        <w:t xml:space="preserve">the </w:t>
      </w:r>
      <w:r w:rsidRPr="007A775B">
        <w:rPr>
          <w:rFonts w:ascii="ff2" w:eastAsia="Times New Roman" w:hAnsi="ff2" w:cs="Times New Roman"/>
          <w:spacing w:val="36"/>
          <w:sz w:val="119"/>
          <w:szCs w:val="119"/>
          <w:lang w:eastAsia="ko-KR"/>
        </w:rPr>
        <w:t xml:space="preserve">form </w:t>
      </w:r>
      <w:r w:rsidRPr="007A775B">
        <w:rPr>
          <w:rFonts w:ascii="ff2" w:eastAsia="Times New Roman" w:hAnsi="ff2" w:cs="Times New Roman"/>
          <w:sz w:val="119"/>
          <w:szCs w:val="119"/>
          <w:lang w:eastAsia="ko-KR"/>
        </w:rPr>
        <w:t xml:space="preserve">of </w:t>
      </w:r>
      <w:r w:rsidRPr="007A775B">
        <w:rPr>
          <w:rFonts w:ascii="ff2" w:eastAsia="Times New Roman" w:hAnsi="ff2" w:cs="Times New Roman"/>
          <w:spacing w:val="12"/>
          <w:sz w:val="119"/>
          <w:szCs w:val="119"/>
          <w:lang w:eastAsia="ko-KR"/>
        </w:rPr>
        <w:t xml:space="preserve">grants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r w:rsidRPr="007A775B">
        <w:rPr>
          <w:rFonts w:ascii="ff2" w:eastAsia="Times New Roman" w:hAnsi="ff2" w:cs="Times New Roman"/>
          <w:sz w:val="119"/>
          <w:szCs w:val="119"/>
          <w:lang w:eastAsia="ko-KR"/>
        </w:rPr>
        <w:t xml:space="preserve">and  </w:t>
      </w:r>
      <w:r w:rsidRPr="007A775B">
        <w:rPr>
          <w:rFonts w:ascii="ff2" w:eastAsia="Times New Roman" w:hAnsi="ff2" w:cs="Times New Roman"/>
          <w:spacing w:val="12"/>
          <w:sz w:val="119"/>
          <w:szCs w:val="119"/>
          <w:lang w:eastAsia="ko-KR"/>
        </w:rPr>
        <w:t xml:space="preserve">contracts,  and  substantial  amounts  of  this  federal  funding  were  used </w:t>
      </w:r>
    </w:p>
    <w:p w:rsidR="00F703ED" w:rsidRPr="007A775B" w:rsidRDefault="00F703ED" w:rsidP="00F703ED">
      <w:pPr>
        <w:shd w:val="clear" w:color="auto" w:fill="FFFFFF"/>
        <w:spacing w:after="0" w:line="0" w:lineRule="auto"/>
        <w:rPr>
          <w:rFonts w:ascii="ff6" w:eastAsia="Times New Roman" w:hAnsi="ff6" w:cs="Times New Roman"/>
          <w:spacing w:val="-87"/>
          <w:sz w:val="124"/>
          <w:szCs w:val="124"/>
          <w:lang w:eastAsia="ko-KR"/>
        </w:rPr>
      </w:pPr>
      <w:proofErr w:type="gramStart"/>
      <w:r w:rsidRPr="007A775B">
        <w:rPr>
          <w:rFonts w:ascii="ff6" w:eastAsia="Times New Roman" w:hAnsi="ff6" w:cs="Times New Roman"/>
          <w:spacing w:val="-87"/>
          <w:sz w:val="124"/>
          <w:szCs w:val="124"/>
          <w:lang w:eastAsia="ko-KR"/>
        </w:rPr>
        <w:t>for</w:t>
      </w:r>
      <w:proofErr w:type="gramEnd"/>
      <w:r w:rsidRPr="007A775B">
        <w:rPr>
          <w:rFonts w:ascii="ff6" w:eastAsia="Times New Roman" w:hAnsi="ff6" w:cs="Times New Roman"/>
          <w:spacing w:val="-87"/>
          <w:sz w:val="124"/>
          <w:szCs w:val="124"/>
          <w:lang w:eastAsia="ko-KR"/>
        </w:rPr>
        <w:t xml:space="preserve"> </w:t>
      </w:r>
    </w:p>
    <w:p w:rsidR="00F703ED" w:rsidRPr="007A775B" w:rsidRDefault="00F703ED" w:rsidP="00F703ED">
      <w:pPr>
        <w:shd w:val="clear" w:color="auto" w:fill="FFFFFF"/>
        <w:spacing w:after="0" w:line="0" w:lineRule="auto"/>
        <w:rPr>
          <w:rFonts w:ascii="ff6" w:eastAsia="Times New Roman" w:hAnsi="ff6" w:cs="Times New Roman"/>
          <w:spacing w:val="-12"/>
          <w:sz w:val="124"/>
          <w:szCs w:val="124"/>
          <w:lang w:eastAsia="ko-KR"/>
        </w:rPr>
      </w:pPr>
      <w:r w:rsidRPr="007A775B">
        <w:rPr>
          <w:rFonts w:ascii="ff6" w:eastAsia="Times New Roman" w:hAnsi="ff6" w:cs="Times New Roman"/>
          <w:spacing w:val="-12"/>
          <w:sz w:val="124"/>
          <w:szCs w:val="124"/>
          <w:lang w:eastAsia="ko-KR"/>
        </w:rPr>
        <w:t xml:space="preserve">The Role </w:t>
      </w:r>
    </w:p>
    <w:p w:rsidR="00F703ED" w:rsidRPr="007A775B" w:rsidRDefault="00F703ED" w:rsidP="00F703ED">
      <w:pPr>
        <w:shd w:val="clear" w:color="auto" w:fill="FFFFFF"/>
        <w:spacing w:after="0" w:line="0" w:lineRule="auto"/>
        <w:rPr>
          <w:rFonts w:ascii="ff6" w:eastAsia="Times New Roman" w:hAnsi="ff6" w:cs="Times New Roman"/>
          <w:spacing w:val="-75"/>
          <w:sz w:val="125"/>
          <w:szCs w:val="125"/>
          <w:lang w:eastAsia="ko-KR"/>
        </w:rPr>
      </w:pPr>
      <w:proofErr w:type="gramStart"/>
      <w:r w:rsidRPr="007A775B">
        <w:rPr>
          <w:rFonts w:ascii="ff6" w:eastAsia="Times New Roman" w:hAnsi="ff6" w:cs="Times New Roman"/>
          <w:spacing w:val="-75"/>
          <w:sz w:val="125"/>
          <w:szCs w:val="125"/>
          <w:lang w:eastAsia="ko-KR"/>
        </w:rPr>
        <w:t>of</w:t>
      </w:r>
      <w:proofErr w:type="gramEnd"/>
      <w:r w:rsidRPr="007A775B">
        <w:rPr>
          <w:rFonts w:ascii="ff6" w:eastAsia="Times New Roman" w:hAnsi="ff6" w:cs="Times New Roman"/>
          <w:spacing w:val="-75"/>
          <w:sz w:val="125"/>
          <w:szCs w:val="125"/>
          <w:lang w:eastAsia="ko-KR"/>
        </w:rPr>
        <w:t xml:space="preserve"> </w:t>
      </w:r>
    </w:p>
    <w:p w:rsidR="00F703ED" w:rsidRPr="007A775B" w:rsidRDefault="00F703ED" w:rsidP="00F703ED">
      <w:pPr>
        <w:shd w:val="clear" w:color="auto" w:fill="FFFFFF"/>
        <w:spacing w:after="0" w:line="0" w:lineRule="auto"/>
        <w:rPr>
          <w:rFonts w:ascii="ff6" w:eastAsia="Times New Roman" w:hAnsi="ff6" w:cs="Times New Roman"/>
          <w:spacing w:val="-12"/>
          <w:sz w:val="124"/>
          <w:szCs w:val="124"/>
          <w:lang w:eastAsia="ko-KR"/>
        </w:rPr>
      </w:pPr>
      <w:proofErr w:type="gramStart"/>
      <w:r w:rsidRPr="007A775B">
        <w:rPr>
          <w:rFonts w:ascii="ff6" w:eastAsia="Times New Roman" w:hAnsi="ff6" w:cs="Times New Roman"/>
          <w:spacing w:val="-12"/>
          <w:sz w:val="124"/>
          <w:szCs w:val="124"/>
          <w:lang w:eastAsia="ko-KR"/>
        </w:rPr>
        <w:t>the</w:t>
      </w:r>
      <w:proofErr w:type="gramEnd"/>
      <w:r w:rsidRPr="007A775B">
        <w:rPr>
          <w:rFonts w:ascii="ff6" w:eastAsia="Times New Roman" w:hAnsi="ff6" w:cs="Times New Roman"/>
          <w:spacing w:val="-12"/>
          <w:sz w:val="124"/>
          <w:szCs w:val="124"/>
          <w:lang w:eastAsia="ko-KR"/>
        </w:rPr>
        <w:t xml:space="preserve"> </w:t>
      </w:r>
      <w:r w:rsidRPr="007A775B">
        <w:rPr>
          <w:rFonts w:ascii="ff6" w:eastAsia="Times New Roman" w:hAnsi="ff6" w:cs="Times New Roman"/>
          <w:sz w:val="124"/>
          <w:szCs w:val="124"/>
          <w:lang w:eastAsia="ko-KR"/>
        </w:rPr>
        <w:t xml:space="preserve">State </w:t>
      </w:r>
      <w:r w:rsidRPr="007A775B">
        <w:rPr>
          <w:rFonts w:ascii="ff6" w:eastAsia="Times New Roman" w:hAnsi="ff6" w:cs="Times New Roman"/>
          <w:spacing w:val="-25"/>
          <w:sz w:val="124"/>
          <w:szCs w:val="124"/>
          <w:lang w:eastAsia="ko-KR"/>
        </w:rPr>
        <w:t xml:space="preserve">in  </w:t>
      </w:r>
      <w:r w:rsidRPr="007A775B">
        <w:rPr>
          <w:rFonts w:ascii="ff6" w:eastAsia="Times New Roman" w:hAnsi="ff6" w:cs="Times New Roman"/>
          <w:sz w:val="124"/>
          <w:szCs w:val="124"/>
          <w:lang w:eastAsia="ko-KR"/>
        </w:rPr>
        <w:t xml:space="preserve">Redefining </w:t>
      </w:r>
      <w:r w:rsidRPr="007A775B">
        <w:rPr>
          <w:rFonts w:ascii="ff6" w:eastAsia="Times New Roman" w:hAnsi="ff6" w:cs="Times New Roman"/>
          <w:spacing w:val="-12"/>
          <w:sz w:val="124"/>
          <w:szCs w:val="124"/>
          <w:lang w:eastAsia="ko-KR"/>
        </w:rPr>
        <w:t xml:space="preserve">Disability </w:t>
      </w:r>
    </w:p>
    <w:p w:rsidR="00F703ED" w:rsidRPr="007A775B" w:rsidRDefault="00F703ED" w:rsidP="00F703ED">
      <w:pPr>
        <w:shd w:val="clear" w:color="auto" w:fill="FFFFFF"/>
        <w:spacing w:after="0" w:line="0" w:lineRule="auto"/>
        <w:rPr>
          <w:rFonts w:ascii="ff2" w:eastAsia="Times New Roman" w:hAnsi="ff2" w:cs="Times New Roman"/>
          <w:spacing w:val="36"/>
          <w:sz w:val="119"/>
          <w:szCs w:val="119"/>
          <w:lang w:eastAsia="ko-KR"/>
        </w:rPr>
      </w:pPr>
      <w:r w:rsidRPr="007A775B">
        <w:rPr>
          <w:rFonts w:ascii="ff2" w:eastAsia="Times New Roman" w:hAnsi="ff2" w:cs="Times New Roman"/>
          <w:spacing w:val="36"/>
          <w:sz w:val="119"/>
          <w:szCs w:val="119"/>
          <w:lang w:eastAsia="ko-KR"/>
        </w:rPr>
        <w:t xml:space="preserve">The above </w:t>
      </w:r>
      <w:proofErr w:type="gramStart"/>
      <w:r w:rsidRPr="007A775B">
        <w:rPr>
          <w:rFonts w:ascii="ff2" w:eastAsia="Times New Roman" w:hAnsi="ff2" w:cs="Times New Roman"/>
          <w:spacing w:val="12"/>
          <w:sz w:val="119"/>
          <w:szCs w:val="119"/>
          <w:lang w:eastAsia="ko-KR"/>
        </w:rPr>
        <w:t xml:space="preserve">discussion  </w:t>
      </w:r>
      <w:r w:rsidRPr="007A775B">
        <w:rPr>
          <w:rFonts w:ascii="ff2" w:eastAsia="Times New Roman" w:hAnsi="ff2" w:cs="Times New Roman"/>
          <w:sz w:val="119"/>
          <w:szCs w:val="119"/>
          <w:lang w:eastAsia="ko-KR"/>
        </w:rPr>
        <w:t>of</w:t>
      </w:r>
      <w:proofErr w:type="gramEnd"/>
      <w:r w:rsidRPr="007A775B">
        <w:rPr>
          <w:rFonts w:ascii="ff2" w:eastAsia="Times New Roman" w:hAnsi="ff2" w:cs="Times New Roman"/>
          <w:sz w:val="119"/>
          <w:szCs w:val="119"/>
          <w:lang w:eastAsia="ko-KR"/>
        </w:rPr>
        <w:t xml:space="preserve">  </w:t>
      </w:r>
      <w:r w:rsidRPr="007A775B">
        <w:rPr>
          <w:rFonts w:ascii="ff2" w:eastAsia="Times New Roman" w:hAnsi="ff2" w:cs="Times New Roman"/>
          <w:spacing w:val="12"/>
          <w:sz w:val="119"/>
          <w:szCs w:val="119"/>
          <w:lang w:eastAsia="ko-KR"/>
        </w:rPr>
        <w:t xml:space="preserve">barriers  to  political  activism  </w:t>
      </w:r>
      <w:r w:rsidRPr="007A775B">
        <w:rPr>
          <w:rFonts w:ascii="ff2" w:eastAsia="Times New Roman" w:hAnsi="ff2" w:cs="Times New Roman"/>
          <w:spacing w:val="-12"/>
          <w:sz w:val="119"/>
          <w:szCs w:val="119"/>
          <w:lang w:eastAsia="ko-KR"/>
        </w:rPr>
        <w:t xml:space="preserve">by  </w:t>
      </w:r>
      <w:r w:rsidRPr="007A775B">
        <w:rPr>
          <w:rFonts w:ascii="ff2" w:eastAsia="Times New Roman" w:hAnsi="ff2" w:cs="Times New Roman"/>
          <w:spacing w:val="12"/>
          <w:sz w:val="119"/>
          <w:szCs w:val="119"/>
          <w:lang w:eastAsia="ko-KR"/>
        </w:rPr>
        <w:t xml:space="preserve">disabled  people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7A775B">
        <w:rPr>
          <w:rFonts w:ascii="ff2" w:eastAsia="Times New Roman" w:hAnsi="ff2" w:cs="Times New Roman"/>
          <w:sz w:val="119"/>
          <w:szCs w:val="119"/>
          <w:lang w:eastAsia="ko-KR"/>
        </w:rPr>
        <w:t>suggested</w:t>
      </w:r>
      <w:proofErr w:type="gramEnd"/>
      <w:r w:rsidRPr="007A775B">
        <w:rPr>
          <w:rFonts w:ascii="ff2" w:eastAsia="Times New Roman" w:hAnsi="ff2" w:cs="Times New Roman"/>
          <w:sz w:val="119"/>
          <w:szCs w:val="119"/>
          <w:lang w:eastAsia="ko-KR"/>
        </w:rPr>
        <w:t xml:space="preserve"> that </w:t>
      </w:r>
      <w:r w:rsidRPr="007A775B">
        <w:rPr>
          <w:rFonts w:ascii="ff2" w:eastAsia="Times New Roman" w:hAnsi="ff2" w:cs="Times New Roman"/>
          <w:spacing w:val="12"/>
          <w:sz w:val="119"/>
          <w:szCs w:val="119"/>
          <w:lang w:eastAsia="ko-KR"/>
        </w:rPr>
        <w:t xml:space="preserve">a prerequisite </w:t>
      </w:r>
      <w:r w:rsidRPr="007A775B">
        <w:rPr>
          <w:rFonts w:ascii="ff2" w:eastAsia="Times New Roman" w:hAnsi="ff2" w:cs="Times New Roman"/>
          <w:spacing w:val="48"/>
          <w:sz w:val="119"/>
          <w:szCs w:val="119"/>
          <w:lang w:eastAsia="ko-KR"/>
        </w:rPr>
        <w:t xml:space="preserve">to </w:t>
      </w:r>
      <w:r w:rsidRPr="007A775B">
        <w:rPr>
          <w:rFonts w:ascii="ff2" w:eastAsia="Times New Roman" w:hAnsi="ff2" w:cs="Times New Roman"/>
          <w:spacing w:val="36"/>
          <w:sz w:val="119"/>
          <w:szCs w:val="119"/>
          <w:lang w:eastAsia="ko-KR"/>
        </w:rPr>
        <w:t xml:space="preserve">such </w:t>
      </w:r>
      <w:r w:rsidRPr="007A775B">
        <w:rPr>
          <w:rFonts w:ascii="ff2" w:eastAsia="Times New Roman" w:hAnsi="ff2" w:cs="Times New Roman"/>
          <w:spacing w:val="12"/>
          <w:sz w:val="119"/>
          <w:szCs w:val="119"/>
          <w:lang w:eastAsia="ko-KR"/>
        </w:rPr>
        <w:t xml:space="preserve">activism </w:t>
      </w:r>
      <w:r w:rsidRPr="007A775B">
        <w:rPr>
          <w:rFonts w:ascii="ff2" w:eastAsia="Times New Roman" w:hAnsi="ff2" w:cs="Times New Roman"/>
          <w:sz w:val="119"/>
          <w:szCs w:val="119"/>
          <w:lang w:eastAsia="ko-KR"/>
        </w:rPr>
        <w:t xml:space="preserve">was </w:t>
      </w:r>
      <w:r w:rsidRPr="007A775B">
        <w:rPr>
          <w:rFonts w:ascii="ff2" w:eastAsia="Times New Roman" w:hAnsi="ff2" w:cs="Times New Roman"/>
          <w:spacing w:val="12"/>
          <w:sz w:val="119"/>
          <w:szCs w:val="119"/>
          <w:lang w:eastAsia="ko-KR"/>
        </w:rPr>
        <w:t xml:space="preserve">a redefinition </w:t>
      </w:r>
      <w:r w:rsidRPr="007A775B">
        <w:rPr>
          <w:rFonts w:ascii="ff2" w:eastAsia="Times New Roman" w:hAnsi="ff2" w:cs="Times New Roman"/>
          <w:sz w:val="119"/>
          <w:szCs w:val="119"/>
          <w:lang w:eastAsia="ko-KR"/>
        </w:rPr>
        <w:t xml:space="preserve">of </w:t>
      </w:r>
      <w:r w:rsidRPr="007A775B">
        <w:rPr>
          <w:rFonts w:ascii="ff2" w:eastAsia="Times New Roman" w:hAnsi="ff2" w:cs="Times New Roman"/>
          <w:spacing w:val="12"/>
          <w:sz w:val="119"/>
          <w:szCs w:val="119"/>
          <w:lang w:eastAsia="ko-KR"/>
        </w:rPr>
        <w:t xml:space="preserve">disabilities </w:t>
      </w:r>
      <w:r w:rsidRPr="007A775B">
        <w:rPr>
          <w:rFonts w:ascii="ff2" w:eastAsia="Times New Roman" w:hAnsi="ff2" w:cs="Times New Roman"/>
          <w:spacing w:val="48"/>
          <w:sz w:val="119"/>
          <w:szCs w:val="119"/>
          <w:lang w:eastAsia="ko-KR"/>
        </w:rPr>
        <w:t xml:space="preserve">as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7A775B">
        <w:rPr>
          <w:rFonts w:ascii="ff2" w:eastAsia="Times New Roman" w:hAnsi="ff2" w:cs="Times New Roman"/>
          <w:sz w:val="119"/>
          <w:szCs w:val="119"/>
          <w:lang w:eastAsia="ko-KR"/>
        </w:rPr>
        <w:t xml:space="preserve">impairments  </w:t>
      </w:r>
      <w:r w:rsidRPr="007A775B">
        <w:rPr>
          <w:rFonts w:ascii="ff2" w:eastAsia="Times New Roman" w:hAnsi="ff2" w:cs="Times New Roman"/>
          <w:spacing w:val="12"/>
          <w:sz w:val="119"/>
          <w:szCs w:val="119"/>
          <w:lang w:eastAsia="ko-KR"/>
        </w:rPr>
        <w:t>that</w:t>
      </w:r>
      <w:proofErr w:type="gramEnd"/>
      <w:r w:rsidRPr="007A775B">
        <w:rPr>
          <w:rFonts w:ascii="ff2" w:eastAsia="Times New Roman" w:hAnsi="ff2" w:cs="Times New Roman"/>
          <w:spacing w:val="12"/>
          <w:sz w:val="119"/>
          <w:szCs w:val="119"/>
          <w:lang w:eastAsia="ko-KR"/>
        </w:rPr>
        <w:t xml:space="preserve"> are limiting  only </w:t>
      </w:r>
      <w:r w:rsidRPr="007A775B">
        <w:rPr>
          <w:rFonts w:ascii="ff2" w:eastAsia="Times New Roman" w:hAnsi="ff2" w:cs="Times New Roman"/>
          <w:spacing w:val="48"/>
          <w:sz w:val="119"/>
          <w:szCs w:val="119"/>
          <w:lang w:eastAsia="ko-KR"/>
        </w:rPr>
        <w:t xml:space="preserve">to </w:t>
      </w:r>
      <w:r w:rsidRPr="007A775B">
        <w:rPr>
          <w:rFonts w:ascii="ff2" w:eastAsia="Times New Roman" w:hAnsi="ff2" w:cs="Times New Roman"/>
          <w:spacing w:val="12"/>
          <w:sz w:val="119"/>
          <w:szCs w:val="119"/>
          <w:lang w:eastAsia="ko-KR"/>
        </w:rPr>
        <w:t xml:space="preserve">the </w:t>
      </w:r>
      <w:r w:rsidRPr="007A775B">
        <w:rPr>
          <w:rFonts w:ascii="ff2" w:eastAsia="Times New Roman" w:hAnsi="ff2" w:cs="Times New Roman"/>
          <w:spacing w:val="36"/>
          <w:sz w:val="119"/>
          <w:szCs w:val="119"/>
          <w:lang w:eastAsia="ko-KR"/>
        </w:rPr>
        <w:t xml:space="preserve">extent </w:t>
      </w:r>
      <w:r w:rsidRPr="007A775B">
        <w:rPr>
          <w:rFonts w:ascii="ff2" w:eastAsia="Times New Roman" w:hAnsi="ff2" w:cs="Times New Roman"/>
          <w:spacing w:val="12"/>
          <w:sz w:val="119"/>
          <w:szCs w:val="119"/>
          <w:lang w:eastAsia="ko-KR"/>
        </w:rPr>
        <w:t xml:space="preserve">that constraints  are imposed </w:t>
      </w:r>
      <w:r w:rsidRPr="007A775B">
        <w:rPr>
          <w:rFonts w:ascii="ff2" w:eastAsia="Times New Roman" w:hAnsi="ff2" w:cs="Times New Roman"/>
          <w:sz w:val="119"/>
          <w:szCs w:val="119"/>
          <w:lang w:eastAsia="ko-KR"/>
        </w:rPr>
        <w:t xml:space="preserve">by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7A775B">
        <w:rPr>
          <w:rFonts w:ascii="ff2" w:eastAsia="Times New Roman" w:hAnsi="ff2" w:cs="Times New Roman"/>
          <w:sz w:val="119"/>
          <w:szCs w:val="119"/>
          <w:lang w:eastAsia="ko-KR"/>
        </w:rPr>
        <w:t>the</w:t>
      </w:r>
      <w:proofErr w:type="gramEnd"/>
      <w:r w:rsidRPr="007A775B">
        <w:rPr>
          <w:rFonts w:ascii="ff2" w:eastAsia="Times New Roman" w:hAnsi="ff2" w:cs="Times New Roman"/>
          <w:sz w:val="119"/>
          <w:szCs w:val="119"/>
          <w:lang w:eastAsia="ko-KR"/>
        </w:rPr>
        <w:t xml:space="preserve"> physical  </w:t>
      </w:r>
      <w:r w:rsidRPr="007A775B">
        <w:rPr>
          <w:rFonts w:ascii="ff2" w:eastAsia="Times New Roman" w:hAnsi="ff2" w:cs="Times New Roman"/>
          <w:spacing w:val="12"/>
          <w:sz w:val="119"/>
          <w:szCs w:val="119"/>
          <w:lang w:eastAsia="ko-KR"/>
        </w:rPr>
        <w:t xml:space="preserve">and social </w:t>
      </w:r>
      <w:r w:rsidRPr="007A775B">
        <w:rPr>
          <w:rFonts w:ascii="ff2" w:eastAsia="Times New Roman" w:hAnsi="ff2" w:cs="Times New Roman"/>
          <w:spacing w:val="36"/>
          <w:sz w:val="119"/>
          <w:szCs w:val="119"/>
          <w:lang w:eastAsia="ko-KR"/>
        </w:rPr>
        <w:t xml:space="preserve">environment. </w:t>
      </w:r>
      <w:r w:rsidRPr="007A775B">
        <w:rPr>
          <w:rFonts w:ascii="ff2" w:eastAsia="Times New Roman" w:hAnsi="ff2" w:cs="Times New Roman"/>
          <w:spacing w:val="48"/>
          <w:sz w:val="119"/>
          <w:szCs w:val="119"/>
          <w:lang w:eastAsia="ko-KR"/>
        </w:rPr>
        <w:t xml:space="preserve">The </w:t>
      </w:r>
      <w:proofErr w:type="gramStart"/>
      <w:r w:rsidRPr="007A775B">
        <w:rPr>
          <w:rFonts w:ascii="ff2" w:eastAsia="Times New Roman" w:hAnsi="ff2" w:cs="Times New Roman"/>
          <w:spacing w:val="12"/>
          <w:sz w:val="119"/>
          <w:szCs w:val="119"/>
          <w:lang w:eastAsia="ko-KR"/>
        </w:rPr>
        <w:t>activists  who</w:t>
      </w:r>
      <w:proofErr w:type="gramEnd"/>
      <w:r w:rsidRPr="007A775B">
        <w:rPr>
          <w:rFonts w:ascii="ff2" w:eastAsia="Times New Roman" w:hAnsi="ff2" w:cs="Times New Roman"/>
          <w:spacing w:val="12"/>
          <w:sz w:val="119"/>
          <w:szCs w:val="119"/>
          <w:lang w:eastAsia="ko-KR"/>
        </w:rPr>
        <w:t xml:space="preserve"> created the  various  </w:t>
      </w:r>
      <w:r w:rsidRPr="007A775B">
        <w:rPr>
          <w:rFonts w:ascii="ff2" w:eastAsia="Times New Roman" w:hAnsi="ff2" w:cs="Times New Roman"/>
          <w:spacing w:val="36"/>
          <w:sz w:val="119"/>
          <w:szCs w:val="119"/>
          <w:lang w:eastAsia="ko-KR"/>
        </w:rPr>
        <w:t xml:space="preserve">dis-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r w:rsidRPr="007A775B">
        <w:rPr>
          <w:rFonts w:ascii="ff2" w:eastAsia="Times New Roman" w:hAnsi="ff2" w:cs="Times New Roman"/>
          <w:sz w:val="119"/>
          <w:szCs w:val="119"/>
          <w:lang w:eastAsia="ko-KR"/>
        </w:rPr>
        <w:t xml:space="preserve">ability  rights  </w:t>
      </w:r>
      <w:r w:rsidRPr="007A775B">
        <w:rPr>
          <w:rFonts w:ascii="ff2" w:eastAsia="Times New Roman" w:hAnsi="ff2" w:cs="Times New Roman"/>
          <w:spacing w:val="12"/>
          <w:sz w:val="119"/>
          <w:szCs w:val="119"/>
          <w:lang w:eastAsia="ko-KR"/>
        </w:rPr>
        <w:t xml:space="preserve">organizations  redefined  disability  </w:t>
      </w:r>
      <w:r w:rsidRPr="007A775B">
        <w:rPr>
          <w:rFonts w:ascii="ff2" w:eastAsia="Times New Roman" w:hAnsi="ff2" w:cs="Times New Roman"/>
          <w:sz w:val="119"/>
          <w:szCs w:val="119"/>
          <w:lang w:eastAsia="ko-KR"/>
        </w:rPr>
        <w:t xml:space="preserve">in  </w:t>
      </w:r>
      <w:r w:rsidRPr="007A775B">
        <w:rPr>
          <w:rFonts w:ascii="ff2" w:eastAsia="Times New Roman" w:hAnsi="ff2" w:cs="Times New Roman"/>
          <w:spacing w:val="12"/>
          <w:sz w:val="119"/>
          <w:szCs w:val="119"/>
          <w:lang w:eastAsia="ko-KR"/>
        </w:rPr>
        <w:t xml:space="preserve">this  way  and  sought  </w:t>
      </w:r>
      <w:r w:rsidRPr="007A775B">
        <w:rPr>
          <w:rFonts w:ascii="ff2" w:eastAsia="Times New Roman" w:hAnsi="ff2" w:cs="Times New Roman"/>
          <w:spacing w:val="48"/>
          <w:sz w:val="119"/>
          <w:szCs w:val="119"/>
          <w:lang w:eastAsia="ko-KR"/>
        </w:rPr>
        <w:t xml:space="preserve">to </w:t>
      </w:r>
      <w:r w:rsidRPr="007A775B">
        <w:rPr>
          <w:rFonts w:ascii="ff2" w:eastAsia="Times New Roman" w:hAnsi="ff2" w:cs="Times New Roman"/>
          <w:spacing w:val="12"/>
          <w:sz w:val="119"/>
          <w:szCs w:val="119"/>
          <w:lang w:eastAsia="ko-KR"/>
        </w:rPr>
        <w:t xml:space="preserve">have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7A775B">
        <w:rPr>
          <w:rFonts w:ascii="ff2" w:eastAsia="Times New Roman" w:hAnsi="ff2" w:cs="Times New Roman"/>
          <w:sz w:val="119"/>
          <w:szCs w:val="119"/>
          <w:lang w:eastAsia="ko-KR"/>
        </w:rPr>
        <w:t>this</w:t>
      </w:r>
      <w:proofErr w:type="gramEnd"/>
      <w:r w:rsidRPr="007A775B">
        <w:rPr>
          <w:rFonts w:ascii="ff2" w:eastAsia="Times New Roman" w:hAnsi="ff2" w:cs="Times New Roman"/>
          <w:sz w:val="119"/>
          <w:szCs w:val="119"/>
          <w:lang w:eastAsia="ko-KR"/>
        </w:rPr>
        <w:t xml:space="preserve"> redefinition  </w:t>
      </w:r>
      <w:r w:rsidRPr="007A775B">
        <w:rPr>
          <w:rFonts w:ascii="ff2" w:eastAsia="Times New Roman" w:hAnsi="ff2" w:cs="Times New Roman"/>
          <w:spacing w:val="12"/>
          <w:sz w:val="119"/>
          <w:szCs w:val="119"/>
          <w:lang w:eastAsia="ko-KR"/>
        </w:rPr>
        <w:t xml:space="preserve">institutionalized and accepted </w:t>
      </w:r>
      <w:r w:rsidRPr="007A775B">
        <w:rPr>
          <w:rFonts w:ascii="ff2" w:eastAsia="Times New Roman" w:hAnsi="ff2" w:cs="Times New Roman"/>
          <w:spacing w:val="-12"/>
          <w:sz w:val="119"/>
          <w:szCs w:val="119"/>
          <w:lang w:eastAsia="ko-KR"/>
        </w:rPr>
        <w:t xml:space="preserve">in </w:t>
      </w:r>
      <w:r w:rsidRPr="007A775B">
        <w:rPr>
          <w:rFonts w:ascii="ff2" w:eastAsia="Times New Roman" w:hAnsi="ff2" w:cs="Times New Roman"/>
          <w:spacing w:val="12"/>
          <w:sz w:val="119"/>
          <w:szCs w:val="119"/>
          <w:lang w:eastAsia="ko-KR"/>
        </w:rPr>
        <w:t xml:space="preserve">public policy </w:t>
      </w:r>
      <w:r w:rsidRPr="007A775B">
        <w:rPr>
          <w:rFonts w:ascii="ff2" w:eastAsia="Times New Roman" w:hAnsi="ff2" w:cs="Times New Roman"/>
          <w:sz w:val="119"/>
          <w:szCs w:val="119"/>
          <w:lang w:eastAsia="ko-KR"/>
        </w:rPr>
        <w:t xml:space="preserve">and by </w:t>
      </w:r>
      <w:r w:rsidRPr="007A775B">
        <w:rPr>
          <w:rFonts w:ascii="ff2" w:eastAsia="Times New Roman" w:hAnsi="ff2" w:cs="Times New Roman"/>
          <w:spacing w:val="36"/>
          <w:sz w:val="119"/>
          <w:szCs w:val="119"/>
          <w:lang w:eastAsia="ko-KR"/>
        </w:rPr>
        <w:t xml:space="preserve">the </w:t>
      </w:r>
      <w:r w:rsidRPr="007A775B">
        <w:rPr>
          <w:rFonts w:ascii="ff2" w:eastAsia="Times New Roman" w:hAnsi="ff2" w:cs="Times New Roman"/>
          <w:spacing w:val="12"/>
          <w:sz w:val="119"/>
          <w:szCs w:val="119"/>
          <w:lang w:eastAsia="ko-KR"/>
        </w:rPr>
        <w:t xml:space="preserve">general </w:t>
      </w:r>
    </w:p>
    <w:p w:rsidR="00F703ED" w:rsidRPr="007A775B"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7A775B">
        <w:rPr>
          <w:rFonts w:ascii="ff2" w:eastAsia="Times New Roman" w:hAnsi="ff2" w:cs="Times New Roman"/>
          <w:spacing w:val="12"/>
          <w:sz w:val="119"/>
          <w:szCs w:val="119"/>
          <w:lang w:eastAsia="ko-KR"/>
        </w:rPr>
        <w:t>public</w:t>
      </w:r>
      <w:proofErr w:type="gramEnd"/>
      <w:r w:rsidRPr="007A775B">
        <w:rPr>
          <w:rFonts w:ascii="ff2" w:eastAsia="Times New Roman" w:hAnsi="ff2" w:cs="Times New Roman"/>
          <w:spacing w:val="12"/>
          <w:sz w:val="119"/>
          <w:szCs w:val="119"/>
          <w:lang w:eastAsia="ko-KR"/>
        </w:rPr>
        <w:t xml:space="preserve">. </w:t>
      </w:r>
    </w:p>
    <w:p w:rsidR="00F703ED" w:rsidRPr="007A775B" w:rsidRDefault="00F703ED" w:rsidP="00F703ED">
      <w:pPr>
        <w:shd w:val="clear" w:color="auto" w:fill="FFFFFF"/>
        <w:spacing w:after="0" w:line="0" w:lineRule="auto"/>
        <w:rPr>
          <w:rFonts w:ascii="ff2" w:eastAsia="Times New Roman" w:hAnsi="ff2" w:cs="Times New Roman"/>
          <w:spacing w:val="12"/>
          <w:sz w:val="119"/>
          <w:szCs w:val="119"/>
          <w:lang w:eastAsia="ko-KR"/>
        </w:rPr>
      </w:pPr>
      <w:r w:rsidRPr="007A775B">
        <w:rPr>
          <w:rFonts w:ascii="ff2" w:eastAsia="Times New Roman" w:hAnsi="ff2" w:cs="Times New Roman"/>
          <w:spacing w:val="12"/>
          <w:sz w:val="119"/>
          <w:szCs w:val="119"/>
          <w:lang w:eastAsia="ko-KR"/>
        </w:rPr>
        <w:t xml:space="preserve">However,  the  political  and  financial  resources  </w:t>
      </w:r>
      <w:r w:rsidRPr="007A775B">
        <w:rPr>
          <w:rFonts w:ascii="ff2" w:eastAsia="Times New Roman" w:hAnsi="ff2" w:cs="Times New Roman"/>
          <w:sz w:val="119"/>
          <w:szCs w:val="119"/>
          <w:lang w:eastAsia="ko-KR"/>
        </w:rPr>
        <w:t xml:space="preserve">of  </w:t>
      </w:r>
      <w:r w:rsidRPr="007A775B">
        <w:rPr>
          <w:rFonts w:ascii="ff2" w:eastAsia="Times New Roman" w:hAnsi="ff2" w:cs="Times New Roman"/>
          <w:spacing w:val="12"/>
          <w:sz w:val="119"/>
          <w:szCs w:val="119"/>
          <w:lang w:eastAsia="ko-KR"/>
        </w:rPr>
        <w:t xml:space="preserve">most  </w:t>
      </w:r>
      <w:r w:rsidRPr="007A775B">
        <w:rPr>
          <w:rFonts w:ascii="ff2" w:eastAsia="Times New Roman" w:hAnsi="ff2" w:cs="Times New Roman"/>
          <w:sz w:val="119"/>
          <w:szCs w:val="119"/>
          <w:lang w:eastAsia="ko-KR"/>
        </w:rPr>
        <w:t xml:space="preserve">of  the  </w:t>
      </w:r>
      <w:r w:rsidRPr="007A775B">
        <w:rPr>
          <w:rFonts w:ascii="ff2" w:eastAsia="Times New Roman" w:hAnsi="ff2" w:cs="Times New Roman"/>
          <w:spacing w:val="12"/>
          <w:sz w:val="119"/>
          <w:szCs w:val="119"/>
          <w:lang w:eastAsia="ko-KR"/>
        </w:rPr>
        <w:t xml:space="preserve">disability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7A775B">
        <w:rPr>
          <w:rFonts w:ascii="ff2" w:eastAsia="Times New Roman" w:hAnsi="ff2" w:cs="Times New Roman"/>
          <w:sz w:val="119"/>
          <w:szCs w:val="119"/>
          <w:lang w:eastAsia="ko-KR"/>
        </w:rPr>
        <w:t>rights</w:t>
      </w:r>
      <w:proofErr w:type="gramEnd"/>
      <w:r w:rsidRPr="007A775B">
        <w:rPr>
          <w:rFonts w:ascii="ff2" w:eastAsia="Times New Roman" w:hAnsi="ff2" w:cs="Times New Roman"/>
          <w:sz w:val="119"/>
          <w:szCs w:val="119"/>
          <w:lang w:eastAsia="ko-KR"/>
        </w:rPr>
        <w:t xml:space="preserve"> </w:t>
      </w:r>
      <w:r w:rsidRPr="007A775B">
        <w:rPr>
          <w:rFonts w:ascii="ff2" w:eastAsia="Times New Roman" w:hAnsi="ff2" w:cs="Times New Roman"/>
          <w:spacing w:val="12"/>
          <w:sz w:val="119"/>
          <w:szCs w:val="119"/>
          <w:lang w:eastAsia="ko-KR"/>
        </w:rPr>
        <w:t xml:space="preserve">organizations were extremely  limited. A major proportion </w:t>
      </w:r>
    </w:p>
    <w:p w:rsidR="00F703ED" w:rsidRPr="007A775B" w:rsidRDefault="00F703ED" w:rsidP="00F703ED">
      <w:pPr>
        <w:shd w:val="clear" w:color="auto" w:fill="FFFFFF"/>
        <w:spacing w:after="0" w:line="0" w:lineRule="auto"/>
        <w:rPr>
          <w:rFonts w:ascii="ff2" w:eastAsia="Times New Roman" w:hAnsi="ff2" w:cs="Times New Roman"/>
          <w:spacing w:val="-73"/>
          <w:sz w:val="121"/>
          <w:szCs w:val="121"/>
          <w:lang w:eastAsia="ko-KR"/>
        </w:rPr>
      </w:pPr>
      <w:proofErr w:type="gramStart"/>
      <w:r w:rsidRPr="007A775B">
        <w:rPr>
          <w:rFonts w:ascii="ff2" w:eastAsia="Times New Roman" w:hAnsi="ff2" w:cs="Times New Roman"/>
          <w:spacing w:val="-73"/>
          <w:sz w:val="121"/>
          <w:szCs w:val="121"/>
          <w:lang w:eastAsia="ko-KR"/>
        </w:rPr>
        <w:t>of</w:t>
      </w:r>
      <w:proofErr w:type="gramEnd"/>
      <w:r w:rsidRPr="007A775B">
        <w:rPr>
          <w:rFonts w:ascii="ff2" w:eastAsia="Times New Roman" w:hAnsi="ff2" w:cs="Times New Roman"/>
          <w:spacing w:val="-73"/>
          <w:sz w:val="121"/>
          <w:szCs w:val="121"/>
          <w:lang w:eastAsia="ko-KR"/>
        </w:rPr>
        <w:t xml:space="preserve"> </w:t>
      </w:r>
    </w:p>
    <w:p w:rsidR="00F703ED" w:rsidRPr="007A775B"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7A775B">
        <w:rPr>
          <w:rFonts w:ascii="ff2" w:eastAsia="Times New Roman" w:hAnsi="ff2" w:cs="Times New Roman"/>
          <w:spacing w:val="12"/>
          <w:sz w:val="119"/>
          <w:szCs w:val="119"/>
          <w:lang w:eastAsia="ko-KR"/>
        </w:rPr>
        <w:t>their</w:t>
      </w:r>
      <w:proofErr w:type="gramEnd"/>
      <w:r w:rsidRPr="007A775B">
        <w:rPr>
          <w:rFonts w:ascii="ff2" w:eastAsia="Times New Roman" w:hAnsi="ff2" w:cs="Times New Roman"/>
          <w:spacing w:val="12"/>
          <w:sz w:val="119"/>
          <w:szCs w:val="119"/>
          <w:lang w:eastAsia="ko-KR"/>
        </w:rPr>
        <w:t xml:space="preserve"> budgets </w:t>
      </w:r>
    </w:p>
    <w:p w:rsidR="00F703ED" w:rsidRPr="007A775B"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7A775B">
        <w:rPr>
          <w:rFonts w:ascii="ff2" w:eastAsia="Times New Roman" w:hAnsi="ff2" w:cs="Times New Roman"/>
          <w:spacing w:val="-12"/>
          <w:sz w:val="119"/>
          <w:szCs w:val="119"/>
          <w:lang w:eastAsia="ko-KR"/>
        </w:rPr>
        <w:t>in</w:t>
      </w:r>
      <w:proofErr w:type="gramEnd"/>
      <w:r w:rsidRPr="007A775B">
        <w:rPr>
          <w:rFonts w:ascii="ff2" w:eastAsia="Times New Roman" w:hAnsi="ff2" w:cs="Times New Roman"/>
          <w:spacing w:val="-12"/>
          <w:sz w:val="119"/>
          <w:szCs w:val="119"/>
          <w:lang w:eastAsia="ko-KR"/>
        </w:rPr>
        <w:t xml:space="preserve"> </w:t>
      </w:r>
      <w:r w:rsidRPr="007A775B">
        <w:rPr>
          <w:rFonts w:ascii="ff2" w:eastAsia="Times New Roman" w:hAnsi="ff2" w:cs="Times New Roman"/>
          <w:sz w:val="119"/>
          <w:szCs w:val="119"/>
          <w:lang w:eastAsia="ko-KR"/>
        </w:rPr>
        <w:t xml:space="preserve">the  </w:t>
      </w:r>
      <w:r w:rsidRPr="007A775B">
        <w:rPr>
          <w:rFonts w:ascii="ff2" w:eastAsia="Times New Roman" w:hAnsi="ff2" w:cs="Times New Roman"/>
          <w:spacing w:val="12"/>
          <w:sz w:val="119"/>
          <w:szCs w:val="119"/>
          <w:lang w:eastAsia="ko-KR"/>
        </w:rPr>
        <w:t xml:space="preserve">late </w:t>
      </w:r>
    </w:p>
    <w:p w:rsidR="00F703ED" w:rsidRPr="007A775B" w:rsidRDefault="00F703ED" w:rsidP="00F703ED">
      <w:pPr>
        <w:shd w:val="clear" w:color="auto" w:fill="FFFFFF"/>
        <w:spacing w:after="0" w:line="0" w:lineRule="auto"/>
        <w:rPr>
          <w:rFonts w:ascii="ff2" w:eastAsia="Times New Roman" w:hAnsi="ff2" w:cs="Times New Roman"/>
          <w:spacing w:val="-12"/>
          <w:sz w:val="121"/>
          <w:szCs w:val="121"/>
          <w:lang w:eastAsia="ko-KR"/>
        </w:rPr>
      </w:pPr>
      <w:r w:rsidRPr="007A775B">
        <w:rPr>
          <w:rFonts w:ascii="ff2" w:eastAsia="Times New Roman" w:hAnsi="ff2" w:cs="Times New Roman"/>
          <w:spacing w:val="-12"/>
          <w:sz w:val="121"/>
          <w:szCs w:val="121"/>
          <w:lang w:eastAsia="ko-KR"/>
        </w:rPr>
        <w:t xml:space="preserve">1970s </w:t>
      </w:r>
    </w:p>
    <w:p w:rsidR="00F703ED" w:rsidRPr="007A775B"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7A775B">
        <w:rPr>
          <w:rFonts w:ascii="ff2" w:eastAsia="Times New Roman" w:hAnsi="ff2" w:cs="Times New Roman"/>
          <w:spacing w:val="12"/>
          <w:sz w:val="119"/>
          <w:szCs w:val="119"/>
          <w:lang w:eastAsia="ko-KR"/>
        </w:rPr>
        <w:t>was</w:t>
      </w:r>
      <w:proofErr w:type="gramEnd"/>
      <w:r w:rsidRPr="007A775B">
        <w:rPr>
          <w:rFonts w:ascii="ff2" w:eastAsia="Times New Roman" w:hAnsi="ff2" w:cs="Times New Roman"/>
          <w:spacing w:val="12"/>
          <w:sz w:val="119"/>
          <w:szCs w:val="119"/>
          <w:lang w:eastAsia="ko-KR"/>
        </w:rPr>
        <w:t xml:space="preserve"> provided  </w:t>
      </w:r>
      <w:r w:rsidRPr="007A775B">
        <w:rPr>
          <w:rFonts w:ascii="ff2" w:eastAsia="Times New Roman" w:hAnsi="ff2" w:cs="Times New Roman"/>
          <w:sz w:val="119"/>
          <w:szCs w:val="119"/>
          <w:lang w:eastAsia="ko-KR"/>
        </w:rPr>
        <w:t xml:space="preserve">by  </w:t>
      </w:r>
      <w:r w:rsidRPr="007A775B">
        <w:rPr>
          <w:rFonts w:ascii="ff2" w:eastAsia="Times New Roman" w:hAnsi="ff2" w:cs="Times New Roman"/>
          <w:spacing w:val="12"/>
          <w:sz w:val="119"/>
          <w:szCs w:val="119"/>
          <w:lang w:eastAsia="ko-KR"/>
        </w:rPr>
        <w:t xml:space="preserve">the  federal  government  </w:t>
      </w:r>
      <w:r w:rsidRPr="007A775B">
        <w:rPr>
          <w:rFonts w:ascii="ff2" w:eastAsia="Times New Roman" w:hAnsi="ff2" w:cs="Times New Roman"/>
          <w:sz w:val="119"/>
          <w:szCs w:val="119"/>
          <w:lang w:eastAsia="ko-KR"/>
        </w:rPr>
        <w:t xml:space="preserve">in </w:t>
      </w:r>
      <w:r w:rsidRPr="007A775B">
        <w:rPr>
          <w:rFonts w:ascii="ff2" w:eastAsia="Times New Roman" w:hAnsi="ff2" w:cs="Times New Roman"/>
          <w:spacing w:val="12"/>
          <w:sz w:val="119"/>
          <w:szCs w:val="119"/>
          <w:lang w:eastAsia="ko-KR"/>
        </w:rPr>
        <w:t xml:space="preserve">the </w:t>
      </w:r>
      <w:r w:rsidRPr="007A775B">
        <w:rPr>
          <w:rFonts w:ascii="ff2" w:eastAsia="Times New Roman" w:hAnsi="ff2" w:cs="Times New Roman"/>
          <w:spacing w:val="36"/>
          <w:sz w:val="119"/>
          <w:szCs w:val="119"/>
          <w:lang w:eastAsia="ko-KR"/>
        </w:rPr>
        <w:t xml:space="preserve">form </w:t>
      </w:r>
      <w:r w:rsidRPr="007A775B">
        <w:rPr>
          <w:rFonts w:ascii="ff2" w:eastAsia="Times New Roman" w:hAnsi="ff2" w:cs="Times New Roman"/>
          <w:sz w:val="119"/>
          <w:szCs w:val="119"/>
          <w:lang w:eastAsia="ko-KR"/>
        </w:rPr>
        <w:t xml:space="preserve">of </w:t>
      </w:r>
      <w:r w:rsidRPr="007A775B">
        <w:rPr>
          <w:rFonts w:ascii="ff2" w:eastAsia="Times New Roman" w:hAnsi="ff2" w:cs="Times New Roman"/>
          <w:spacing w:val="12"/>
          <w:sz w:val="119"/>
          <w:szCs w:val="119"/>
          <w:lang w:eastAsia="ko-KR"/>
        </w:rPr>
        <w:t xml:space="preserve">grants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r w:rsidRPr="007A775B">
        <w:rPr>
          <w:rFonts w:ascii="ff2" w:eastAsia="Times New Roman" w:hAnsi="ff2" w:cs="Times New Roman"/>
          <w:sz w:val="119"/>
          <w:szCs w:val="119"/>
          <w:lang w:eastAsia="ko-KR"/>
        </w:rPr>
        <w:t xml:space="preserve">and  </w:t>
      </w:r>
      <w:r w:rsidRPr="007A775B">
        <w:rPr>
          <w:rFonts w:ascii="ff2" w:eastAsia="Times New Roman" w:hAnsi="ff2" w:cs="Times New Roman"/>
          <w:spacing w:val="12"/>
          <w:sz w:val="119"/>
          <w:szCs w:val="119"/>
          <w:lang w:eastAsia="ko-KR"/>
        </w:rPr>
        <w:t xml:space="preserve">contracts,  and  substantial  amounts  of  this  federal  funding  were  used </w:t>
      </w:r>
    </w:p>
    <w:p w:rsidR="00F703ED" w:rsidRPr="007A775B" w:rsidRDefault="00F703ED" w:rsidP="00F703ED">
      <w:pPr>
        <w:shd w:val="clear" w:color="auto" w:fill="FFFFFF"/>
        <w:spacing w:after="0" w:line="0" w:lineRule="auto"/>
        <w:rPr>
          <w:rFonts w:ascii="ff6" w:eastAsia="Times New Roman" w:hAnsi="ff6" w:cs="Times New Roman"/>
          <w:spacing w:val="-87"/>
          <w:sz w:val="124"/>
          <w:szCs w:val="124"/>
          <w:lang w:eastAsia="ko-KR"/>
        </w:rPr>
      </w:pPr>
      <w:proofErr w:type="gramStart"/>
      <w:r w:rsidRPr="007A775B">
        <w:rPr>
          <w:rFonts w:ascii="ff6" w:eastAsia="Times New Roman" w:hAnsi="ff6" w:cs="Times New Roman"/>
          <w:spacing w:val="-87"/>
          <w:sz w:val="124"/>
          <w:szCs w:val="124"/>
          <w:lang w:eastAsia="ko-KR"/>
        </w:rPr>
        <w:t>for</w:t>
      </w:r>
      <w:proofErr w:type="gramEnd"/>
      <w:r w:rsidRPr="007A775B">
        <w:rPr>
          <w:rFonts w:ascii="ff6" w:eastAsia="Times New Roman" w:hAnsi="ff6" w:cs="Times New Roman"/>
          <w:spacing w:val="-87"/>
          <w:sz w:val="124"/>
          <w:szCs w:val="124"/>
          <w:lang w:eastAsia="ko-KR"/>
        </w:rPr>
        <w:t xml:space="preserve"> </w:t>
      </w:r>
    </w:p>
    <w:p w:rsidR="00F703ED" w:rsidRPr="007A775B" w:rsidRDefault="00F703ED" w:rsidP="00F703ED">
      <w:pPr>
        <w:shd w:val="clear" w:color="auto" w:fill="FFFFFF"/>
        <w:spacing w:after="0" w:line="0" w:lineRule="auto"/>
        <w:rPr>
          <w:rFonts w:ascii="ff6" w:eastAsia="Times New Roman" w:hAnsi="ff6" w:cs="Times New Roman"/>
          <w:spacing w:val="-12"/>
          <w:sz w:val="124"/>
          <w:szCs w:val="124"/>
          <w:lang w:eastAsia="ko-KR"/>
        </w:rPr>
      </w:pPr>
      <w:r w:rsidRPr="007A775B">
        <w:rPr>
          <w:rFonts w:ascii="ff6" w:eastAsia="Times New Roman" w:hAnsi="ff6" w:cs="Times New Roman"/>
          <w:spacing w:val="-12"/>
          <w:sz w:val="124"/>
          <w:szCs w:val="124"/>
          <w:lang w:eastAsia="ko-KR"/>
        </w:rPr>
        <w:t xml:space="preserve">The Role </w:t>
      </w:r>
    </w:p>
    <w:p w:rsidR="00F703ED" w:rsidRPr="007A775B" w:rsidRDefault="00F703ED" w:rsidP="00F703ED">
      <w:pPr>
        <w:shd w:val="clear" w:color="auto" w:fill="FFFFFF"/>
        <w:spacing w:after="0" w:line="0" w:lineRule="auto"/>
        <w:rPr>
          <w:rFonts w:ascii="ff6" w:eastAsia="Times New Roman" w:hAnsi="ff6" w:cs="Times New Roman"/>
          <w:spacing w:val="-75"/>
          <w:sz w:val="125"/>
          <w:szCs w:val="125"/>
          <w:lang w:eastAsia="ko-KR"/>
        </w:rPr>
      </w:pPr>
      <w:proofErr w:type="gramStart"/>
      <w:r w:rsidRPr="007A775B">
        <w:rPr>
          <w:rFonts w:ascii="ff6" w:eastAsia="Times New Roman" w:hAnsi="ff6" w:cs="Times New Roman"/>
          <w:spacing w:val="-75"/>
          <w:sz w:val="125"/>
          <w:szCs w:val="125"/>
          <w:lang w:eastAsia="ko-KR"/>
        </w:rPr>
        <w:t>of</w:t>
      </w:r>
      <w:proofErr w:type="gramEnd"/>
      <w:r w:rsidRPr="007A775B">
        <w:rPr>
          <w:rFonts w:ascii="ff6" w:eastAsia="Times New Roman" w:hAnsi="ff6" w:cs="Times New Roman"/>
          <w:spacing w:val="-75"/>
          <w:sz w:val="125"/>
          <w:szCs w:val="125"/>
          <w:lang w:eastAsia="ko-KR"/>
        </w:rPr>
        <w:t xml:space="preserve"> </w:t>
      </w:r>
    </w:p>
    <w:p w:rsidR="00F703ED" w:rsidRPr="007A775B" w:rsidRDefault="00F703ED" w:rsidP="00F703ED">
      <w:pPr>
        <w:shd w:val="clear" w:color="auto" w:fill="FFFFFF"/>
        <w:spacing w:after="0" w:line="0" w:lineRule="auto"/>
        <w:rPr>
          <w:rFonts w:ascii="ff6" w:eastAsia="Times New Roman" w:hAnsi="ff6" w:cs="Times New Roman"/>
          <w:spacing w:val="-12"/>
          <w:sz w:val="124"/>
          <w:szCs w:val="124"/>
          <w:lang w:eastAsia="ko-KR"/>
        </w:rPr>
      </w:pPr>
      <w:proofErr w:type="gramStart"/>
      <w:r w:rsidRPr="007A775B">
        <w:rPr>
          <w:rFonts w:ascii="ff6" w:eastAsia="Times New Roman" w:hAnsi="ff6" w:cs="Times New Roman"/>
          <w:spacing w:val="-12"/>
          <w:sz w:val="124"/>
          <w:szCs w:val="124"/>
          <w:lang w:eastAsia="ko-KR"/>
        </w:rPr>
        <w:t>the</w:t>
      </w:r>
      <w:proofErr w:type="gramEnd"/>
      <w:r w:rsidRPr="007A775B">
        <w:rPr>
          <w:rFonts w:ascii="ff6" w:eastAsia="Times New Roman" w:hAnsi="ff6" w:cs="Times New Roman"/>
          <w:spacing w:val="-12"/>
          <w:sz w:val="124"/>
          <w:szCs w:val="124"/>
          <w:lang w:eastAsia="ko-KR"/>
        </w:rPr>
        <w:t xml:space="preserve"> </w:t>
      </w:r>
      <w:r w:rsidRPr="007A775B">
        <w:rPr>
          <w:rFonts w:ascii="ff6" w:eastAsia="Times New Roman" w:hAnsi="ff6" w:cs="Times New Roman"/>
          <w:sz w:val="124"/>
          <w:szCs w:val="124"/>
          <w:lang w:eastAsia="ko-KR"/>
        </w:rPr>
        <w:t xml:space="preserve">State </w:t>
      </w:r>
      <w:r w:rsidRPr="007A775B">
        <w:rPr>
          <w:rFonts w:ascii="ff6" w:eastAsia="Times New Roman" w:hAnsi="ff6" w:cs="Times New Roman"/>
          <w:spacing w:val="-25"/>
          <w:sz w:val="124"/>
          <w:szCs w:val="124"/>
          <w:lang w:eastAsia="ko-KR"/>
        </w:rPr>
        <w:t xml:space="preserve">in  </w:t>
      </w:r>
      <w:r w:rsidRPr="007A775B">
        <w:rPr>
          <w:rFonts w:ascii="ff6" w:eastAsia="Times New Roman" w:hAnsi="ff6" w:cs="Times New Roman"/>
          <w:sz w:val="124"/>
          <w:szCs w:val="124"/>
          <w:lang w:eastAsia="ko-KR"/>
        </w:rPr>
        <w:t xml:space="preserve">Redefining </w:t>
      </w:r>
      <w:r w:rsidRPr="007A775B">
        <w:rPr>
          <w:rFonts w:ascii="ff6" w:eastAsia="Times New Roman" w:hAnsi="ff6" w:cs="Times New Roman"/>
          <w:spacing w:val="-12"/>
          <w:sz w:val="124"/>
          <w:szCs w:val="124"/>
          <w:lang w:eastAsia="ko-KR"/>
        </w:rPr>
        <w:t xml:space="preserve">Disability </w:t>
      </w:r>
    </w:p>
    <w:p w:rsidR="00F703ED" w:rsidRPr="007A775B" w:rsidRDefault="00F703ED" w:rsidP="00F703ED">
      <w:pPr>
        <w:shd w:val="clear" w:color="auto" w:fill="FFFFFF"/>
        <w:spacing w:after="0" w:line="0" w:lineRule="auto"/>
        <w:rPr>
          <w:rFonts w:ascii="ff2" w:eastAsia="Times New Roman" w:hAnsi="ff2" w:cs="Times New Roman"/>
          <w:spacing w:val="36"/>
          <w:sz w:val="119"/>
          <w:szCs w:val="119"/>
          <w:lang w:eastAsia="ko-KR"/>
        </w:rPr>
      </w:pPr>
      <w:r w:rsidRPr="007A775B">
        <w:rPr>
          <w:rFonts w:ascii="ff2" w:eastAsia="Times New Roman" w:hAnsi="ff2" w:cs="Times New Roman"/>
          <w:spacing w:val="36"/>
          <w:sz w:val="119"/>
          <w:szCs w:val="119"/>
          <w:lang w:eastAsia="ko-KR"/>
        </w:rPr>
        <w:t xml:space="preserve">The above </w:t>
      </w:r>
      <w:proofErr w:type="gramStart"/>
      <w:r w:rsidRPr="007A775B">
        <w:rPr>
          <w:rFonts w:ascii="ff2" w:eastAsia="Times New Roman" w:hAnsi="ff2" w:cs="Times New Roman"/>
          <w:spacing w:val="12"/>
          <w:sz w:val="119"/>
          <w:szCs w:val="119"/>
          <w:lang w:eastAsia="ko-KR"/>
        </w:rPr>
        <w:t xml:space="preserve">discussion  </w:t>
      </w:r>
      <w:r w:rsidRPr="007A775B">
        <w:rPr>
          <w:rFonts w:ascii="ff2" w:eastAsia="Times New Roman" w:hAnsi="ff2" w:cs="Times New Roman"/>
          <w:sz w:val="119"/>
          <w:szCs w:val="119"/>
          <w:lang w:eastAsia="ko-KR"/>
        </w:rPr>
        <w:t>of</w:t>
      </w:r>
      <w:proofErr w:type="gramEnd"/>
      <w:r w:rsidRPr="007A775B">
        <w:rPr>
          <w:rFonts w:ascii="ff2" w:eastAsia="Times New Roman" w:hAnsi="ff2" w:cs="Times New Roman"/>
          <w:sz w:val="119"/>
          <w:szCs w:val="119"/>
          <w:lang w:eastAsia="ko-KR"/>
        </w:rPr>
        <w:t xml:space="preserve">  </w:t>
      </w:r>
      <w:r w:rsidRPr="007A775B">
        <w:rPr>
          <w:rFonts w:ascii="ff2" w:eastAsia="Times New Roman" w:hAnsi="ff2" w:cs="Times New Roman"/>
          <w:spacing w:val="12"/>
          <w:sz w:val="119"/>
          <w:szCs w:val="119"/>
          <w:lang w:eastAsia="ko-KR"/>
        </w:rPr>
        <w:t xml:space="preserve">barriers  to  political  activism  </w:t>
      </w:r>
      <w:r w:rsidRPr="007A775B">
        <w:rPr>
          <w:rFonts w:ascii="ff2" w:eastAsia="Times New Roman" w:hAnsi="ff2" w:cs="Times New Roman"/>
          <w:spacing w:val="-12"/>
          <w:sz w:val="119"/>
          <w:szCs w:val="119"/>
          <w:lang w:eastAsia="ko-KR"/>
        </w:rPr>
        <w:t xml:space="preserve">by  </w:t>
      </w:r>
      <w:r w:rsidRPr="007A775B">
        <w:rPr>
          <w:rFonts w:ascii="ff2" w:eastAsia="Times New Roman" w:hAnsi="ff2" w:cs="Times New Roman"/>
          <w:spacing w:val="12"/>
          <w:sz w:val="119"/>
          <w:szCs w:val="119"/>
          <w:lang w:eastAsia="ko-KR"/>
        </w:rPr>
        <w:t xml:space="preserve">disabled  people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7A775B">
        <w:rPr>
          <w:rFonts w:ascii="ff2" w:eastAsia="Times New Roman" w:hAnsi="ff2" w:cs="Times New Roman"/>
          <w:sz w:val="119"/>
          <w:szCs w:val="119"/>
          <w:lang w:eastAsia="ko-KR"/>
        </w:rPr>
        <w:t>suggested</w:t>
      </w:r>
      <w:proofErr w:type="gramEnd"/>
      <w:r w:rsidRPr="007A775B">
        <w:rPr>
          <w:rFonts w:ascii="ff2" w:eastAsia="Times New Roman" w:hAnsi="ff2" w:cs="Times New Roman"/>
          <w:sz w:val="119"/>
          <w:szCs w:val="119"/>
          <w:lang w:eastAsia="ko-KR"/>
        </w:rPr>
        <w:t xml:space="preserve"> that </w:t>
      </w:r>
      <w:r w:rsidRPr="007A775B">
        <w:rPr>
          <w:rFonts w:ascii="ff2" w:eastAsia="Times New Roman" w:hAnsi="ff2" w:cs="Times New Roman"/>
          <w:spacing w:val="12"/>
          <w:sz w:val="119"/>
          <w:szCs w:val="119"/>
          <w:lang w:eastAsia="ko-KR"/>
        </w:rPr>
        <w:t xml:space="preserve">a prerequisite </w:t>
      </w:r>
      <w:r w:rsidRPr="007A775B">
        <w:rPr>
          <w:rFonts w:ascii="ff2" w:eastAsia="Times New Roman" w:hAnsi="ff2" w:cs="Times New Roman"/>
          <w:spacing w:val="48"/>
          <w:sz w:val="119"/>
          <w:szCs w:val="119"/>
          <w:lang w:eastAsia="ko-KR"/>
        </w:rPr>
        <w:t xml:space="preserve">to </w:t>
      </w:r>
      <w:r w:rsidRPr="007A775B">
        <w:rPr>
          <w:rFonts w:ascii="ff2" w:eastAsia="Times New Roman" w:hAnsi="ff2" w:cs="Times New Roman"/>
          <w:spacing w:val="36"/>
          <w:sz w:val="119"/>
          <w:szCs w:val="119"/>
          <w:lang w:eastAsia="ko-KR"/>
        </w:rPr>
        <w:t xml:space="preserve">such </w:t>
      </w:r>
      <w:r w:rsidRPr="007A775B">
        <w:rPr>
          <w:rFonts w:ascii="ff2" w:eastAsia="Times New Roman" w:hAnsi="ff2" w:cs="Times New Roman"/>
          <w:spacing w:val="12"/>
          <w:sz w:val="119"/>
          <w:szCs w:val="119"/>
          <w:lang w:eastAsia="ko-KR"/>
        </w:rPr>
        <w:t xml:space="preserve">activism </w:t>
      </w:r>
      <w:r w:rsidRPr="007A775B">
        <w:rPr>
          <w:rFonts w:ascii="ff2" w:eastAsia="Times New Roman" w:hAnsi="ff2" w:cs="Times New Roman"/>
          <w:sz w:val="119"/>
          <w:szCs w:val="119"/>
          <w:lang w:eastAsia="ko-KR"/>
        </w:rPr>
        <w:t xml:space="preserve">was </w:t>
      </w:r>
      <w:r w:rsidRPr="007A775B">
        <w:rPr>
          <w:rFonts w:ascii="ff2" w:eastAsia="Times New Roman" w:hAnsi="ff2" w:cs="Times New Roman"/>
          <w:spacing w:val="12"/>
          <w:sz w:val="119"/>
          <w:szCs w:val="119"/>
          <w:lang w:eastAsia="ko-KR"/>
        </w:rPr>
        <w:t xml:space="preserve">a redefinition </w:t>
      </w:r>
      <w:r w:rsidRPr="007A775B">
        <w:rPr>
          <w:rFonts w:ascii="ff2" w:eastAsia="Times New Roman" w:hAnsi="ff2" w:cs="Times New Roman"/>
          <w:sz w:val="119"/>
          <w:szCs w:val="119"/>
          <w:lang w:eastAsia="ko-KR"/>
        </w:rPr>
        <w:t xml:space="preserve">of </w:t>
      </w:r>
      <w:r w:rsidRPr="007A775B">
        <w:rPr>
          <w:rFonts w:ascii="ff2" w:eastAsia="Times New Roman" w:hAnsi="ff2" w:cs="Times New Roman"/>
          <w:spacing w:val="12"/>
          <w:sz w:val="119"/>
          <w:szCs w:val="119"/>
          <w:lang w:eastAsia="ko-KR"/>
        </w:rPr>
        <w:t xml:space="preserve">disabilities </w:t>
      </w:r>
      <w:r w:rsidRPr="007A775B">
        <w:rPr>
          <w:rFonts w:ascii="ff2" w:eastAsia="Times New Roman" w:hAnsi="ff2" w:cs="Times New Roman"/>
          <w:spacing w:val="48"/>
          <w:sz w:val="119"/>
          <w:szCs w:val="119"/>
          <w:lang w:eastAsia="ko-KR"/>
        </w:rPr>
        <w:t xml:space="preserve">as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7A775B">
        <w:rPr>
          <w:rFonts w:ascii="ff2" w:eastAsia="Times New Roman" w:hAnsi="ff2" w:cs="Times New Roman"/>
          <w:sz w:val="119"/>
          <w:szCs w:val="119"/>
          <w:lang w:eastAsia="ko-KR"/>
        </w:rPr>
        <w:t xml:space="preserve">impairments  </w:t>
      </w:r>
      <w:r w:rsidRPr="007A775B">
        <w:rPr>
          <w:rFonts w:ascii="ff2" w:eastAsia="Times New Roman" w:hAnsi="ff2" w:cs="Times New Roman"/>
          <w:spacing w:val="12"/>
          <w:sz w:val="119"/>
          <w:szCs w:val="119"/>
          <w:lang w:eastAsia="ko-KR"/>
        </w:rPr>
        <w:t>that</w:t>
      </w:r>
      <w:proofErr w:type="gramEnd"/>
      <w:r w:rsidRPr="007A775B">
        <w:rPr>
          <w:rFonts w:ascii="ff2" w:eastAsia="Times New Roman" w:hAnsi="ff2" w:cs="Times New Roman"/>
          <w:spacing w:val="12"/>
          <w:sz w:val="119"/>
          <w:szCs w:val="119"/>
          <w:lang w:eastAsia="ko-KR"/>
        </w:rPr>
        <w:t xml:space="preserve"> are limiting  only </w:t>
      </w:r>
      <w:r w:rsidRPr="007A775B">
        <w:rPr>
          <w:rFonts w:ascii="ff2" w:eastAsia="Times New Roman" w:hAnsi="ff2" w:cs="Times New Roman"/>
          <w:spacing w:val="48"/>
          <w:sz w:val="119"/>
          <w:szCs w:val="119"/>
          <w:lang w:eastAsia="ko-KR"/>
        </w:rPr>
        <w:t xml:space="preserve">to </w:t>
      </w:r>
      <w:r w:rsidRPr="007A775B">
        <w:rPr>
          <w:rFonts w:ascii="ff2" w:eastAsia="Times New Roman" w:hAnsi="ff2" w:cs="Times New Roman"/>
          <w:spacing w:val="12"/>
          <w:sz w:val="119"/>
          <w:szCs w:val="119"/>
          <w:lang w:eastAsia="ko-KR"/>
        </w:rPr>
        <w:t xml:space="preserve">the </w:t>
      </w:r>
      <w:r w:rsidRPr="007A775B">
        <w:rPr>
          <w:rFonts w:ascii="ff2" w:eastAsia="Times New Roman" w:hAnsi="ff2" w:cs="Times New Roman"/>
          <w:spacing w:val="36"/>
          <w:sz w:val="119"/>
          <w:szCs w:val="119"/>
          <w:lang w:eastAsia="ko-KR"/>
        </w:rPr>
        <w:t xml:space="preserve">extent </w:t>
      </w:r>
      <w:r w:rsidRPr="007A775B">
        <w:rPr>
          <w:rFonts w:ascii="ff2" w:eastAsia="Times New Roman" w:hAnsi="ff2" w:cs="Times New Roman"/>
          <w:spacing w:val="12"/>
          <w:sz w:val="119"/>
          <w:szCs w:val="119"/>
          <w:lang w:eastAsia="ko-KR"/>
        </w:rPr>
        <w:t xml:space="preserve">that constraints  are imposed </w:t>
      </w:r>
      <w:r w:rsidRPr="007A775B">
        <w:rPr>
          <w:rFonts w:ascii="ff2" w:eastAsia="Times New Roman" w:hAnsi="ff2" w:cs="Times New Roman"/>
          <w:sz w:val="119"/>
          <w:szCs w:val="119"/>
          <w:lang w:eastAsia="ko-KR"/>
        </w:rPr>
        <w:t xml:space="preserve">by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7A775B">
        <w:rPr>
          <w:rFonts w:ascii="ff2" w:eastAsia="Times New Roman" w:hAnsi="ff2" w:cs="Times New Roman"/>
          <w:sz w:val="119"/>
          <w:szCs w:val="119"/>
          <w:lang w:eastAsia="ko-KR"/>
        </w:rPr>
        <w:t>the</w:t>
      </w:r>
      <w:proofErr w:type="gramEnd"/>
      <w:r w:rsidRPr="007A775B">
        <w:rPr>
          <w:rFonts w:ascii="ff2" w:eastAsia="Times New Roman" w:hAnsi="ff2" w:cs="Times New Roman"/>
          <w:sz w:val="119"/>
          <w:szCs w:val="119"/>
          <w:lang w:eastAsia="ko-KR"/>
        </w:rPr>
        <w:t xml:space="preserve"> physical  </w:t>
      </w:r>
      <w:r w:rsidRPr="007A775B">
        <w:rPr>
          <w:rFonts w:ascii="ff2" w:eastAsia="Times New Roman" w:hAnsi="ff2" w:cs="Times New Roman"/>
          <w:spacing w:val="12"/>
          <w:sz w:val="119"/>
          <w:szCs w:val="119"/>
          <w:lang w:eastAsia="ko-KR"/>
        </w:rPr>
        <w:t xml:space="preserve">and social </w:t>
      </w:r>
      <w:r w:rsidRPr="007A775B">
        <w:rPr>
          <w:rFonts w:ascii="ff2" w:eastAsia="Times New Roman" w:hAnsi="ff2" w:cs="Times New Roman"/>
          <w:spacing w:val="36"/>
          <w:sz w:val="119"/>
          <w:szCs w:val="119"/>
          <w:lang w:eastAsia="ko-KR"/>
        </w:rPr>
        <w:t xml:space="preserve">environment. </w:t>
      </w:r>
      <w:r w:rsidRPr="007A775B">
        <w:rPr>
          <w:rFonts w:ascii="ff2" w:eastAsia="Times New Roman" w:hAnsi="ff2" w:cs="Times New Roman"/>
          <w:spacing w:val="48"/>
          <w:sz w:val="119"/>
          <w:szCs w:val="119"/>
          <w:lang w:eastAsia="ko-KR"/>
        </w:rPr>
        <w:t xml:space="preserve">The </w:t>
      </w:r>
      <w:proofErr w:type="gramStart"/>
      <w:r w:rsidRPr="007A775B">
        <w:rPr>
          <w:rFonts w:ascii="ff2" w:eastAsia="Times New Roman" w:hAnsi="ff2" w:cs="Times New Roman"/>
          <w:spacing w:val="12"/>
          <w:sz w:val="119"/>
          <w:szCs w:val="119"/>
          <w:lang w:eastAsia="ko-KR"/>
        </w:rPr>
        <w:t>activists  who</w:t>
      </w:r>
      <w:proofErr w:type="gramEnd"/>
      <w:r w:rsidRPr="007A775B">
        <w:rPr>
          <w:rFonts w:ascii="ff2" w:eastAsia="Times New Roman" w:hAnsi="ff2" w:cs="Times New Roman"/>
          <w:spacing w:val="12"/>
          <w:sz w:val="119"/>
          <w:szCs w:val="119"/>
          <w:lang w:eastAsia="ko-KR"/>
        </w:rPr>
        <w:t xml:space="preserve"> created the  various  </w:t>
      </w:r>
      <w:r w:rsidRPr="007A775B">
        <w:rPr>
          <w:rFonts w:ascii="ff2" w:eastAsia="Times New Roman" w:hAnsi="ff2" w:cs="Times New Roman"/>
          <w:spacing w:val="36"/>
          <w:sz w:val="119"/>
          <w:szCs w:val="119"/>
          <w:lang w:eastAsia="ko-KR"/>
        </w:rPr>
        <w:t xml:space="preserve">dis-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r w:rsidRPr="007A775B">
        <w:rPr>
          <w:rFonts w:ascii="ff2" w:eastAsia="Times New Roman" w:hAnsi="ff2" w:cs="Times New Roman"/>
          <w:sz w:val="119"/>
          <w:szCs w:val="119"/>
          <w:lang w:eastAsia="ko-KR"/>
        </w:rPr>
        <w:t xml:space="preserve">ability  rights  </w:t>
      </w:r>
      <w:r w:rsidRPr="007A775B">
        <w:rPr>
          <w:rFonts w:ascii="ff2" w:eastAsia="Times New Roman" w:hAnsi="ff2" w:cs="Times New Roman"/>
          <w:spacing w:val="12"/>
          <w:sz w:val="119"/>
          <w:szCs w:val="119"/>
          <w:lang w:eastAsia="ko-KR"/>
        </w:rPr>
        <w:t xml:space="preserve">organizations  redefined  disability  </w:t>
      </w:r>
      <w:r w:rsidRPr="007A775B">
        <w:rPr>
          <w:rFonts w:ascii="ff2" w:eastAsia="Times New Roman" w:hAnsi="ff2" w:cs="Times New Roman"/>
          <w:sz w:val="119"/>
          <w:szCs w:val="119"/>
          <w:lang w:eastAsia="ko-KR"/>
        </w:rPr>
        <w:t xml:space="preserve">in  </w:t>
      </w:r>
      <w:r w:rsidRPr="007A775B">
        <w:rPr>
          <w:rFonts w:ascii="ff2" w:eastAsia="Times New Roman" w:hAnsi="ff2" w:cs="Times New Roman"/>
          <w:spacing w:val="12"/>
          <w:sz w:val="119"/>
          <w:szCs w:val="119"/>
          <w:lang w:eastAsia="ko-KR"/>
        </w:rPr>
        <w:t xml:space="preserve">this  way  and  sought  </w:t>
      </w:r>
      <w:r w:rsidRPr="007A775B">
        <w:rPr>
          <w:rFonts w:ascii="ff2" w:eastAsia="Times New Roman" w:hAnsi="ff2" w:cs="Times New Roman"/>
          <w:spacing w:val="48"/>
          <w:sz w:val="119"/>
          <w:szCs w:val="119"/>
          <w:lang w:eastAsia="ko-KR"/>
        </w:rPr>
        <w:t xml:space="preserve">to </w:t>
      </w:r>
      <w:r w:rsidRPr="007A775B">
        <w:rPr>
          <w:rFonts w:ascii="ff2" w:eastAsia="Times New Roman" w:hAnsi="ff2" w:cs="Times New Roman"/>
          <w:spacing w:val="12"/>
          <w:sz w:val="119"/>
          <w:szCs w:val="119"/>
          <w:lang w:eastAsia="ko-KR"/>
        </w:rPr>
        <w:t xml:space="preserve">have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7A775B">
        <w:rPr>
          <w:rFonts w:ascii="ff2" w:eastAsia="Times New Roman" w:hAnsi="ff2" w:cs="Times New Roman"/>
          <w:sz w:val="119"/>
          <w:szCs w:val="119"/>
          <w:lang w:eastAsia="ko-KR"/>
        </w:rPr>
        <w:t>this</w:t>
      </w:r>
      <w:proofErr w:type="gramEnd"/>
      <w:r w:rsidRPr="007A775B">
        <w:rPr>
          <w:rFonts w:ascii="ff2" w:eastAsia="Times New Roman" w:hAnsi="ff2" w:cs="Times New Roman"/>
          <w:sz w:val="119"/>
          <w:szCs w:val="119"/>
          <w:lang w:eastAsia="ko-KR"/>
        </w:rPr>
        <w:t xml:space="preserve"> redefinition  </w:t>
      </w:r>
      <w:r w:rsidRPr="007A775B">
        <w:rPr>
          <w:rFonts w:ascii="ff2" w:eastAsia="Times New Roman" w:hAnsi="ff2" w:cs="Times New Roman"/>
          <w:spacing w:val="12"/>
          <w:sz w:val="119"/>
          <w:szCs w:val="119"/>
          <w:lang w:eastAsia="ko-KR"/>
        </w:rPr>
        <w:t xml:space="preserve">institutionalized and accepted </w:t>
      </w:r>
      <w:r w:rsidRPr="007A775B">
        <w:rPr>
          <w:rFonts w:ascii="ff2" w:eastAsia="Times New Roman" w:hAnsi="ff2" w:cs="Times New Roman"/>
          <w:spacing w:val="-12"/>
          <w:sz w:val="119"/>
          <w:szCs w:val="119"/>
          <w:lang w:eastAsia="ko-KR"/>
        </w:rPr>
        <w:t xml:space="preserve">in </w:t>
      </w:r>
      <w:r w:rsidRPr="007A775B">
        <w:rPr>
          <w:rFonts w:ascii="ff2" w:eastAsia="Times New Roman" w:hAnsi="ff2" w:cs="Times New Roman"/>
          <w:spacing w:val="12"/>
          <w:sz w:val="119"/>
          <w:szCs w:val="119"/>
          <w:lang w:eastAsia="ko-KR"/>
        </w:rPr>
        <w:t xml:space="preserve">public policy </w:t>
      </w:r>
      <w:r w:rsidRPr="007A775B">
        <w:rPr>
          <w:rFonts w:ascii="ff2" w:eastAsia="Times New Roman" w:hAnsi="ff2" w:cs="Times New Roman"/>
          <w:sz w:val="119"/>
          <w:szCs w:val="119"/>
          <w:lang w:eastAsia="ko-KR"/>
        </w:rPr>
        <w:t xml:space="preserve">and by </w:t>
      </w:r>
      <w:r w:rsidRPr="007A775B">
        <w:rPr>
          <w:rFonts w:ascii="ff2" w:eastAsia="Times New Roman" w:hAnsi="ff2" w:cs="Times New Roman"/>
          <w:spacing w:val="36"/>
          <w:sz w:val="119"/>
          <w:szCs w:val="119"/>
          <w:lang w:eastAsia="ko-KR"/>
        </w:rPr>
        <w:t xml:space="preserve">the </w:t>
      </w:r>
      <w:r w:rsidRPr="007A775B">
        <w:rPr>
          <w:rFonts w:ascii="ff2" w:eastAsia="Times New Roman" w:hAnsi="ff2" w:cs="Times New Roman"/>
          <w:spacing w:val="12"/>
          <w:sz w:val="119"/>
          <w:szCs w:val="119"/>
          <w:lang w:eastAsia="ko-KR"/>
        </w:rPr>
        <w:t xml:space="preserve">general </w:t>
      </w:r>
    </w:p>
    <w:p w:rsidR="00F703ED" w:rsidRPr="007A775B"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7A775B">
        <w:rPr>
          <w:rFonts w:ascii="ff2" w:eastAsia="Times New Roman" w:hAnsi="ff2" w:cs="Times New Roman"/>
          <w:spacing w:val="12"/>
          <w:sz w:val="119"/>
          <w:szCs w:val="119"/>
          <w:lang w:eastAsia="ko-KR"/>
        </w:rPr>
        <w:t>public</w:t>
      </w:r>
      <w:proofErr w:type="gramEnd"/>
      <w:r w:rsidRPr="007A775B">
        <w:rPr>
          <w:rFonts w:ascii="ff2" w:eastAsia="Times New Roman" w:hAnsi="ff2" w:cs="Times New Roman"/>
          <w:spacing w:val="12"/>
          <w:sz w:val="119"/>
          <w:szCs w:val="119"/>
          <w:lang w:eastAsia="ko-KR"/>
        </w:rPr>
        <w:t xml:space="preserve">. </w:t>
      </w:r>
    </w:p>
    <w:p w:rsidR="00F703ED" w:rsidRPr="007A775B" w:rsidRDefault="00F703ED" w:rsidP="00F703ED">
      <w:pPr>
        <w:shd w:val="clear" w:color="auto" w:fill="FFFFFF"/>
        <w:spacing w:after="0" w:line="0" w:lineRule="auto"/>
        <w:rPr>
          <w:rFonts w:ascii="ff2" w:eastAsia="Times New Roman" w:hAnsi="ff2" w:cs="Times New Roman"/>
          <w:spacing w:val="12"/>
          <w:sz w:val="119"/>
          <w:szCs w:val="119"/>
          <w:lang w:eastAsia="ko-KR"/>
        </w:rPr>
      </w:pPr>
      <w:r w:rsidRPr="007A775B">
        <w:rPr>
          <w:rFonts w:ascii="ff2" w:eastAsia="Times New Roman" w:hAnsi="ff2" w:cs="Times New Roman"/>
          <w:spacing w:val="12"/>
          <w:sz w:val="119"/>
          <w:szCs w:val="119"/>
          <w:lang w:eastAsia="ko-KR"/>
        </w:rPr>
        <w:t xml:space="preserve">However,  the  political  and  financial  resources  </w:t>
      </w:r>
      <w:r w:rsidRPr="007A775B">
        <w:rPr>
          <w:rFonts w:ascii="ff2" w:eastAsia="Times New Roman" w:hAnsi="ff2" w:cs="Times New Roman"/>
          <w:sz w:val="119"/>
          <w:szCs w:val="119"/>
          <w:lang w:eastAsia="ko-KR"/>
        </w:rPr>
        <w:t xml:space="preserve">of  </w:t>
      </w:r>
      <w:r w:rsidRPr="007A775B">
        <w:rPr>
          <w:rFonts w:ascii="ff2" w:eastAsia="Times New Roman" w:hAnsi="ff2" w:cs="Times New Roman"/>
          <w:spacing w:val="12"/>
          <w:sz w:val="119"/>
          <w:szCs w:val="119"/>
          <w:lang w:eastAsia="ko-KR"/>
        </w:rPr>
        <w:t xml:space="preserve">most  </w:t>
      </w:r>
      <w:r w:rsidRPr="007A775B">
        <w:rPr>
          <w:rFonts w:ascii="ff2" w:eastAsia="Times New Roman" w:hAnsi="ff2" w:cs="Times New Roman"/>
          <w:sz w:val="119"/>
          <w:szCs w:val="119"/>
          <w:lang w:eastAsia="ko-KR"/>
        </w:rPr>
        <w:t xml:space="preserve">of  the  </w:t>
      </w:r>
      <w:r w:rsidRPr="007A775B">
        <w:rPr>
          <w:rFonts w:ascii="ff2" w:eastAsia="Times New Roman" w:hAnsi="ff2" w:cs="Times New Roman"/>
          <w:spacing w:val="12"/>
          <w:sz w:val="119"/>
          <w:szCs w:val="119"/>
          <w:lang w:eastAsia="ko-KR"/>
        </w:rPr>
        <w:t xml:space="preserve">disability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7A775B">
        <w:rPr>
          <w:rFonts w:ascii="ff2" w:eastAsia="Times New Roman" w:hAnsi="ff2" w:cs="Times New Roman"/>
          <w:sz w:val="119"/>
          <w:szCs w:val="119"/>
          <w:lang w:eastAsia="ko-KR"/>
        </w:rPr>
        <w:t>rights</w:t>
      </w:r>
      <w:proofErr w:type="gramEnd"/>
      <w:r w:rsidRPr="007A775B">
        <w:rPr>
          <w:rFonts w:ascii="ff2" w:eastAsia="Times New Roman" w:hAnsi="ff2" w:cs="Times New Roman"/>
          <w:sz w:val="119"/>
          <w:szCs w:val="119"/>
          <w:lang w:eastAsia="ko-KR"/>
        </w:rPr>
        <w:t xml:space="preserve"> </w:t>
      </w:r>
      <w:r w:rsidRPr="007A775B">
        <w:rPr>
          <w:rFonts w:ascii="ff2" w:eastAsia="Times New Roman" w:hAnsi="ff2" w:cs="Times New Roman"/>
          <w:spacing w:val="12"/>
          <w:sz w:val="119"/>
          <w:szCs w:val="119"/>
          <w:lang w:eastAsia="ko-KR"/>
        </w:rPr>
        <w:t xml:space="preserve">organizations were extremely  limited. A major proportion </w:t>
      </w:r>
    </w:p>
    <w:p w:rsidR="00F703ED" w:rsidRPr="007A775B" w:rsidRDefault="00F703ED" w:rsidP="00F703ED">
      <w:pPr>
        <w:shd w:val="clear" w:color="auto" w:fill="FFFFFF"/>
        <w:spacing w:after="0" w:line="0" w:lineRule="auto"/>
        <w:rPr>
          <w:rFonts w:ascii="ff2" w:eastAsia="Times New Roman" w:hAnsi="ff2" w:cs="Times New Roman"/>
          <w:spacing w:val="-73"/>
          <w:sz w:val="121"/>
          <w:szCs w:val="121"/>
          <w:lang w:eastAsia="ko-KR"/>
        </w:rPr>
      </w:pPr>
      <w:proofErr w:type="gramStart"/>
      <w:r w:rsidRPr="007A775B">
        <w:rPr>
          <w:rFonts w:ascii="ff2" w:eastAsia="Times New Roman" w:hAnsi="ff2" w:cs="Times New Roman"/>
          <w:spacing w:val="-73"/>
          <w:sz w:val="121"/>
          <w:szCs w:val="121"/>
          <w:lang w:eastAsia="ko-KR"/>
        </w:rPr>
        <w:t>of</w:t>
      </w:r>
      <w:proofErr w:type="gramEnd"/>
      <w:r w:rsidRPr="007A775B">
        <w:rPr>
          <w:rFonts w:ascii="ff2" w:eastAsia="Times New Roman" w:hAnsi="ff2" w:cs="Times New Roman"/>
          <w:spacing w:val="-73"/>
          <w:sz w:val="121"/>
          <w:szCs w:val="121"/>
          <w:lang w:eastAsia="ko-KR"/>
        </w:rPr>
        <w:t xml:space="preserve"> </w:t>
      </w:r>
    </w:p>
    <w:p w:rsidR="00F703ED" w:rsidRPr="007A775B"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7A775B">
        <w:rPr>
          <w:rFonts w:ascii="ff2" w:eastAsia="Times New Roman" w:hAnsi="ff2" w:cs="Times New Roman"/>
          <w:spacing w:val="12"/>
          <w:sz w:val="119"/>
          <w:szCs w:val="119"/>
          <w:lang w:eastAsia="ko-KR"/>
        </w:rPr>
        <w:t>their</w:t>
      </w:r>
      <w:proofErr w:type="gramEnd"/>
      <w:r w:rsidRPr="007A775B">
        <w:rPr>
          <w:rFonts w:ascii="ff2" w:eastAsia="Times New Roman" w:hAnsi="ff2" w:cs="Times New Roman"/>
          <w:spacing w:val="12"/>
          <w:sz w:val="119"/>
          <w:szCs w:val="119"/>
          <w:lang w:eastAsia="ko-KR"/>
        </w:rPr>
        <w:t xml:space="preserve"> budgets </w:t>
      </w:r>
    </w:p>
    <w:p w:rsidR="00F703ED" w:rsidRPr="007A775B"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7A775B">
        <w:rPr>
          <w:rFonts w:ascii="ff2" w:eastAsia="Times New Roman" w:hAnsi="ff2" w:cs="Times New Roman"/>
          <w:spacing w:val="-12"/>
          <w:sz w:val="119"/>
          <w:szCs w:val="119"/>
          <w:lang w:eastAsia="ko-KR"/>
        </w:rPr>
        <w:t>in</w:t>
      </w:r>
      <w:proofErr w:type="gramEnd"/>
      <w:r w:rsidRPr="007A775B">
        <w:rPr>
          <w:rFonts w:ascii="ff2" w:eastAsia="Times New Roman" w:hAnsi="ff2" w:cs="Times New Roman"/>
          <w:spacing w:val="-12"/>
          <w:sz w:val="119"/>
          <w:szCs w:val="119"/>
          <w:lang w:eastAsia="ko-KR"/>
        </w:rPr>
        <w:t xml:space="preserve"> </w:t>
      </w:r>
      <w:r w:rsidRPr="007A775B">
        <w:rPr>
          <w:rFonts w:ascii="ff2" w:eastAsia="Times New Roman" w:hAnsi="ff2" w:cs="Times New Roman"/>
          <w:sz w:val="119"/>
          <w:szCs w:val="119"/>
          <w:lang w:eastAsia="ko-KR"/>
        </w:rPr>
        <w:t xml:space="preserve">the  </w:t>
      </w:r>
      <w:r w:rsidRPr="007A775B">
        <w:rPr>
          <w:rFonts w:ascii="ff2" w:eastAsia="Times New Roman" w:hAnsi="ff2" w:cs="Times New Roman"/>
          <w:spacing w:val="12"/>
          <w:sz w:val="119"/>
          <w:szCs w:val="119"/>
          <w:lang w:eastAsia="ko-KR"/>
        </w:rPr>
        <w:t xml:space="preserve">late </w:t>
      </w:r>
    </w:p>
    <w:p w:rsidR="00F703ED" w:rsidRPr="007A775B" w:rsidRDefault="00F703ED" w:rsidP="00F703ED">
      <w:pPr>
        <w:shd w:val="clear" w:color="auto" w:fill="FFFFFF"/>
        <w:spacing w:after="0" w:line="0" w:lineRule="auto"/>
        <w:rPr>
          <w:rFonts w:ascii="ff2" w:eastAsia="Times New Roman" w:hAnsi="ff2" w:cs="Times New Roman"/>
          <w:spacing w:val="-12"/>
          <w:sz w:val="121"/>
          <w:szCs w:val="121"/>
          <w:lang w:eastAsia="ko-KR"/>
        </w:rPr>
      </w:pPr>
      <w:r w:rsidRPr="007A775B">
        <w:rPr>
          <w:rFonts w:ascii="ff2" w:eastAsia="Times New Roman" w:hAnsi="ff2" w:cs="Times New Roman"/>
          <w:spacing w:val="-12"/>
          <w:sz w:val="121"/>
          <w:szCs w:val="121"/>
          <w:lang w:eastAsia="ko-KR"/>
        </w:rPr>
        <w:t xml:space="preserve">1970s </w:t>
      </w:r>
    </w:p>
    <w:p w:rsidR="00F703ED" w:rsidRPr="007A775B"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7A775B">
        <w:rPr>
          <w:rFonts w:ascii="ff2" w:eastAsia="Times New Roman" w:hAnsi="ff2" w:cs="Times New Roman"/>
          <w:spacing w:val="12"/>
          <w:sz w:val="119"/>
          <w:szCs w:val="119"/>
          <w:lang w:eastAsia="ko-KR"/>
        </w:rPr>
        <w:t>was</w:t>
      </w:r>
      <w:proofErr w:type="gramEnd"/>
      <w:r w:rsidRPr="007A775B">
        <w:rPr>
          <w:rFonts w:ascii="ff2" w:eastAsia="Times New Roman" w:hAnsi="ff2" w:cs="Times New Roman"/>
          <w:spacing w:val="12"/>
          <w:sz w:val="119"/>
          <w:szCs w:val="119"/>
          <w:lang w:eastAsia="ko-KR"/>
        </w:rPr>
        <w:t xml:space="preserve"> provided  </w:t>
      </w:r>
      <w:r w:rsidRPr="007A775B">
        <w:rPr>
          <w:rFonts w:ascii="ff2" w:eastAsia="Times New Roman" w:hAnsi="ff2" w:cs="Times New Roman"/>
          <w:sz w:val="119"/>
          <w:szCs w:val="119"/>
          <w:lang w:eastAsia="ko-KR"/>
        </w:rPr>
        <w:t xml:space="preserve">by  </w:t>
      </w:r>
      <w:r w:rsidRPr="007A775B">
        <w:rPr>
          <w:rFonts w:ascii="ff2" w:eastAsia="Times New Roman" w:hAnsi="ff2" w:cs="Times New Roman"/>
          <w:spacing w:val="12"/>
          <w:sz w:val="119"/>
          <w:szCs w:val="119"/>
          <w:lang w:eastAsia="ko-KR"/>
        </w:rPr>
        <w:t xml:space="preserve">the  federal  government  </w:t>
      </w:r>
      <w:r w:rsidRPr="007A775B">
        <w:rPr>
          <w:rFonts w:ascii="ff2" w:eastAsia="Times New Roman" w:hAnsi="ff2" w:cs="Times New Roman"/>
          <w:sz w:val="119"/>
          <w:szCs w:val="119"/>
          <w:lang w:eastAsia="ko-KR"/>
        </w:rPr>
        <w:t xml:space="preserve">in </w:t>
      </w:r>
      <w:r w:rsidRPr="007A775B">
        <w:rPr>
          <w:rFonts w:ascii="ff2" w:eastAsia="Times New Roman" w:hAnsi="ff2" w:cs="Times New Roman"/>
          <w:spacing w:val="12"/>
          <w:sz w:val="119"/>
          <w:szCs w:val="119"/>
          <w:lang w:eastAsia="ko-KR"/>
        </w:rPr>
        <w:t xml:space="preserve">the </w:t>
      </w:r>
      <w:r w:rsidRPr="007A775B">
        <w:rPr>
          <w:rFonts w:ascii="ff2" w:eastAsia="Times New Roman" w:hAnsi="ff2" w:cs="Times New Roman"/>
          <w:spacing w:val="36"/>
          <w:sz w:val="119"/>
          <w:szCs w:val="119"/>
          <w:lang w:eastAsia="ko-KR"/>
        </w:rPr>
        <w:t xml:space="preserve">form </w:t>
      </w:r>
      <w:r w:rsidRPr="007A775B">
        <w:rPr>
          <w:rFonts w:ascii="ff2" w:eastAsia="Times New Roman" w:hAnsi="ff2" w:cs="Times New Roman"/>
          <w:sz w:val="119"/>
          <w:szCs w:val="119"/>
          <w:lang w:eastAsia="ko-KR"/>
        </w:rPr>
        <w:t xml:space="preserve">of </w:t>
      </w:r>
      <w:r w:rsidRPr="007A775B">
        <w:rPr>
          <w:rFonts w:ascii="ff2" w:eastAsia="Times New Roman" w:hAnsi="ff2" w:cs="Times New Roman"/>
          <w:spacing w:val="12"/>
          <w:sz w:val="119"/>
          <w:szCs w:val="119"/>
          <w:lang w:eastAsia="ko-KR"/>
        </w:rPr>
        <w:t xml:space="preserve">grants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r w:rsidRPr="007A775B">
        <w:rPr>
          <w:rFonts w:ascii="ff2" w:eastAsia="Times New Roman" w:hAnsi="ff2" w:cs="Times New Roman"/>
          <w:sz w:val="119"/>
          <w:szCs w:val="119"/>
          <w:lang w:eastAsia="ko-KR"/>
        </w:rPr>
        <w:t xml:space="preserve">and  </w:t>
      </w:r>
      <w:r w:rsidRPr="007A775B">
        <w:rPr>
          <w:rFonts w:ascii="ff2" w:eastAsia="Times New Roman" w:hAnsi="ff2" w:cs="Times New Roman"/>
          <w:spacing w:val="12"/>
          <w:sz w:val="119"/>
          <w:szCs w:val="119"/>
          <w:lang w:eastAsia="ko-KR"/>
        </w:rPr>
        <w:t xml:space="preserve">contracts,  and  substantial  amounts  of  this  federal  funding  were  used </w:t>
      </w:r>
    </w:p>
    <w:p w:rsidR="00F703ED" w:rsidRPr="007A775B" w:rsidRDefault="00F703ED" w:rsidP="00F703ED">
      <w:pPr>
        <w:shd w:val="clear" w:color="auto" w:fill="FFFFFF"/>
        <w:spacing w:after="0" w:line="0" w:lineRule="auto"/>
        <w:rPr>
          <w:rFonts w:ascii="ff6" w:eastAsia="Times New Roman" w:hAnsi="ff6" w:cs="Times New Roman"/>
          <w:spacing w:val="-87"/>
          <w:sz w:val="124"/>
          <w:szCs w:val="124"/>
          <w:lang w:eastAsia="ko-KR"/>
        </w:rPr>
      </w:pPr>
      <w:proofErr w:type="gramStart"/>
      <w:r w:rsidRPr="007A775B">
        <w:rPr>
          <w:rFonts w:ascii="ff6" w:eastAsia="Times New Roman" w:hAnsi="ff6" w:cs="Times New Roman"/>
          <w:spacing w:val="-87"/>
          <w:sz w:val="124"/>
          <w:szCs w:val="124"/>
          <w:lang w:eastAsia="ko-KR"/>
        </w:rPr>
        <w:t>for</w:t>
      </w:r>
      <w:proofErr w:type="gramEnd"/>
      <w:r w:rsidRPr="007A775B">
        <w:rPr>
          <w:rFonts w:ascii="ff6" w:eastAsia="Times New Roman" w:hAnsi="ff6" w:cs="Times New Roman"/>
          <w:spacing w:val="-87"/>
          <w:sz w:val="124"/>
          <w:szCs w:val="124"/>
          <w:lang w:eastAsia="ko-KR"/>
        </w:rPr>
        <w:t xml:space="preserve"> </w:t>
      </w:r>
    </w:p>
    <w:p w:rsidR="00F703ED" w:rsidRPr="007A775B" w:rsidRDefault="00F703ED" w:rsidP="00F703ED">
      <w:pPr>
        <w:shd w:val="clear" w:color="auto" w:fill="FFFFFF"/>
        <w:spacing w:after="0" w:line="0" w:lineRule="auto"/>
        <w:rPr>
          <w:rFonts w:ascii="ff6" w:eastAsia="Times New Roman" w:hAnsi="ff6" w:cs="Times New Roman"/>
          <w:spacing w:val="-12"/>
          <w:sz w:val="124"/>
          <w:szCs w:val="124"/>
          <w:lang w:eastAsia="ko-KR"/>
        </w:rPr>
      </w:pPr>
      <w:r w:rsidRPr="007A775B">
        <w:rPr>
          <w:rFonts w:ascii="ff6" w:eastAsia="Times New Roman" w:hAnsi="ff6" w:cs="Times New Roman"/>
          <w:spacing w:val="-12"/>
          <w:sz w:val="124"/>
          <w:szCs w:val="124"/>
          <w:lang w:eastAsia="ko-KR"/>
        </w:rPr>
        <w:t xml:space="preserve">The Role </w:t>
      </w:r>
    </w:p>
    <w:p w:rsidR="00F703ED" w:rsidRPr="007A775B" w:rsidRDefault="00F703ED" w:rsidP="00F703ED">
      <w:pPr>
        <w:shd w:val="clear" w:color="auto" w:fill="FFFFFF"/>
        <w:spacing w:after="0" w:line="0" w:lineRule="auto"/>
        <w:rPr>
          <w:rFonts w:ascii="ff6" w:eastAsia="Times New Roman" w:hAnsi="ff6" w:cs="Times New Roman"/>
          <w:spacing w:val="-75"/>
          <w:sz w:val="125"/>
          <w:szCs w:val="125"/>
          <w:lang w:eastAsia="ko-KR"/>
        </w:rPr>
      </w:pPr>
      <w:proofErr w:type="gramStart"/>
      <w:r w:rsidRPr="007A775B">
        <w:rPr>
          <w:rFonts w:ascii="ff6" w:eastAsia="Times New Roman" w:hAnsi="ff6" w:cs="Times New Roman"/>
          <w:spacing w:val="-75"/>
          <w:sz w:val="125"/>
          <w:szCs w:val="125"/>
          <w:lang w:eastAsia="ko-KR"/>
        </w:rPr>
        <w:t>of</w:t>
      </w:r>
      <w:proofErr w:type="gramEnd"/>
      <w:r w:rsidRPr="007A775B">
        <w:rPr>
          <w:rFonts w:ascii="ff6" w:eastAsia="Times New Roman" w:hAnsi="ff6" w:cs="Times New Roman"/>
          <w:spacing w:val="-75"/>
          <w:sz w:val="125"/>
          <w:szCs w:val="125"/>
          <w:lang w:eastAsia="ko-KR"/>
        </w:rPr>
        <w:t xml:space="preserve"> </w:t>
      </w:r>
    </w:p>
    <w:p w:rsidR="00F703ED" w:rsidRPr="007A775B" w:rsidRDefault="00F703ED" w:rsidP="00F703ED">
      <w:pPr>
        <w:shd w:val="clear" w:color="auto" w:fill="FFFFFF"/>
        <w:spacing w:after="0" w:line="0" w:lineRule="auto"/>
        <w:rPr>
          <w:rFonts w:ascii="ff6" w:eastAsia="Times New Roman" w:hAnsi="ff6" w:cs="Times New Roman"/>
          <w:spacing w:val="-12"/>
          <w:sz w:val="124"/>
          <w:szCs w:val="124"/>
          <w:lang w:eastAsia="ko-KR"/>
        </w:rPr>
      </w:pPr>
      <w:proofErr w:type="gramStart"/>
      <w:r w:rsidRPr="007A775B">
        <w:rPr>
          <w:rFonts w:ascii="ff6" w:eastAsia="Times New Roman" w:hAnsi="ff6" w:cs="Times New Roman"/>
          <w:spacing w:val="-12"/>
          <w:sz w:val="124"/>
          <w:szCs w:val="124"/>
          <w:lang w:eastAsia="ko-KR"/>
        </w:rPr>
        <w:t>the</w:t>
      </w:r>
      <w:proofErr w:type="gramEnd"/>
      <w:r w:rsidRPr="007A775B">
        <w:rPr>
          <w:rFonts w:ascii="ff6" w:eastAsia="Times New Roman" w:hAnsi="ff6" w:cs="Times New Roman"/>
          <w:spacing w:val="-12"/>
          <w:sz w:val="124"/>
          <w:szCs w:val="124"/>
          <w:lang w:eastAsia="ko-KR"/>
        </w:rPr>
        <w:t xml:space="preserve"> </w:t>
      </w:r>
      <w:r w:rsidRPr="007A775B">
        <w:rPr>
          <w:rFonts w:ascii="ff6" w:eastAsia="Times New Roman" w:hAnsi="ff6" w:cs="Times New Roman"/>
          <w:sz w:val="124"/>
          <w:szCs w:val="124"/>
          <w:lang w:eastAsia="ko-KR"/>
        </w:rPr>
        <w:t xml:space="preserve">State </w:t>
      </w:r>
      <w:r w:rsidRPr="007A775B">
        <w:rPr>
          <w:rFonts w:ascii="ff6" w:eastAsia="Times New Roman" w:hAnsi="ff6" w:cs="Times New Roman"/>
          <w:spacing w:val="-25"/>
          <w:sz w:val="124"/>
          <w:szCs w:val="124"/>
          <w:lang w:eastAsia="ko-KR"/>
        </w:rPr>
        <w:t xml:space="preserve">in  </w:t>
      </w:r>
      <w:r w:rsidRPr="007A775B">
        <w:rPr>
          <w:rFonts w:ascii="ff6" w:eastAsia="Times New Roman" w:hAnsi="ff6" w:cs="Times New Roman"/>
          <w:sz w:val="124"/>
          <w:szCs w:val="124"/>
          <w:lang w:eastAsia="ko-KR"/>
        </w:rPr>
        <w:t xml:space="preserve">Redefining </w:t>
      </w:r>
      <w:r w:rsidRPr="007A775B">
        <w:rPr>
          <w:rFonts w:ascii="ff6" w:eastAsia="Times New Roman" w:hAnsi="ff6" w:cs="Times New Roman"/>
          <w:spacing w:val="-12"/>
          <w:sz w:val="124"/>
          <w:szCs w:val="124"/>
          <w:lang w:eastAsia="ko-KR"/>
        </w:rPr>
        <w:t xml:space="preserve">Disability </w:t>
      </w:r>
    </w:p>
    <w:p w:rsidR="00F703ED" w:rsidRPr="007A775B" w:rsidRDefault="00F703ED" w:rsidP="00F703ED">
      <w:pPr>
        <w:shd w:val="clear" w:color="auto" w:fill="FFFFFF"/>
        <w:spacing w:after="0" w:line="0" w:lineRule="auto"/>
        <w:rPr>
          <w:rFonts w:ascii="ff2" w:eastAsia="Times New Roman" w:hAnsi="ff2" w:cs="Times New Roman"/>
          <w:spacing w:val="36"/>
          <w:sz w:val="119"/>
          <w:szCs w:val="119"/>
          <w:lang w:eastAsia="ko-KR"/>
        </w:rPr>
      </w:pPr>
      <w:r w:rsidRPr="007A775B">
        <w:rPr>
          <w:rFonts w:ascii="ff2" w:eastAsia="Times New Roman" w:hAnsi="ff2" w:cs="Times New Roman"/>
          <w:spacing w:val="36"/>
          <w:sz w:val="119"/>
          <w:szCs w:val="119"/>
          <w:lang w:eastAsia="ko-KR"/>
        </w:rPr>
        <w:t xml:space="preserve">The above </w:t>
      </w:r>
      <w:proofErr w:type="gramStart"/>
      <w:r w:rsidRPr="007A775B">
        <w:rPr>
          <w:rFonts w:ascii="ff2" w:eastAsia="Times New Roman" w:hAnsi="ff2" w:cs="Times New Roman"/>
          <w:spacing w:val="12"/>
          <w:sz w:val="119"/>
          <w:szCs w:val="119"/>
          <w:lang w:eastAsia="ko-KR"/>
        </w:rPr>
        <w:t xml:space="preserve">discussion  </w:t>
      </w:r>
      <w:r w:rsidRPr="007A775B">
        <w:rPr>
          <w:rFonts w:ascii="ff2" w:eastAsia="Times New Roman" w:hAnsi="ff2" w:cs="Times New Roman"/>
          <w:sz w:val="119"/>
          <w:szCs w:val="119"/>
          <w:lang w:eastAsia="ko-KR"/>
        </w:rPr>
        <w:t>of</w:t>
      </w:r>
      <w:proofErr w:type="gramEnd"/>
      <w:r w:rsidRPr="007A775B">
        <w:rPr>
          <w:rFonts w:ascii="ff2" w:eastAsia="Times New Roman" w:hAnsi="ff2" w:cs="Times New Roman"/>
          <w:sz w:val="119"/>
          <w:szCs w:val="119"/>
          <w:lang w:eastAsia="ko-KR"/>
        </w:rPr>
        <w:t xml:space="preserve">  </w:t>
      </w:r>
      <w:r w:rsidRPr="007A775B">
        <w:rPr>
          <w:rFonts w:ascii="ff2" w:eastAsia="Times New Roman" w:hAnsi="ff2" w:cs="Times New Roman"/>
          <w:spacing w:val="12"/>
          <w:sz w:val="119"/>
          <w:szCs w:val="119"/>
          <w:lang w:eastAsia="ko-KR"/>
        </w:rPr>
        <w:t xml:space="preserve">barriers  to  political  activism  </w:t>
      </w:r>
      <w:r w:rsidRPr="007A775B">
        <w:rPr>
          <w:rFonts w:ascii="ff2" w:eastAsia="Times New Roman" w:hAnsi="ff2" w:cs="Times New Roman"/>
          <w:spacing w:val="-12"/>
          <w:sz w:val="119"/>
          <w:szCs w:val="119"/>
          <w:lang w:eastAsia="ko-KR"/>
        </w:rPr>
        <w:t xml:space="preserve">by  </w:t>
      </w:r>
      <w:r w:rsidRPr="007A775B">
        <w:rPr>
          <w:rFonts w:ascii="ff2" w:eastAsia="Times New Roman" w:hAnsi="ff2" w:cs="Times New Roman"/>
          <w:spacing w:val="12"/>
          <w:sz w:val="119"/>
          <w:szCs w:val="119"/>
          <w:lang w:eastAsia="ko-KR"/>
        </w:rPr>
        <w:t xml:space="preserve">disabled  people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7A775B">
        <w:rPr>
          <w:rFonts w:ascii="ff2" w:eastAsia="Times New Roman" w:hAnsi="ff2" w:cs="Times New Roman"/>
          <w:sz w:val="119"/>
          <w:szCs w:val="119"/>
          <w:lang w:eastAsia="ko-KR"/>
        </w:rPr>
        <w:t>suggested</w:t>
      </w:r>
      <w:proofErr w:type="gramEnd"/>
      <w:r w:rsidRPr="007A775B">
        <w:rPr>
          <w:rFonts w:ascii="ff2" w:eastAsia="Times New Roman" w:hAnsi="ff2" w:cs="Times New Roman"/>
          <w:sz w:val="119"/>
          <w:szCs w:val="119"/>
          <w:lang w:eastAsia="ko-KR"/>
        </w:rPr>
        <w:t xml:space="preserve"> that </w:t>
      </w:r>
      <w:r w:rsidRPr="007A775B">
        <w:rPr>
          <w:rFonts w:ascii="ff2" w:eastAsia="Times New Roman" w:hAnsi="ff2" w:cs="Times New Roman"/>
          <w:spacing w:val="12"/>
          <w:sz w:val="119"/>
          <w:szCs w:val="119"/>
          <w:lang w:eastAsia="ko-KR"/>
        </w:rPr>
        <w:t xml:space="preserve">a prerequisite </w:t>
      </w:r>
      <w:r w:rsidRPr="007A775B">
        <w:rPr>
          <w:rFonts w:ascii="ff2" w:eastAsia="Times New Roman" w:hAnsi="ff2" w:cs="Times New Roman"/>
          <w:spacing w:val="48"/>
          <w:sz w:val="119"/>
          <w:szCs w:val="119"/>
          <w:lang w:eastAsia="ko-KR"/>
        </w:rPr>
        <w:t xml:space="preserve">to </w:t>
      </w:r>
      <w:r w:rsidRPr="007A775B">
        <w:rPr>
          <w:rFonts w:ascii="ff2" w:eastAsia="Times New Roman" w:hAnsi="ff2" w:cs="Times New Roman"/>
          <w:spacing w:val="36"/>
          <w:sz w:val="119"/>
          <w:szCs w:val="119"/>
          <w:lang w:eastAsia="ko-KR"/>
        </w:rPr>
        <w:t xml:space="preserve">such </w:t>
      </w:r>
      <w:r w:rsidRPr="007A775B">
        <w:rPr>
          <w:rFonts w:ascii="ff2" w:eastAsia="Times New Roman" w:hAnsi="ff2" w:cs="Times New Roman"/>
          <w:spacing w:val="12"/>
          <w:sz w:val="119"/>
          <w:szCs w:val="119"/>
          <w:lang w:eastAsia="ko-KR"/>
        </w:rPr>
        <w:t xml:space="preserve">activism </w:t>
      </w:r>
      <w:r w:rsidRPr="007A775B">
        <w:rPr>
          <w:rFonts w:ascii="ff2" w:eastAsia="Times New Roman" w:hAnsi="ff2" w:cs="Times New Roman"/>
          <w:sz w:val="119"/>
          <w:szCs w:val="119"/>
          <w:lang w:eastAsia="ko-KR"/>
        </w:rPr>
        <w:t xml:space="preserve">was </w:t>
      </w:r>
      <w:r w:rsidRPr="007A775B">
        <w:rPr>
          <w:rFonts w:ascii="ff2" w:eastAsia="Times New Roman" w:hAnsi="ff2" w:cs="Times New Roman"/>
          <w:spacing w:val="12"/>
          <w:sz w:val="119"/>
          <w:szCs w:val="119"/>
          <w:lang w:eastAsia="ko-KR"/>
        </w:rPr>
        <w:t xml:space="preserve">a redefinition </w:t>
      </w:r>
      <w:r w:rsidRPr="007A775B">
        <w:rPr>
          <w:rFonts w:ascii="ff2" w:eastAsia="Times New Roman" w:hAnsi="ff2" w:cs="Times New Roman"/>
          <w:sz w:val="119"/>
          <w:szCs w:val="119"/>
          <w:lang w:eastAsia="ko-KR"/>
        </w:rPr>
        <w:t xml:space="preserve">of </w:t>
      </w:r>
      <w:r w:rsidRPr="007A775B">
        <w:rPr>
          <w:rFonts w:ascii="ff2" w:eastAsia="Times New Roman" w:hAnsi="ff2" w:cs="Times New Roman"/>
          <w:spacing w:val="12"/>
          <w:sz w:val="119"/>
          <w:szCs w:val="119"/>
          <w:lang w:eastAsia="ko-KR"/>
        </w:rPr>
        <w:t xml:space="preserve">disabilities </w:t>
      </w:r>
      <w:r w:rsidRPr="007A775B">
        <w:rPr>
          <w:rFonts w:ascii="ff2" w:eastAsia="Times New Roman" w:hAnsi="ff2" w:cs="Times New Roman"/>
          <w:spacing w:val="48"/>
          <w:sz w:val="119"/>
          <w:szCs w:val="119"/>
          <w:lang w:eastAsia="ko-KR"/>
        </w:rPr>
        <w:t xml:space="preserve">as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7A775B">
        <w:rPr>
          <w:rFonts w:ascii="ff2" w:eastAsia="Times New Roman" w:hAnsi="ff2" w:cs="Times New Roman"/>
          <w:sz w:val="119"/>
          <w:szCs w:val="119"/>
          <w:lang w:eastAsia="ko-KR"/>
        </w:rPr>
        <w:t xml:space="preserve">impairments  </w:t>
      </w:r>
      <w:r w:rsidRPr="007A775B">
        <w:rPr>
          <w:rFonts w:ascii="ff2" w:eastAsia="Times New Roman" w:hAnsi="ff2" w:cs="Times New Roman"/>
          <w:spacing w:val="12"/>
          <w:sz w:val="119"/>
          <w:szCs w:val="119"/>
          <w:lang w:eastAsia="ko-KR"/>
        </w:rPr>
        <w:t>that</w:t>
      </w:r>
      <w:proofErr w:type="gramEnd"/>
      <w:r w:rsidRPr="007A775B">
        <w:rPr>
          <w:rFonts w:ascii="ff2" w:eastAsia="Times New Roman" w:hAnsi="ff2" w:cs="Times New Roman"/>
          <w:spacing w:val="12"/>
          <w:sz w:val="119"/>
          <w:szCs w:val="119"/>
          <w:lang w:eastAsia="ko-KR"/>
        </w:rPr>
        <w:t xml:space="preserve"> are limiting  only </w:t>
      </w:r>
      <w:r w:rsidRPr="007A775B">
        <w:rPr>
          <w:rFonts w:ascii="ff2" w:eastAsia="Times New Roman" w:hAnsi="ff2" w:cs="Times New Roman"/>
          <w:spacing w:val="48"/>
          <w:sz w:val="119"/>
          <w:szCs w:val="119"/>
          <w:lang w:eastAsia="ko-KR"/>
        </w:rPr>
        <w:t xml:space="preserve">to </w:t>
      </w:r>
      <w:r w:rsidRPr="007A775B">
        <w:rPr>
          <w:rFonts w:ascii="ff2" w:eastAsia="Times New Roman" w:hAnsi="ff2" w:cs="Times New Roman"/>
          <w:spacing w:val="12"/>
          <w:sz w:val="119"/>
          <w:szCs w:val="119"/>
          <w:lang w:eastAsia="ko-KR"/>
        </w:rPr>
        <w:t xml:space="preserve">the </w:t>
      </w:r>
      <w:r w:rsidRPr="007A775B">
        <w:rPr>
          <w:rFonts w:ascii="ff2" w:eastAsia="Times New Roman" w:hAnsi="ff2" w:cs="Times New Roman"/>
          <w:spacing w:val="36"/>
          <w:sz w:val="119"/>
          <w:szCs w:val="119"/>
          <w:lang w:eastAsia="ko-KR"/>
        </w:rPr>
        <w:t xml:space="preserve">extent </w:t>
      </w:r>
      <w:r w:rsidRPr="007A775B">
        <w:rPr>
          <w:rFonts w:ascii="ff2" w:eastAsia="Times New Roman" w:hAnsi="ff2" w:cs="Times New Roman"/>
          <w:spacing w:val="12"/>
          <w:sz w:val="119"/>
          <w:szCs w:val="119"/>
          <w:lang w:eastAsia="ko-KR"/>
        </w:rPr>
        <w:t xml:space="preserve">that constraints  are imposed </w:t>
      </w:r>
      <w:r w:rsidRPr="007A775B">
        <w:rPr>
          <w:rFonts w:ascii="ff2" w:eastAsia="Times New Roman" w:hAnsi="ff2" w:cs="Times New Roman"/>
          <w:sz w:val="119"/>
          <w:szCs w:val="119"/>
          <w:lang w:eastAsia="ko-KR"/>
        </w:rPr>
        <w:t xml:space="preserve">by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7A775B">
        <w:rPr>
          <w:rFonts w:ascii="ff2" w:eastAsia="Times New Roman" w:hAnsi="ff2" w:cs="Times New Roman"/>
          <w:sz w:val="119"/>
          <w:szCs w:val="119"/>
          <w:lang w:eastAsia="ko-KR"/>
        </w:rPr>
        <w:t>the</w:t>
      </w:r>
      <w:proofErr w:type="gramEnd"/>
      <w:r w:rsidRPr="007A775B">
        <w:rPr>
          <w:rFonts w:ascii="ff2" w:eastAsia="Times New Roman" w:hAnsi="ff2" w:cs="Times New Roman"/>
          <w:sz w:val="119"/>
          <w:szCs w:val="119"/>
          <w:lang w:eastAsia="ko-KR"/>
        </w:rPr>
        <w:t xml:space="preserve"> physical  </w:t>
      </w:r>
      <w:r w:rsidRPr="007A775B">
        <w:rPr>
          <w:rFonts w:ascii="ff2" w:eastAsia="Times New Roman" w:hAnsi="ff2" w:cs="Times New Roman"/>
          <w:spacing w:val="12"/>
          <w:sz w:val="119"/>
          <w:szCs w:val="119"/>
          <w:lang w:eastAsia="ko-KR"/>
        </w:rPr>
        <w:t xml:space="preserve">and social </w:t>
      </w:r>
      <w:r w:rsidRPr="007A775B">
        <w:rPr>
          <w:rFonts w:ascii="ff2" w:eastAsia="Times New Roman" w:hAnsi="ff2" w:cs="Times New Roman"/>
          <w:spacing w:val="36"/>
          <w:sz w:val="119"/>
          <w:szCs w:val="119"/>
          <w:lang w:eastAsia="ko-KR"/>
        </w:rPr>
        <w:t xml:space="preserve">environment. </w:t>
      </w:r>
      <w:r w:rsidRPr="007A775B">
        <w:rPr>
          <w:rFonts w:ascii="ff2" w:eastAsia="Times New Roman" w:hAnsi="ff2" w:cs="Times New Roman"/>
          <w:spacing w:val="48"/>
          <w:sz w:val="119"/>
          <w:szCs w:val="119"/>
          <w:lang w:eastAsia="ko-KR"/>
        </w:rPr>
        <w:t xml:space="preserve">The </w:t>
      </w:r>
      <w:proofErr w:type="gramStart"/>
      <w:r w:rsidRPr="007A775B">
        <w:rPr>
          <w:rFonts w:ascii="ff2" w:eastAsia="Times New Roman" w:hAnsi="ff2" w:cs="Times New Roman"/>
          <w:spacing w:val="12"/>
          <w:sz w:val="119"/>
          <w:szCs w:val="119"/>
          <w:lang w:eastAsia="ko-KR"/>
        </w:rPr>
        <w:t>activists  who</w:t>
      </w:r>
      <w:proofErr w:type="gramEnd"/>
      <w:r w:rsidRPr="007A775B">
        <w:rPr>
          <w:rFonts w:ascii="ff2" w:eastAsia="Times New Roman" w:hAnsi="ff2" w:cs="Times New Roman"/>
          <w:spacing w:val="12"/>
          <w:sz w:val="119"/>
          <w:szCs w:val="119"/>
          <w:lang w:eastAsia="ko-KR"/>
        </w:rPr>
        <w:t xml:space="preserve"> created the  various  </w:t>
      </w:r>
      <w:r w:rsidRPr="007A775B">
        <w:rPr>
          <w:rFonts w:ascii="ff2" w:eastAsia="Times New Roman" w:hAnsi="ff2" w:cs="Times New Roman"/>
          <w:spacing w:val="36"/>
          <w:sz w:val="119"/>
          <w:szCs w:val="119"/>
          <w:lang w:eastAsia="ko-KR"/>
        </w:rPr>
        <w:t xml:space="preserve">dis-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r w:rsidRPr="007A775B">
        <w:rPr>
          <w:rFonts w:ascii="ff2" w:eastAsia="Times New Roman" w:hAnsi="ff2" w:cs="Times New Roman"/>
          <w:sz w:val="119"/>
          <w:szCs w:val="119"/>
          <w:lang w:eastAsia="ko-KR"/>
        </w:rPr>
        <w:t xml:space="preserve">ability  rights  </w:t>
      </w:r>
      <w:r w:rsidRPr="007A775B">
        <w:rPr>
          <w:rFonts w:ascii="ff2" w:eastAsia="Times New Roman" w:hAnsi="ff2" w:cs="Times New Roman"/>
          <w:spacing w:val="12"/>
          <w:sz w:val="119"/>
          <w:szCs w:val="119"/>
          <w:lang w:eastAsia="ko-KR"/>
        </w:rPr>
        <w:t xml:space="preserve">organizations  redefined  disability  </w:t>
      </w:r>
      <w:r w:rsidRPr="007A775B">
        <w:rPr>
          <w:rFonts w:ascii="ff2" w:eastAsia="Times New Roman" w:hAnsi="ff2" w:cs="Times New Roman"/>
          <w:sz w:val="119"/>
          <w:szCs w:val="119"/>
          <w:lang w:eastAsia="ko-KR"/>
        </w:rPr>
        <w:t xml:space="preserve">in  </w:t>
      </w:r>
      <w:r w:rsidRPr="007A775B">
        <w:rPr>
          <w:rFonts w:ascii="ff2" w:eastAsia="Times New Roman" w:hAnsi="ff2" w:cs="Times New Roman"/>
          <w:spacing w:val="12"/>
          <w:sz w:val="119"/>
          <w:szCs w:val="119"/>
          <w:lang w:eastAsia="ko-KR"/>
        </w:rPr>
        <w:t xml:space="preserve">this  way  and  sought  </w:t>
      </w:r>
      <w:r w:rsidRPr="007A775B">
        <w:rPr>
          <w:rFonts w:ascii="ff2" w:eastAsia="Times New Roman" w:hAnsi="ff2" w:cs="Times New Roman"/>
          <w:spacing w:val="48"/>
          <w:sz w:val="119"/>
          <w:szCs w:val="119"/>
          <w:lang w:eastAsia="ko-KR"/>
        </w:rPr>
        <w:t xml:space="preserve">to </w:t>
      </w:r>
      <w:r w:rsidRPr="007A775B">
        <w:rPr>
          <w:rFonts w:ascii="ff2" w:eastAsia="Times New Roman" w:hAnsi="ff2" w:cs="Times New Roman"/>
          <w:spacing w:val="12"/>
          <w:sz w:val="119"/>
          <w:szCs w:val="119"/>
          <w:lang w:eastAsia="ko-KR"/>
        </w:rPr>
        <w:t xml:space="preserve">have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7A775B">
        <w:rPr>
          <w:rFonts w:ascii="ff2" w:eastAsia="Times New Roman" w:hAnsi="ff2" w:cs="Times New Roman"/>
          <w:sz w:val="119"/>
          <w:szCs w:val="119"/>
          <w:lang w:eastAsia="ko-KR"/>
        </w:rPr>
        <w:t>this</w:t>
      </w:r>
      <w:proofErr w:type="gramEnd"/>
      <w:r w:rsidRPr="007A775B">
        <w:rPr>
          <w:rFonts w:ascii="ff2" w:eastAsia="Times New Roman" w:hAnsi="ff2" w:cs="Times New Roman"/>
          <w:sz w:val="119"/>
          <w:szCs w:val="119"/>
          <w:lang w:eastAsia="ko-KR"/>
        </w:rPr>
        <w:t xml:space="preserve"> redefinition  </w:t>
      </w:r>
      <w:r w:rsidRPr="007A775B">
        <w:rPr>
          <w:rFonts w:ascii="ff2" w:eastAsia="Times New Roman" w:hAnsi="ff2" w:cs="Times New Roman"/>
          <w:spacing w:val="12"/>
          <w:sz w:val="119"/>
          <w:szCs w:val="119"/>
          <w:lang w:eastAsia="ko-KR"/>
        </w:rPr>
        <w:t xml:space="preserve">institutionalized and accepted </w:t>
      </w:r>
      <w:r w:rsidRPr="007A775B">
        <w:rPr>
          <w:rFonts w:ascii="ff2" w:eastAsia="Times New Roman" w:hAnsi="ff2" w:cs="Times New Roman"/>
          <w:spacing w:val="-12"/>
          <w:sz w:val="119"/>
          <w:szCs w:val="119"/>
          <w:lang w:eastAsia="ko-KR"/>
        </w:rPr>
        <w:t xml:space="preserve">in </w:t>
      </w:r>
      <w:r w:rsidRPr="007A775B">
        <w:rPr>
          <w:rFonts w:ascii="ff2" w:eastAsia="Times New Roman" w:hAnsi="ff2" w:cs="Times New Roman"/>
          <w:spacing w:val="12"/>
          <w:sz w:val="119"/>
          <w:szCs w:val="119"/>
          <w:lang w:eastAsia="ko-KR"/>
        </w:rPr>
        <w:t xml:space="preserve">public policy </w:t>
      </w:r>
      <w:r w:rsidRPr="007A775B">
        <w:rPr>
          <w:rFonts w:ascii="ff2" w:eastAsia="Times New Roman" w:hAnsi="ff2" w:cs="Times New Roman"/>
          <w:sz w:val="119"/>
          <w:szCs w:val="119"/>
          <w:lang w:eastAsia="ko-KR"/>
        </w:rPr>
        <w:t xml:space="preserve">and by </w:t>
      </w:r>
      <w:r w:rsidRPr="007A775B">
        <w:rPr>
          <w:rFonts w:ascii="ff2" w:eastAsia="Times New Roman" w:hAnsi="ff2" w:cs="Times New Roman"/>
          <w:spacing w:val="36"/>
          <w:sz w:val="119"/>
          <w:szCs w:val="119"/>
          <w:lang w:eastAsia="ko-KR"/>
        </w:rPr>
        <w:t xml:space="preserve">the </w:t>
      </w:r>
      <w:r w:rsidRPr="007A775B">
        <w:rPr>
          <w:rFonts w:ascii="ff2" w:eastAsia="Times New Roman" w:hAnsi="ff2" w:cs="Times New Roman"/>
          <w:spacing w:val="12"/>
          <w:sz w:val="119"/>
          <w:szCs w:val="119"/>
          <w:lang w:eastAsia="ko-KR"/>
        </w:rPr>
        <w:t xml:space="preserve">general </w:t>
      </w:r>
    </w:p>
    <w:p w:rsidR="00F703ED" w:rsidRPr="007A775B"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7A775B">
        <w:rPr>
          <w:rFonts w:ascii="ff2" w:eastAsia="Times New Roman" w:hAnsi="ff2" w:cs="Times New Roman"/>
          <w:spacing w:val="12"/>
          <w:sz w:val="119"/>
          <w:szCs w:val="119"/>
          <w:lang w:eastAsia="ko-KR"/>
        </w:rPr>
        <w:t>public</w:t>
      </w:r>
      <w:proofErr w:type="gramEnd"/>
      <w:r w:rsidRPr="007A775B">
        <w:rPr>
          <w:rFonts w:ascii="ff2" w:eastAsia="Times New Roman" w:hAnsi="ff2" w:cs="Times New Roman"/>
          <w:spacing w:val="12"/>
          <w:sz w:val="119"/>
          <w:szCs w:val="119"/>
          <w:lang w:eastAsia="ko-KR"/>
        </w:rPr>
        <w:t xml:space="preserve">. </w:t>
      </w:r>
    </w:p>
    <w:p w:rsidR="00F703ED" w:rsidRPr="007A775B" w:rsidRDefault="00F703ED" w:rsidP="00F703ED">
      <w:pPr>
        <w:shd w:val="clear" w:color="auto" w:fill="FFFFFF"/>
        <w:spacing w:after="0" w:line="0" w:lineRule="auto"/>
        <w:rPr>
          <w:rFonts w:ascii="ff2" w:eastAsia="Times New Roman" w:hAnsi="ff2" w:cs="Times New Roman"/>
          <w:spacing w:val="12"/>
          <w:sz w:val="119"/>
          <w:szCs w:val="119"/>
          <w:lang w:eastAsia="ko-KR"/>
        </w:rPr>
      </w:pPr>
      <w:r w:rsidRPr="007A775B">
        <w:rPr>
          <w:rFonts w:ascii="ff2" w:eastAsia="Times New Roman" w:hAnsi="ff2" w:cs="Times New Roman"/>
          <w:spacing w:val="12"/>
          <w:sz w:val="119"/>
          <w:szCs w:val="119"/>
          <w:lang w:eastAsia="ko-KR"/>
        </w:rPr>
        <w:t xml:space="preserve">However,  the  political  and  financial  resources  </w:t>
      </w:r>
      <w:r w:rsidRPr="007A775B">
        <w:rPr>
          <w:rFonts w:ascii="ff2" w:eastAsia="Times New Roman" w:hAnsi="ff2" w:cs="Times New Roman"/>
          <w:sz w:val="119"/>
          <w:szCs w:val="119"/>
          <w:lang w:eastAsia="ko-KR"/>
        </w:rPr>
        <w:t xml:space="preserve">of  </w:t>
      </w:r>
      <w:r w:rsidRPr="007A775B">
        <w:rPr>
          <w:rFonts w:ascii="ff2" w:eastAsia="Times New Roman" w:hAnsi="ff2" w:cs="Times New Roman"/>
          <w:spacing w:val="12"/>
          <w:sz w:val="119"/>
          <w:szCs w:val="119"/>
          <w:lang w:eastAsia="ko-KR"/>
        </w:rPr>
        <w:t xml:space="preserve">most  </w:t>
      </w:r>
      <w:r w:rsidRPr="007A775B">
        <w:rPr>
          <w:rFonts w:ascii="ff2" w:eastAsia="Times New Roman" w:hAnsi="ff2" w:cs="Times New Roman"/>
          <w:sz w:val="119"/>
          <w:szCs w:val="119"/>
          <w:lang w:eastAsia="ko-KR"/>
        </w:rPr>
        <w:t xml:space="preserve">of  the  </w:t>
      </w:r>
      <w:r w:rsidRPr="007A775B">
        <w:rPr>
          <w:rFonts w:ascii="ff2" w:eastAsia="Times New Roman" w:hAnsi="ff2" w:cs="Times New Roman"/>
          <w:spacing w:val="12"/>
          <w:sz w:val="119"/>
          <w:szCs w:val="119"/>
          <w:lang w:eastAsia="ko-KR"/>
        </w:rPr>
        <w:t xml:space="preserve">disability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7A775B">
        <w:rPr>
          <w:rFonts w:ascii="ff2" w:eastAsia="Times New Roman" w:hAnsi="ff2" w:cs="Times New Roman"/>
          <w:sz w:val="119"/>
          <w:szCs w:val="119"/>
          <w:lang w:eastAsia="ko-KR"/>
        </w:rPr>
        <w:t>rights</w:t>
      </w:r>
      <w:proofErr w:type="gramEnd"/>
      <w:r w:rsidRPr="007A775B">
        <w:rPr>
          <w:rFonts w:ascii="ff2" w:eastAsia="Times New Roman" w:hAnsi="ff2" w:cs="Times New Roman"/>
          <w:sz w:val="119"/>
          <w:szCs w:val="119"/>
          <w:lang w:eastAsia="ko-KR"/>
        </w:rPr>
        <w:t xml:space="preserve"> </w:t>
      </w:r>
      <w:r w:rsidRPr="007A775B">
        <w:rPr>
          <w:rFonts w:ascii="ff2" w:eastAsia="Times New Roman" w:hAnsi="ff2" w:cs="Times New Roman"/>
          <w:spacing w:val="12"/>
          <w:sz w:val="119"/>
          <w:szCs w:val="119"/>
          <w:lang w:eastAsia="ko-KR"/>
        </w:rPr>
        <w:t xml:space="preserve">organizations were extremely  limited. A major proportion </w:t>
      </w:r>
    </w:p>
    <w:p w:rsidR="00F703ED" w:rsidRPr="007A775B" w:rsidRDefault="00F703ED" w:rsidP="00F703ED">
      <w:pPr>
        <w:shd w:val="clear" w:color="auto" w:fill="FFFFFF"/>
        <w:spacing w:after="0" w:line="0" w:lineRule="auto"/>
        <w:rPr>
          <w:rFonts w:ascii="ff2" w:eastAsia="Times New Roman" w:hAnsi="ff2" w:cs="Times New Roman"/>
          <w:spacing w:val="-73"/>
          <w:sz w:val="121"/>
          <w:szCs w:val="121"/>
          <w:lang w:eastAsia="ko-KR"/>
        </w:rPr>
      </w:pPr>
      <w:proofErr w:type="gramStart"/>
      <w:r w:rsidRPr="007A775B">
        <w:rPr>
          <w:rFonts w:ascii="ff2" w:eastAsia="Times New Roman" w:hAnsi="ff2" w:cs="Times New Roman"/>
          <w:spacing w:val="-73"/>
          <w:sz w:val="121"/>
          <w:szCs w:val="121"/>
          <w:lang w:eastAsia="ko-KR"/>
        </w:rPr>
        <w:t>of</w:t>
      </w:r>
      <w:proofErr w:type="gramEnd"/>
      <w:r w:rsidRPr="007A775B">
        <w:rPr>
          <w:rFonts w:ascii="ff2" w:eastAsia="Times New Roman" w:hAnsi="ff2" w:cs="Times New Roman"/>
          <w:spacing w:val="-73"/>
          <w:sz w:val="121"/>
          <w:szCs w:val="121"/>
          <w:lang w:eastAsia="ko-KR"/>
        </w:rPr>
        <w:t xml:space="preserve"> </w:t>
      </w:r>
    </w:p>
    <w:p w:rsidR="00F703ED" w:rsidRPr="007A775B"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7A775B">
        <w:rPr>
          <w:rFonts w:ascii="ff2" w:eastAsia="Times New Roman" w:hAnsi="ff2" w:cs="Times New Roman"/>
          <w:spacing w:val="12"/>
          <w:sz w:val="119"/>
          <w:szCs w:val="119"/>
          <w:lang w:eastAsia="ko-KR"/>
        </w:rPr>
        <w:t>their</w:t>
      </w:r>
      <w:proofErr w:type="gramEnd"/>
      <w:r w:rsidRPr="007A775B">
        <w:rPr>
          <w:rFonts w:ascii="ff2" w:eastAsia="Times New Roman" w:hAnsi="ff2" w:cs="Times New Roman"/>
          <w:spacing w:val="12"/>
          <w:sz w:val="119"/>
          <w:szCs w:val="119"/>
          <w:lang w:eastAsia="ko-KR"/>
        </w:rPr>
        <w:t xml:space="preserve"> budgets </w:t>
      </w:r>
    </w:p>
    <w:p w:rsidR="00F703ED" w:rsidRPr="007A775B"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7A775B">
        <w:rPr>
          <w:rFonts w:ascii="ff2" w:eastAsia="Times New Roman" w:hAnsi="ff2" w:cs="Times New Roman"/>
          <w:spacing w:val="-12"/>
          <w:sz w:val="119"/>
          <w:szCs w:val="119"/>
          <w:lang w:eastAsia="ko-KR"/>
        </w:rPr>
        <w:t>in</w:t>
      </w:r>
      <w:proofErr w:type="gramEnd"/>
      <w:r w:rsidRPr="007A775B">
        <w:rPr>
          <w:rFonts w:ascii="ff2" w:eastAsia="Times New Roman" w:hAnsi="ff2" w:cs="Times New Roman"/>
          <w:spacing w:val="-12"/>
          <w:sz w:val="119"/>
          <w:szCs w:val="119"/>
          <w:lang w:eastAsia="ko-KR"/>
        </w:rPr>
        <w:t xml:space="preserve"> </w:t>
      </w:r>
      <w:r w:rsidRPr="007A775B">
        <w:rPr>
          <w:rFonts w:ascii="ff2" w:eastAsia="Times New Roman" w:hAnsi="ff2" w:cs="Times New Roman"/>
          <w:sz w:val="119"/>
          <w:szCs w:val="119"/>
          <w:lang w:eastAsia="ko-KR"/>
        </w:rPr>
        <w:t xml:space="preserve">the  </w:t>
      </w:r>
      <w:r w:rsidRPr="007A775B">
        <w:rPr>
          <w:rFonts w:ascii="ff2" w:eastAsia="Times New Roman" w:hAnsi="ff2" w:cs="Times New Roman"/>
          <w:spacing w:val="12"/>
          <w:sz w:val="119"/>
          <w:szCs w:val="119"/>
          <w:lang w:eastAsia="ko-KR"/>
        </w:rPr>
        <w:t xml:space="preserve">late </w:t>
      </w:r>
    </w:p>
    <w:p w:rsidR="00F703ED" w:rsidRPr="007A775B" w:rsidRDefault="00F703ED" w:rsidP="00F703ED">
      <w:pPr>
        <w:shd w:val="clear" w:color="auto" w:fill="FFFFFF"/>
        <w:spacing w:after="0" w:line="0" w:lineRule="auto"/>
        <w:rPr>
          <w:rFonts w:ascii="ff2" w:eastAsia="Times New Roman" w:hAnsi="ff2" w:cs="Times New Roman"/>
          <w:spacing w:val="-12"/>
          <w:sz w:val="121"/>
          <w:szCs w:val="121"/>
          <w:lang w:eastAsia="ko-KR"/>
        </w:rPr>
      </w:pPr>
      <w:r w:rsidRPr="007A775B">
        <w:rPr>
          <w:rFonts w:ascii="ff2" w:eastAsia="Times New Roman" w:hAnsi="ff2" w:cs="Times New Roman"/>
          <w:spacing w:val="-12"/>
          <w:sz w:val="121"/>
          <w:szCs w:val="121"/>
          <w:lang w:eastAsia="ko-KR"/>
        </w:rPr>
        <w:t xml:space="preserve">1970s </w:t>
      </w:r>
    </w:p>
    <w:p w:rsidR="00F703ED" w:rsidRPr="007A775B"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7A775B">
        <w:rPr>
          <w:rFonts w:ascii="ff2" w:eastAsia="Times New Roman" w:hAnsi="ff2" w:cs="Times New Roman"/>
          <w:spacing w:val="12"/>
          <w:sz w:val="119"/>
          <w:szCs w:val="119"/>
          <w:lang w:eastAsia="ko-KR"/>
        </w:rPr>
        <w:t>was</w:t>
      </w:r>
      <w:proofErr w:type="gramEnd"/>
      <w:r w:rsidRPr="007A775B">
        <w:rPr>
          <w:rFonts w:ascii="ff2" w:eastAsia="Times New Roman" w:hAnsi="ff2" w:cs="Times New Roman"/>
          <w:spacing w:val="12"/>
          <w:sz w:val="119"/>
          <w:szCs w:val="119"/>
          <w:lang w:eastAsia="ko-KR"/>
        </w:rPr>
        <w:t xml:space="preserve"> provided  </w:t>
      </w:r>
      <w:r w:rsidRPr="007A775B">
        <w:rPr>
          <w:rFonts w:ascii="ff2" w:eastAsia="Times New Roman" w:hAnsi="ff2" w:cs="Times New Roman"/>
          <w:sz w:val="119"/>
          <w:szCs w:val="119"/>
          <w:lang w:eastAsia="ko-KR"/>
        </w:rPr>
        <w:t xml:space="preserve">by  </w:t>
      </w:r>
      <w:r w:rsidRPr="007A775B">
        <w:rPr>
          <w:rFonts w:ascii="ff2" w:eastAsia="Times New Roman" w:hAnsi="ff2" w:cs="Times New Roman"/>
          <w:spacing w:val="12"/>
          <w:sz w:val="119"/>
          <w:szCs w:val="119"/>
          <w:lang w:eastAsia="ko-KR"/>
        </w:rPr>
        <w:t xml:space="preserve">the  federal  government  </w:t>
      </w:r>
      <w:r w:rsidRPr="007A775B">
        <w:rPr>
          <w:rFonts w:ascii="ff2" w:eastAsia="Times New Roman" w:hAnsi="ff2" w:cs="Times New Roman"/>
          <w:sz w:val="119"/>
          <w:szCs w:val="119"/>
          <w:lang w:eastAsia="ko-KR"/>
        </w:rPr>
        <w:t xml:space="preserve">in </w:t>
      </w:r>
      <w:r w:rsidRPr="007A775B">
        <w:rPr>
          <w:rFonts w:ascii="ff2" w:eastAsia="Times New Roman" w:hAnsi="ff2" w:cs="Times New Roman"/>
          <w:spacing w:val="12"/>
          <w:sz w:val="119"/>
          <w:szCs w:val="119"/>
          <w:lang w:eastAsia="ko-KR"/>
        </w:rPr>
        <w:t xml:space="preserve">the </w:t>
      </w:r>
      <w:r w:rsidRPr="007A775B">
        <w:rPr>
          <w:rFonts w:ascii="ff2" w:eastAsia="Times New Roman" w:hAnsi="ff2" w:cs="Times New Roman"/>
          <w:spacing w:val="36"/>
          <w:sz w:val="119"/>
          <w:szCs w:val="119"/>
          <w:lang w:eastAsia="ko-KR"/>
        </w:rPr>
        <w:t xml:space="preserve">form </w:t>
      </w:r>
      <w:r w:rsidRPr="007A775B">
        <w:rPr>
          <w:rFonts w:ascii="ff2" w:eastAsia="Times New Roman" w:hAnsi="ff2" w:cs="Times New Roman"/>
          <w:sz w:val="119"/>
          <w:szCs w:val="119"/>
          <w:lang w:eastAsia="ko-KR"/>
        </w:rPr>
        <w:t xml:space="preserve">of </w:t>
      </w:r>
      <w:r w:rsidRPr="007A775B">
        <w:rPr>
          <w:rFonts w:ascii="ff2" w:eastAsia="Times New Roman" w:hAnsi="ff2" w:cs="Times New Roman"/>
          <w:spacing w:val="12"/>
          <w:sz w:val="119"/>
          <w:szCs w:val="119"/>
          <w:lang w:eastAsia="ko-KR"/>
        </w:rPr>
        <w:t xml:space="preserve">grants </w:t>
      </w:r>
    </w:p>
    <w:p w:rsidR="00F703ED" w:rsidRPr="007A775B" w:rsidRDefault="00F703ED" w:rsidP="00F703ED">
      <w:pPr>
        <w:shd w:val="clear" w:color="auto" w:fill="FFFFFF"/>
        <w:spacing w:after="0" w:line="0" w:lineRule="auto"/>
        <w:rPr>
          <w:rFonts w:ascii="ff2" w:eastAsia="Times New Roman" w:hAnsi="ff2" w:cs="Times New Roman"/>
          <w:sz w:val="119"/>
          <w:szCs w:val="119"/>
          <w:lang w:eastAsia="ko-KR"/>
        </w:rPr>
      </w:pPr>
      <w:r w:rsidRPr="007A775B">
        <w:rPr>
          <w:rFonts w:ascii="ff2" w:eastAsia="Times New Roman" w:hAnsi="ff2" w:cs="Times New Roman"/>
          <w:sz w:val="119"/>
          <w:szCs w:val="119"/>
          <w:lang w:eastAsia="ko-KR"/>
        </w:rPr>
        <w:t xml:space="preserve">and  </w:t>
      </w:r>
      <w:r w:rsidRPr="007A775B">
        <w:rPr>
          <w:rFonts w:ascii="ff2" w:eastAsia="Times New Roman" w:hAnsi="ff2" w:cs="Times New Roman"/>
          <w:spacing w:val="12"/>
          <w:sz w:val="119"/>
          <w:szCs w:val="119"/>
          <w:lang w:eastAsia="ko-KR"/>
        </w:rPr>
        <w:t xml:space="preserve">contracts,  and  substantial  amounts  of  this  federal  funding  were  used </w:t>
      </w:r>
    </w:p>
    <w:p w:rsidR="00F703ED" w:rsidRPr="007A775B" w:rsidRDefault="00F703ED" w:rsidP="00F703ED">
      <w:pPr>
        <w:shd w:val="clear" w:color="auto" w:fill="FFFFFF"/>
        <w:spacing w:after="0" w:line="0" w:lineRule="auto"/>
        <w:rPr>
          <w:rFonts w:ascii="ff6" w:eastAsia="Times New Roman" w:hAnsi="ff6" w:cs="Times New Roman"/>
          <w:spacing w:val="-87"/>
          <w:sz w:val="124"/>
          <w:szCs w:val="124"/>
          <w:lang w:eastAsia="ko-KR"/>
        </w:rPr>
      </w:pPr>
      <w:proofErr w:type="gramStart"/>
      <w:r w:rsidRPr="007A775B">
        <w:rPr>
          <w:rFonts w:ascii="ff6" w:eastAsia="Times New Roman" w:hAnsi="ff6" w:cs="Times New Roman"/>
          <w:spacing w:val="-87"/>
          <w:sz w:val="124"/>
          <w:szCs w:val="124"/>
          <w:lang w:eastAsia="ko-KR"/>
        </w:rPr>
        <w:t>for</w:t>
      </w:r>
      <w:proofErr w:type="gramEnd"/>
      <w:r w:rsidRPr="007A775B">
        <w:rPr>
          <w:rFonts w:ascii="ff6" w:eastAsia="Times New Roman" w:hAnsi="ff6" w:cs="Times New Roman"/>
          <w:spacing w:val="-87"/>
          <w:sz w:val="124"/>
          <w:szCs w:val="124"/>
          <w:lang w:eastAsia="ko-KR"/>
        </w:rPr>
        <w:t xml:space="preserve"> </w:t>
      </w:r>
    </w:p>
    <w:p w:rsidR="00F703ED" w:rsidRPr="00CD6F62" w:rsidRDefault="00F703ED" w:rsidP="00F703ED">
      <w:pPr>
        <w:shd w:val="clear" w:color="auto" w:fill="FFFFFF"/>
        <w:spacing w:after="0" w:line="0" w:lineRule="auto"/>
        <w:rPr>
          <w:rFonts w:ascii="ff6" w:eastAsia="Times New Roman" w:hAnsi="ff6" w:cs="Times New Roman"/>
          <w:spacing w:val="-12"/>
          <w:sz w:val="124"/>
          <w:szCs w:val="124"/>
          <w:lang w:eastAsia="ko-KR"/>
        </w:rPr>
      </w:pPr>
      <w:r w:rsidRPr="00CD6F62">
        <w:rPr>
          <w:rFonts w:ascii="ff6" w:eastAsia="Times New Roman" w:hAnsi="ff6" w:cs="Times New Roman"/>
          <w:spacing w:val="-12"/>
          <w:sz w:val="124"/>
          <w:szCs w:val="124"/>
          <w:lang w:eastAsia="ko-KR"/>
        </w:rPr>
        <w:t xml:space="preserve">The Role </w:t>
      </w:r>
    </w:p>
    <w:p w:rsidR="00F703ED" w:rsidRPr="00CD6F62" w:rsidRDefault="00F703ED" w:rsidP="00F703ED">
      <w:pPr>
        <w:shd w:val="clear" w:color="auto" w:fill="FFFFFF"/>
        <w:spacing w:after="0" w:line="0" w:lineRule="auto"/>
        <w:rPr>
          <w:rFonts w:ascii="ff6" w:eastAsia="Times New Roman" w:hAnsi="ff6" w:cs="Times New Roman"/>
          <w:spacing w:val="-75"/>
          <w:sz w:val="125"/>
          <w:szCs w:val="125"/>
          <w:lang w:eastAsia="ko-KR"/>
        </w:rPr>
      </w:pPr>
      <w:proofErr w:type="gramStart"/>
      <w:r w:rsidRPr="00CD6F62">
        <w:rPr>
          <w:rFonts w:ascii="ff6" w:eastAsia="Times New Roman" w:hAnsi="ff6" w:cs="Times New Roman"/>
          <w:spacing w:val="-75"/>
          <w:sz w:val="125"/>
          <w:szCs w:val="125"/>
          <w:lang w:eastAsia="ko-KR"/>
        </w:rPr>
        <w:t>of</w:t>
      </w:r>
      <w:proofErr w:type="gramEnd"/>
      <w:r w:rsidRPr="00CD6F62">
        <w:rPr>
          <w:rFonts w:ascii="ff6" w:eastAsia="Times New Roman" w:hAnsi="ff6" w:cs="Times New Roman"/>
          <w:spacing w:val="-75"/>
          <w:sz w:val="125"/>
          <w:szCs w:val="125"/>
          <w:lang w:eastAsia="ko-KR"/>
        </w:rPr>
        <w:t xml:space="preserve"> </w:t>
      </w:r>
    </w:p>
    <w:p w:rsidR="00F703ED" w:rsidRPr="00CD6F62" w:rsidRDefault="00F703ED" w:rsidP="00F703ED">
      <w:pPr>
        <w:shd w:val="clear" w:color="auto" w:fill="FFFFFF"/>
        <w:spacing w:after="0" w:line="0" w:lineRule="auto"/>
        <w:rPr>
          <w:rFonts w:ascii="ff6" w:eastAsia="Times New Roman" w:hAnsi="ff6" w:cs="Times New Roman"/>
          <w:spacing w:val="-12"/>
          <w:sz w:val="124"/>
          <w:szCs w:val="124"/>
          <w:lang w:eastAsia="ko-KR"/>
        </w:rPr>
      </w:pPr>
      <w:proofErr w:type="gramStart"/>
      <w:r w:rsidRPr="00CD6F62">
        <w:rPr>
          <w:rFonts w:ascii="ff6" w:eastAsia="Times New Roman" w:hAnsi="ff6" w:cs="Times New Roman"/>
          <w:spacing w:val="-12"/>
          <w:sz w:val="124"/>
          <w:szCs w:val="124"/>
          <w:lang w:eastAsia="ko-KR"/>
        </w:rPr>
        <w:t>the</w:t>
      </w:r>
      <w:proofErr w:type="gramEnd"/>
      <w:r w:rsidRPr="00CD6F62">
        <w:rPr>
          <w:rFonts w:ascii="ff6" w:eastAsia="Times New Roman" w:hAnsi="ff6" w:cs="Times New Roman"/>
          <w:spacing w:val="-12"/>
          <w:sz w:val="124"/>
          <w:szCs w:val="124"/>
          <w:lang w:eastAsia="ko-KR"/>
        </w:rPr>
        <w:t xml:space="preserve"> </w:t>
      </w:r>
      <w:r w:rsidRPr="00CD6F62">
        <w:rPr>
          <w:rFonts w:ascii="ff6" w:eastAsia="Times New Roman" w:hAnsi="ff6" w:cs="Times New Roman"/>
          <w:sz w:val="124"/>
          <w:szCs w:val="124"/>
          <w:lang w:eastAsia="ko-KR"/>
        </w:rPr>
        <w:t xml:space="preserve">State </w:t>
      </w:r>
      <w:r w:rsidRPr="00CD6F62">
        <w:rPr>
          <w:rFonts w:ascii="ff6" w:eastAsia="Times New Roman" w:hAnsi="ff6" w:cs="Times New Roman"/>
          <w:spacing w:val="-25"/>
          <w:sz w:val="124"/>
          <w:szCs w:val="124"/>
          <w:lang w:eastAsia="ko-KR"/>
        </w:rPr>
        <w:t xml:space="preserve">in  </w:t>
      </w:r>
      <w:r w:rsidRPr="00CD6F62">
        <w:rPr>
          <w:rFonts w:ascii="ff6" w:eastAsia="Times New Roman" w:hAnsi="ff6" w:cs="Times New Roman"/>
          <w:sz w:val="124"/>
          <w:szCs w:val="124"/>
          <w:lang w:eastAsia="ko-KR"/>
        </w:rPr>
        <w:t xml:space="preserve">Redefining </w:t>
      </w:r>
      <w:r w:rsidRPr="00CD6F62">
        <w:rPr>
          <w:rFonts w:ascii="ff6" w:eastAsia="Times New Roman" w:hAnsi="ff6" w:cs="Times New Roman"/>
          <w:spacing w:val="-12"/>
          <w:sz w:val="124"/>
          <w:szCs w:val="124"/>
          <w:lang w:eastAsia="ko-KR"/>
        </w:rPr>
        <w:t xml:space="preserve">Disability </w:t>
      </w:r>
    </w:p>
    <w:p w:rsidR="00F703ED" w:rsidRPr="00CD6F62" w:rsidRDefault="00F703ED" w:rsidP="00F703ED">
      <w:pPr>
        <w:shd w:val="clear" w:color="auto" w:fill="FFFFFF"/>
        <w:spacing w:after="0" w:line="0" w:lineRule="auto"/>
        <w:rPr>
          <w:rFonts w:ascii="ff2" w:eastAsia="Times New Roman" w:hAnsi="ff2" w:cs="Times New Roman"/>
          <w:spacing w:val="36"/>
          <w:sz w:val="119"/>
          <w:szCs w:val="119"/>
          <w:lang w:eastAsia="ko-KR"/>
        </w:rPr>
      </w:pPr>
      <w:r w:rsidRPr="00CD6F62">
        <w:rPr>
          <w:rFonts w:ascii="ff2" w:eastAsia="Times New Roman" w:hAnsi="ff2" w:cs="Times New Roman"/>
          <w:spacing w:val="36"/>
          <w:sz w:val="119"/>
          <w:szCs w:val="119"/>
          <w:lang w:eastAsia="ko-KR"/>
        </w:rPr>
        <w:t xml:space="preserve">The above </w:t>
      </w:r>
      <w:proofErr w:type="gramStart"/>
      <w:r w:rsidRPr="00CD6F62">
        <w:rPr>
          <w:rFonts w:ascii="ff2" w:eastAsia="Times New Roman" w:hAnsi="ff2" w:cs="Times New Roman"/>
          <w:spacing w:val="12"/>
          <w:sz w:val="119"/>
          <w:szCs w:val="119"/>
          <w:lang w:eastAsia="ko-KR"/>
        </w:rPr>
        <w:t xml:space="preserve">discussion  </w:t>
      </w:r>
      <w:r w:rsidRPr="00CD6F62">
        <w:rPr>
          <w:rFonts w:ascii="ff2" w:eastAsia="Times New Roman" w:hAnsi="ff2" w:cs="Times New Roman"/>
          <w:sz w:val="119"/>
          <w:szCs w:val="119"/>
          <w:lang w:eastAsia="ko-KR"/>
        </w:rPr>
        <w:t>of</w:t>
      </w:r>
      <w:proofErr w:type="gramEnd"/>
      <w:r w:rsidRPr="00CD6F62">
        <w:rPr>
          <w:rFonts w:ascii="ff2" w:eastAsia="Times New Roman" w:hAnsi="ff2" w:cs="Times New Roman"/>
          <w:sz w:val="119"/>
          <w:szCs w:val="119"/>
          <w:lang w:eastAsia="ko-KR"/>
        </w:rPr>
        <w:t xml:space="preserve">  </w:t>
      </w:r>
      <w:r w:rsidRPr="00CD6F62">
        <w:rPr>
          <w:rFonts w:ascii="ff2" w:eastAsia="Times New Roman" w:hAnsi="ff2" w:cs="Times New Roman"/>
          <w:spacing w:val="12"/>
          <w:sz w:val="119"/>
          <w:szCs w:val="119"/>
          <w:lang w:eastAsia="ko-KR"/>
        </w:rPr>
        <w:t xml:space="preserve">barriers  to  political  activism  </w:t>
      </w:r>
      <w:r w:rsidRPr="00CD6F62">
        <w:rPr>
          <w:rFonts w:ascii="ff2" w:eastAsia="Times New Roman" w:hAnsi="ff2" w:cs="Times New Roman"/>
          <w:spacing w:val="-12"/>
          <w:sz w:val="119"/>
          <w:szCs w:val="119"/>
          <w:lang w:eastAsia="ko-KR"/>
        </w:rPr>
        <w:t xml:space="preserve">by  </w:t>
      </w:r>
      <w:r w:rsidRPr="00CD6F62">
        <w:rPr>
          <w:rFonts w:ascii="ff2" w:eastAsia="Times New Roman" w:hAnsi="ff2" w:cs="Times New Roman"/>
          <w:spacing w:val="12"/>
          <w:sz w:val="119"/>
          <w:szCs w:val="119"/>
          <w:lang w:eastAsia="ko-KR"/>
        </w:rPr>
        <w:t xml:space="preserve">disabled  people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suggested</w:t>
      </w:r>
      <w:proofErr w:type="gramEnd"/>
      <w:r w:rsidRPr="00CD6F62">
        <w:rPr>
          <w:rFonts w:ascii="ff2" w:eastAsia="Times New Roman" w:hAnsi="ff2" w:cs="Times New Roman"/>
          <w:sz w:val="119"/>
          <w:szCs w:val="119"/>
          <w:lang w:eastAsia="ko-KR"/>
        </w:rPr>
        <w:t xml:space="preserve"> that </w:t>
      </w:r>
      <w:r w:rsidRPr="00CD6F62">
        <w:rPr>
          <w:rFonts w:ascii="ff2" w:eastAsia="Times New Roman" w:hAnsi="ff2" w:cs="Times New Roman"/>
          <w:spacing w:val="12"/>
          <w:sz w:val="119"/>
          <w:szCs w:val="119"/>
          <w:lang w:eastAsia="ko-KR"/>
        </w:rPr>
        <w:t xml:space="preserve">a prerequisite </w:t>
      </w:r>
      <w:r w:rsidRPr="00CD6F62">
        <w:rPr>
          <w:rFonts w:ascii="ff2" w:eastAsia="Times New Roman" w:hAnsi="ff2" w:cs="Times New Roman"/>
          <w:spacing w:val="48"/>
          <w:sz w:val="119"/>
          <w:szCs w:val="119"/>
          <w:lang w:eastAsia="ko-KR"/>
        </w:rPr>
        <w:t xml:space="preserve">to </w:t>
      </w:r>
      <w:r w:rsidRPr="00CD6F62">
        <w:rPr>
          <w:rFonts w:ascii="ff2" w:eastAsia="Times New Roman" w:hAnsi="ff2" w:cs="Times New Roman"/>
          <w:spacing w:val="36"/>
          <w:sz w:val="119"/>
          <w:szCs w:val="119"/>
          <w:lang w:eastAsia="ko-KR"/>
        </w:rPr>
        <w:t xml:space="preserve">such </w:t>
      </w:r>
      <w:r w:rsidRPr="00CD6F62">
        <w:rPr>
          <w:rFonts w:ascii="ff2" w:eastAsia="Times New Roman" w:hAnsi="ff2" w:cs="Times New Roman"/>
          <w:spacing w:val="12"/>
          <w:sz w:val="119"/>
          <w:szCs w:val="119"/>
          <w:lang w:eastAsia="ko-KR"/>
        </w:rPr>
        <w:t xml:space="preserve">activism </w:t>
      </w:r>
      <w:r w:rsidRPr="00CD6F62">
        <w:rPr>
          <w:rFonts w:ascii="ff2" w:eastAsia="Times New Roman" w:hAnsi="ff2" w:cs="Times New Roman"/>
          <w:sz w:val="119"/>
          <w:szCs w:val="119"/>
          <w:lang w:eastAsia="ko-KR"/>
        </w:rPr>
        <w:t xml:space="preserve">was </w:t>
      </w:r>
      <w:r w:rsidRPr="00CD6F62">
        <w:rPr>
          <w:rFonts w:ascii="ff2" w:eastAsia="Times New Roman" w:hAnsi="ff2" w:cs="Times New Roman"/>
          <w:spacing w:val="12"/>
          <w:sz w:val="119"/>
          <w:szCs w:val="119"/>
          <w:lang w:eastAsia="ko-KR"/>
        </w:rPr>
        <w:t xml:space="preserve">a redefinition </w:t>
      </w:r>
      <w:r w:rsidRPr="00CD6F62">
        <w:rPr>
          <w:rFonts w:ascii="ff2" w:eastAsia="Times New Roman" w:hAnsi="ff2" w:cs="Times New Roman"/>
          <w:sz w:val="119"/>
          <w:szCs w:val="119"/>
          <w:lang w:eastAsia="ko-KR"/>
        </w:rPr>
        <w:t xml:space="preserve">of </w:t>
      </w:r>
      <w:r w:rsidRPr="00CD6F62">
        <w:rPr>
          <w:rFonts w:ascii="ff2" w:eastAsia="Times New Roman" w:hAnsi="ff2" w:cs="Times New Roman"/>
          <w:spacing w:val="12"/>
          <w:sz w:val="119"/>
          <w:szCs w:val="119"/>
          <w:lang w:eastAsia="ko-KR"/>
        </w:rPr>
        <w:t xml:space="preserve">disabilities </w:t>
      </w:r>
      <w:r w:rsidRPr="00CD6F62">
        <w:rPr>
          <w:rFonts w:ascii="ff2" w:eastAsia="Times New Roman" w:hAnsi="ff2" w:cs="Times New Roman"/>
          <w:spacing w:val="48"/>
          <w:sz w:val="119"/>
          <w:szCs w:val="119"/>
          <w:lang w:eastAsia="ko-KR"/>
        </w:rPr>
        <w:t xml:space="preserve">as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 xml:space="preserve">impairments  </w:t>
      </w:r>
      <w:r w:rsidRPr="00CD6F62">
        <w:rPr>
          <w:rFonts w:ascii="ff2" w:eastAsia="Times New Roman" w:hAnsi="ff2" w:cs="Times New Roman"/>
          <w:spacing w:val="12"/>
          <w:sz w:val="119"/>
          <w:szCs w:val="119"/>
          <w:lang w:eastAsia="ko-KR"/>
        </w:rPr>
        <w:t>that</w:t>
      </w:r>
      <w:proofErr w:type="gramEnd"/>
      <w:r w:rsidRPr="00CD6F62">
        <w:rPr>
          <w:rFonts w:ascii="ff2" w:eastAsia="Times New Roman" w:hAnsi="ff2" w:cs="Times New Roman"/>
          <w:spacing w:val="12"/>
          <w:sz w:val="119"/>
          <w:szCs w:val="119"/>
          <w:lang w:eastAsia="ko-KR"/>
        </w:rPr>
        <w:t xml:space="preserve"> are limiting  only </w:t>
      </w:r>
      <w:r w:rsidRPr="00CD6F62">
        <w:rPr>
          <w:rFonts w:ascii="ff2" w:eastAsia="Times New Roman" w:hAnsi="ff2" w:cs="Times New Roman"/>
          <w:spacing w:val="48"/>
          <w:sz w:val="119"/>
          <w:szCs w:val="119"/>
          <w:lang w:eastAsia="ko-KR"/>
        </w:rPr>
        <w:t xml:space="preserve">to </w:t>
      </w:r>
      <w:r w:rsidRPr="00CD6F62">
        <w:rPr>
          <w:rFonts w:ascii="ff2" w:eastAsia="Times New Roman" w:hAnsi="ff2" w:cs="Times New Roman"/>
          <w:spacing w:val="12"/>
          <w:sz w:val="119"/>
          <w:szCs w:val="119"/>
          <w:lang w:eastAsia="ko-KR"/>
        </w:rPr>
        <w:t xml:space="preserve">the </w:t>
      </w:r>
      <w:r w:rsidRPr="00CD6F62">
        <w:rPr>
          <w:rFonts w:ascii="ff2" w:eastAsia="Times New Roman" w:hAnsi="ff2" w:cs="Times New Roman"/>
          <w:spacing w:val="36"/>
          <w:sz w:val="119"/>
          <w:szCs w:val="119"/>
          <w:lang w:eastAsia="ko-KR"/>
        </w:rPr>
        <w:t xml:space="preserve">extent </w:t>
      </w:r>
      <w:r w:rsidRPr="00CD6F62">
        <w:rPr>
          <w:rFonts w:ascii="ff2" w:eastAsia="Times New Roman" w:hAnsi="ff2" w:cs="Times New Roman"/>
          <w:spacing w:val="12"/>
          <w:sz w:val="119"/>
          <w:szCs w:val="119"/>
          <w:lang w:eastAsia="ko-KR"/>
        </w:rPr>
        <w:t xml:space="preserve">that constraints  are imposed </w:t>
      </w:r>
      <w:r w:rsidRPr="00CD6F62">
        <w:rPr>
          <w:rFonts w:ascii="ff2" w:eastAsia="Times New Roman" w:hAnsi="ff2" w:cs="Times New Roman"/>
          <w:sz w:val="119"/>
          <w:szCs w:val="119"/>
          <w:lang w:eastAsia="ko-KR"/>
        </w:rPr>
        <w:t xml:space="preserve">by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the</w:t>
      </w:r>
      <w:proofErr w:type="gramEnd"/>
      <w:r w:rsidRPr="00CD6F62">
        <w:rPr>
          <w:rFonts w:ascii="ff2" w:eastAsia="Times New Roman" w:hAnsi="ff2" w:cs="Times New Roman"/>
          <w:sz w:val="119"/>
          <w:szCs w:val="119"/>
          <w:lang w:eastAsia="ko-KR"/>
        </w:rPr>
        <w:t xml:space="preserve"> physical  </w:t>
      </w:r>
      <w:r w:rsidRPr="00CD6F62">
        <w:rPr>
          <w:rFonts w:ascii="ff2" w:eastAsia="Times New Roman" w:hAnsi="ff2" w:cs="Times New Roman"/>
          <w:spacing w:val="12"/>
          <w:sz w:val="119"/>
          <w:szCs w:val="119"/>
          <w:lang w:eastAsia="ko-KR"/>
        </w:rPr>
        <w:t xml:space="preserve">and social </w:t>
      </w:r>
      <w:r w:rsidRPr="00CD6F62">
        <w:rPr>
          <w:rFonts w:ascii="ff2" w:eastAsia="Times New Roman" w:hAnsi="ff2" w:cs="Times New Roman"/>
          <w:spacing w:val="36"/>
          <w:sz w:val="119"/>
          <w:szCs w:val="119"/>
          <w:lang w:eastAsia="ko-KR"/>
        </w:rPr>
        <w:t xml:space="preserve">environment. </w:t>
      </w:r>
      <w:r w:rsidRPr="00CD6F62">
        <w:rPr>
          <w:rFonts w:ascii="ff2" w:eastAsia="Times New Roman" w:hAnsi="ff2" w:cs="Times New Roman"/>
          <w:spacing w:val="48"/>
          <w:sz w:val="119"/>
          <w:szCs w:val="119"/>
          <w:lang w:eastAsia="ko-KR"/>
        </w:rPr>
        <w:t xml:space="preserve">The </w:t>
      </w:r>
      <w:proofErr w:type="gramStart"/>
      <w:r w:rsidRPr="00CD6F62">
        <w:rPr>
          <w:rFonts w:ascii="ff2" w:eastAsia="Times New Roman" w:hAnsi="ff2" w:cs="Times New Roman"/>
          <w:spacing w:val="12"/>
          <w:sz w:val="119"/>
          <w:szCs w:val="119"/>
          <w:lang w:eastAsia="ko-KR"/>
        </w:rPr>
        <w:t>activists  who</w:t>
      </w:r>
      <w:proofErr w:type="gramEnd"/>
      <w:r w:rsidRPr="00CD6F62">
        <w:rPr>
          <w:rFonts w:ascii="ff2" w:eastAsia="Times New Roman" w:hAnsi="ff2" w:cs="Times New Roman"/>
          <w:spacing w:val="12"/>
          <w:sz w:val="119"/>
          <w:szCs w:val="119"/>
          <w:lang w:eastAsia="ko-KR"/>
        </w:rPr>
        <w:t xml:space="preserve"> created the  various  </w:t>
      </w:r>
      <w:r w:rsidRPr="00CD6F62">
        <w:rPr>
          <w:rFonts w:ascii="ff2" w:eastAsia="Times New Roman" w:hAnsi="ff2" w:cs="Times New Roman"/>
          <w:spacing w:val="36"/>
          <w:sz w:val="119"/>
          <w:szCs w:val="119"/>
          <w:lang w:eastAsia="ko-KR"/>
        </w:rPr>
        <w:t xml:space="preserve">dis-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r w:rsidRPr="00CD6F62">
        <w:rPr>
          <w:rFonts w:ascii="ff2" w:eastAsia="Times New Roman" w:hAnsi="ff2" w:cs="Times New Roman"/>
          <w:sz w:val="119"/>
          <w:szCs w:val="119"/>
          <w:lang w:eastAsia="ko-KR"/>
        </w:rPr>
        <w:t xml:space="preserve">ability  rights  </w:t>
      </w:r>
      <w:r w:rsidRPr="00CD6F62">
        <w:rPr>
          <w:rFonts w:ascii="ff2" w:eastAsia="Times New Roman" w:hAnsi="ff2" w:cs="Times New Roman"/>
          <w:spacing w:val="12"/>
          <w:sz w:val="119"/>
          <w:szCs w:val="119"/>
          <w:lang w:eastAsia="ko-KR"/>
        </w:rPr>
        <w:t xml:space="preserve">organizations  redefined  disability  </w:t>
      </w:r>
      <w:r w:rsidRPr="00CD6F62">
        <w:rPr>
          <w:rFonts w:ascii="ff2" w:eastAsia="Times New Roman" w:hAnsi="ff2" w:cs="Times New Roman"/>
          <w:sz w:val="119"/>
          <w:szCs w:val="119"/>
          <w:lang w:eastAsia="ko-KR"/>
        </w:rPr>
        <w:t xml:space="preserve">in  </w:t>
      </w:r>
      <w:r w:rsidRPr="00CD6F62">
        <w:rPr>
          <w:rFonts w:ascii="ff2" w:eastAsia="Times New Roman" w:hAnsi="ff2" w:cs="Times New Roman"/>
          <w:spacing w:val="12"/>
          <w:sz w:val="119"/>
          <w:szCs w:val="119"/>
          <w:lang w:eastAsia="ko-KR"/>
        </w:rPr>
        <w:t xml:space="preserve">this  way  and  sought  </w:t>
      </w:r>
      <w:r w:rsidRPr="00CD6F62">
        <w:rPr>
          <w:rFonts w:ascii="ff2" w:eastAsia="Times New Roman" w:hAnsi="ff2" w:cs="Times New Roman"/>
          <w:spacing w:val="48"/>
          <w:sz w:val="119"/>
          <w:szCs w:val="119"/>
          <w:lang w:eastAsia="ko-KR"/>
        </w:rPr>
        <w:t xml:space="preserve">to </w:t>
      </w:r>
      <w:r w:rsidRPr="00CD6F62">
        <w:rPr>
          <w:rFonts w:ascii="ff2" w:eastAsia="Times New Roman" w:hAnsi="ff2" w:cs="Times New Roman"/>
          <w:spacing w:val="12"/>
          <w:sz w:val="119"/>
          <w:szCs w:val="119"/>
          <w:lang w:eastAsia="ko-KR"/>
        </w:rPr>
        <w:t xml:space="preserve">have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this</w:t>
      </w:r>
      <w:proofErr w:type="gramEnd"/>
      <w:r w:rsidRPr="00CD6F62">
        <w:rPr>
          <w:rFonts w:ascii="ff2" w:eastAsia="Times New Roman" w:hAnsi="ff2" w:cs="Times New Roman"/>
          <w:sz w:val="119"/>
          <w:szCs w:val="119"/>
          <w:lang w:eastAsia="ko-KR"/>
        </w:rPr>
        <w:t xml:space="preserve"> redefinition  </w:t>
      </w:r>
      <w:r w:rsidRPr="00CD6F62">
        <w:rPr>
          <w:rFonts w:ascii="ff2" w:eastAsia="Times New Roman" w:hAnsi="ff2" w:cs="Times New Roman"/>
          <w:spacing w:val="12"/>
          <w:sz w:val="119"/>
          <w:szCs w:val="119"/>
          <w:lang w:eastAsia="ko-KR"/>
        </w:rPr>
        <w:t xml:space="preserve">institutionalized and accepted </w:t>
      </w:r>
      <w:r w:rsidRPr="00CD6F62">
        <w:rPr>
          <w:rFonts w:ascii="ff2" w:eastAsia="Times New Roman" w:hAnsi="ff2" w:cs="Times New Roman"/>
          <w:spacing w:val="-12"/>
          <w:sz w:val="119"/>
          <w:szCs w:val="119"/>
          <w:lang w:eastAsia="ko-KR"/>
        </w:rPr>
        <w:t xml:space="preserve">in </w:t>
      </w:r>
      <w:r w:rsidRPr="00CD6F62">
        <w:rPr>
          <w:rFonts w:ascii="ff2" w:eastAsia="Times New Roman" w:hAnsi="ff2" w:cs="Times New Roman"/>
          <w:spacing w:val="12"/>
          <w:sz w:val="119"/>
          <w:szCs w:val="119"/>
          <w:lang w:eastAsia="ko-KR"/>
        </w:rPr>
        <w:t xml:space="preserve">public policy </w:t>
      </w:r>
      <w:r w:rsidRPr="00CD6F62">
        <w:rPr>
          <w:rFonts w:ascii="ff2" w:eastAsia="Times New Roman" w:hAnsi="ff2" w:cs="Times New Roman"/>
          <w:sz w:val="119"/>
          <w:szCs w:val="119"/>
          <w:lang w:eastAsia="ko-KR"/>
        </w:rPr>
        <w:t xml:space="preserve">and by </w:t>
      </w:r>
      <w:r w:rsidRPr="00CD6F62">
        <w:rPr>
          <w:rFonts w:ascii="ff2" w:eastAsia="Times New Roman" w:hAnsi="ff2" w:cs="Times New Roman"/>
          <w:spacing w:val="36"/>
          <w:sz w:val="119"/>
          <w:szCs w:val="119"/>
          <w:lang w:eastAsia="ko-KR"/>
        </w:rPr>
        <w:t xml:space="preserve">the </w:t>
      </w:r>
      <w:r w:rsidRPr="00CD6F62">
        <w:rPr>
          <w:rFonts w:ascii="ff2" w:eastAsia="Times New Roman" w:hAnsi="ff2" w:cs="Times New Roman"/>
          <w:spacing w:val="12"/>
          <w:sz w:val="119"/>
          <w:szCs w:val="119"/>
          <w:lang w:eastAsia="ko-KR"/>
        </w:rPr>
        <w:t xml:space="preserve">general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CD6F62">
        <w:rPr>
          <w:rFonts w:ascii="ff2" w:eastAsia="Times New Roman" w:hAnsi="ff2" w:cs="Times New Roman"/>
          <w:spacing w:val="12"/>
          <w:sz w:val="119"/>
          <w:szCs w:val="119"/>
          <w:lang w:eastAsia="ko-KR"/>
        </w:rPr>
        <w:t>public</w:t>
      </w:r>
      <w:proofErr w:type="gramEnd"/>
      <w:r w:rsidRPr="00CD6F62">
        <w:rPr>
          <w:rFonts w:ascii="ff2" w:eastAsia="Times New Roman" w:hAnsi="ff2" w:cs="Times New Roman"/>
          <w:spacing w:val="12"/>
          <w:sz w:val="119"/>
          <w:szCs w:val="119"/>
          <w:lang w:eastAsia="ko-KR"/>
        </w:rPr>
        <w:t xml:space="preserve">.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r w:rsidRPr="00CD6F62">
        <w:rPr>
          <w:rFonts w:ascii="ff2" w:eastAsia="Times New Roman" w:hAnsi="ff2" w:cs="Times New Roman"/>
          <w:spacing w:val="12"/>
          <w:sz w:val="119"/>
          <w:szCs w:val="119"/>
          <w:lang w:eastAsia="ko-KR"/>
        </w:rPr>
        <w:t xml:space="preserve">However,  the  political  and  financial  resources  </w:t>
      </w:r>
      <w:r w:rsidRPr="00CD6F62">
        <w:rPr>
          <w:rFonts w:ascii="ff2" w:eastAsia="Times New Roman" w:hAnsi="ff2" w:cs="Times New Roman"/>
          <w:sz w:val="119"/>
          <w:szCs w:val="119"/>
          <w:lang w:eastAsia="ko-KR"/>
        </w:rPr>
        <w:t xml:space="preserve">of  </w:t>
      </w:r>
      <w:r w:rsidRPr="00CD6F62">
        <w:rPr>
          <w:rFonts w:ascii="ff2" w:eastAsia="Times New Roman" w:hAnsi="ff2" w:cs="Times New Roman"/>
          <w:spacing w:val="12"/>
          <w:sz w:val="119"/>
          <w:szCs w:val="119"/>
          <w:lang w:eastAsia="ko-KR"/>
        </w:rPr>
        <w:t xml:space="preserve">most  </w:t>
      </w:r>
      <w:r w:rsidRPr="00CD6F62">
        <w:rPr>
          <w:rFonts w:ascii="ff2" w:eastAsia="Times New Roman" w:hAnsi="ff2" w:cs="Times New Roman"/>
          <w:sz w:val="119"/>
          <w:szCs w:val="119"/>
          <w:lang w:eastAsia="ko-KR"/>
        </w:rPr>
        <w:t xml:space="preserve">of  the  </w:t>
      </w:r>
      <w:r w:rsidRPr="00CD6F62">
        <w:rPr>
          <w:rFonts w:ascii="ff2" w:eastAsia="Times New Roman" w:hAnsi="ff2" w:cs="Times New Roman"/>
          <w:spacing w:val="12"/>
          <w:sz w:val="119"/>
          <w:szCs w:val="119"/>
          <w:lang w:eastAsia="ko-KR"/>
        </w:rPr>
        <w:t xml:space="preserve">disability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rights</w:t>
      </w:r>
      <w:proofErr w:type="gramEnd"/>
      <w:r w:rsidRPr="00CD6F62">
        <w:rPr>
          <w:rFonts w:ascii="ff2" w:eastAsia="Times New Roman" w:hAnsi="ff2" w:cs="Times New Roman"/>
          <w:sz w:val="119"/>
          <w:szCs w:val="119"/>
          <w:lang w:eastAsia="ko-KR"/>
        </w:rPr>
        <w:t xml:space="preserve"> </w:t>
      </w:r>
      <w:r w:rsidRPr="00CD6F62">
        <w:rPr>
          <w:rFonts w:ascii="ff2" w:eastAsia="Times New Roman" w:hAnsi="ff2" w:cs="Times New Roman"/>
          <w:spacing w:val="12"/>
          <w:sz w:val="119"/>
          <w:szCs w:val="119"/>
          <w:lang w:eastAsia="ko-KR"/>
        </w:rPr>
        <w:t xml:space="preserve">organizations were extremely  limited. A major proportion </w:t>
      </w:r>
    </w:p>
    <w:p w:rsidR="00F703ED" w:rsidRPr="00CD6F62" w:rsidRDefault="00F703ED" w:rsidP="00F703ED">
      <w:pPr>
        <w:shd w:val="clear" w:color="auto" w:fill="FFFFFF"/>
        <w:spacing w:after="0" w:line="0" w:lineRule="auto"/>
        <w:rPr>
          <w:rFonts w:ascii="ff2" w:eastAsia="Times New Roman" w:hAnsi="ff2" w:cs="Times New Roman"/>
          <w:spacing w:val="-73"/>
          <w:sz w:val="121"/>
          <w:szCs w:val="121"/>
          <w:lang w:eastAsia="ko-KR"/>
        </w:rPr>
      </w:pPr>
      <w:proofErr w:type="gramStart"/>
      <w:r w:rsidRPr="00CD6F62">
        <w:rPr>
          <w:rFonts w:ascii="ff2" w:eastAsia="Times New Roman" w:hAnsi="ff2" w:cs="Times New Roman"/>
          <w:spacing w:val="-73"/>
          <w:sz w:val="121"/>
          <w:szCs w:val="121"/>
          <w:lang w:eastAsia="ko-KR"/>
        </w:rPr>
        <w:t>of</w:t>
      </w:r>
      <w:proofErr w:type="gramEnd"/>
      <w:r w:rsidRPr="00CD6F62">
        <w:rPr>
          <w:rFonts w:ascii="ff2" w:eastAsia="Times New Roman" w:hAnsi="ff2" w:cs="Times New Roman"/>
          <w:spacing w:val="-73"/>
          <w:sz w:val="121"/>
          <w:szCs w:val="121"/>
          <w:lang w:eastAsia="ko-KR"/>
        </w:rPr>
        <w:t xml:space="preserve">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CD6F62">
        <w:rPr>
          <w:rFonts w:ascii="ff2" w:eastAsia="Times New Roman" w:hAnsi="ff2" w:cs="Times New Roman"/>
          <w:spacing w:val="12"/>
          <w:sz w:val="119"/>
          <w:szCs w:val="119"/>
          <w:lang w:eastAsia="ko-KR"/>
        </w:rPr>
        <w:t>their</w:t>
      </w:r>
      <w:proofErr w:type="gramEnd"/>
      <w:r w:rsidRPr="00CD6F62">
        <w:rPr>
          <w:rFonts w:ascii="ff2" w:eastAsia="Times New Roman" w:hAnsi="ff2" w:cs="Times New Roman"/>
          <w:spacing w:val="12"/>
          <w:sz w:val="119"/>
          <w:szCs w:val="119"/>
          <w:lang w:eastAsia="ko-KR"/>
        </w:rPr>
        <w:t xml:space="preserve"> budgets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CD6F62">
        <w:rPr>
          <w:rFonts w:ascii="ff2" w:eastAsia="Times New Roman" w:hAnsi="ff2" w:cs="Times New Roman"/>
          <w:spacing w:val="-12"/>
          <w:sz w:val="119"/>
          <w:szCs w:val="119"/>
          <w:lang w:eastAsia="ko-KR"/>
        </w:rPr>
        <w:t>in</w:t>
      </w:r>
      <w:proofErr w:type="gramEnd"/>
      <w:r w:rsidRPr="00CD6F62">
        <w:rPr>
          <w:rFonts w:ascii="ff2" w:eastAsia="Times New Roman" w:hAnsi="ff2" w:cs="Times New Roman"/>
          <w:spacing w:val="-12"/>
          <w:sz w:val="119"/>
          <w:szCs w:val="119"/>
          <w:lang w:eastAsia="ko-KR"/>
        </w:rPr>
        <w:t xml:space="preserve"> </w:t>
      </w:r>
      <w:r w:rsidRPr="00CD6F62">
        <w:rPr>
          <w:rFonts w:ascii="ff2" w:eastAsia="Times New Roman" w:hAnsi="ff2" w:cs="Times New Roman"/>
          <w:sz w:val="119"/>
          <w:szCs w:val="119"/>
          <w:lang w:eastAsia="ko-KR"/>
        </w:rPr>
        <w:t xml:space="preserve">the  </w:t>
      </w:r>
      <w:r w:rsidRPr="00CD6F62">
        <w:rPr>
          <w:rFonts w:ascii="ff2" w:eastAsia="Times New Roman" w:hAnsi="ff2" w:cs="Times New Roman"/>
          <w:spacing w:val="12"/>
          <w:sz w:val="119"/>
          <w:szCs w:val="119"/>
          <w:lang w:eastAsia="ko-KR"/>
        </w:rPr>
        <w:t xml:space="preserve">late </w:t>
      </w:r>
    </w:p>
    <w:p w:rsidR="00F703ED" w:rsidRPr="00CD6F62" w:rsidRDefault="00F703ED" w:rsidP="00F703ED">
      <w:pPr>
        <w:shd w:val="clear" w:color="auto" w:fill="FFFFFF"/>
        <w:spacing w:after="0" w:line="0" w:lineRule="auto"/>
        <w:rPr>
          <w:rFonts w:ascii="ff2" w:eastAsia="Times New Roman" w:hAnsi="ff2" w:cs="Times New Roman"/>
          <w:spacing w:val="-12"/>
          <w:sz w:val="121"/>
          <w:szCs w:val="121"/>
          <w:lang w:eastAsia="ko-KR"/>
        </w:rPr>
      </w:pPr>
      <w:r w:rsidRPr="00CD6F62">
        <w:rPr>
          <w:rFonts w:ascii="ff2" w:eastAsia="Times New Roman" w:hAnsi="ff2" w:cs="Times New Roman"/>
          <w:spacing w:val="-12"/>
          <w:sz w:val="121"/>
          <w:szCs w:val="121"/>
          <w:lang w:eastAsia="ko-KR"/>
        </w:rPr>
        <w:t xml:space="preserve">1970s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CD6F62">
        <w:rPr>
          <w:rFonts w:ascii="ff2" w:eastAsia="Times New Roman" w:hAnsi="ff2" w:cs="Times New Roman"/>
          <w:spacing w:val="12"/>
          <w:sz w:val="119"/>
          <w:szCs w:val="119"/>
          <w:lang w:eastAsia="ko-KR"/>
        </w:rPr>
        <w:t>was</w:t>
      </w:r>
      <w:proofErr w:type="gramEnd"/>
      <w:r w:rsidRPr="00CD6F62">
        <w:rPr>
          <w:rFonts w:ascii="ff2" w:eastAsia="Times New Roman" w:hAnsi="ff2" w:cs="Times New Roman"/>
          <w:spacing w:val="12"/>
          <w:sz w:val="119"/>
          <w:szCs w:val="119"/>
          <w:lang w:eastAsia="ko-KR"/>
        </w:rPr>
        <w:t xml:space="preserve"> provided  </w:t>
      </w:r>
      <w:r w:rsidRPr="00CD6F62">
        <w:rPr>
          <w:rFonts w:ascii="ff2" w:eastAsia="Times New Roman" w:hAnsi="ff2" w:cs="Times New Roman"/>
          <w:sz w:val="119"/>
          <w:szCs w:val="119"/>
          <w:lang w:eastAsia="ko-KR"/>
        </w:rPr>
        <w:t xml:space="preserve">by  </w:t>
      </w:r>
      <w:r w:rsidRPr="00CD6F62">
        <w:rPr>
          <w:rFonts w:ascii="ff2" w:eastAsia="Times New Roman" w:hAnsi="ff2" w:cs="Times New Roman"/>
          <w:spacing w:val="12"/>
          <w:sz w:val="119"/>
          <w:szCs w:val="119"/>
          <w:lang w:eastAsia="ko-KR"/>
        </w:rPr>
        <w:t xml:space="preserve">the  federal  government  </w:t>
      </w:r>
      <w:r w:rsidRPr="00CD6F62">
        <w:rPr>
          <w:rFonts w:ascii="ff2" w:eastAsia="Times New Roman" w:hAnsi="ff2" w:cs="Times New Roman"/>
          <w:sz w:val="119"/>
          <w:szCs w:val="119"/>
          <w:lang w:eastAsia="ko-KR"/>
        </w:rPr>
        <w:t xml:space="preserve">in </w:t>
      </w:r>
      <w:r w:rsidRPr="00CD6F62">
        <w:rPr>
          <w:rFonts w:ascii="ff2" w:eastAsia="Times New Roman" w:hAnsi="ff2" w:cs="Times New Roman"/>
          <w:spacing w:val="12"/>
          <w:sz w:val="119"/>
          <w:szCs w:val="119"/>
          <w:lang w:eastAsia="ko-KR"/>
        </w:rPr>
        <w:t xml:space="preserve">the </w:t>
      </w:r>
      <w:r w:rsidRPr="00CD6F62">
        <w:rPr>
          <w:rFonts w:ascii="ff2" w:eastAsia="Times New Roman" w:hAnsi="ff2" w:cs="Times New Roman"/>
          <w:spacing w:val="36"/>
          <w:sz w:val="119"/>
          <w:szCs w:val="119"/>
          <w:lang w:eastAsia="ko-KR"/>
        </w:rPr>
        <w:t xml:space="preserve">form </w:t>
      </w:r>
      <w:r w:rsidRPr="00CD6F62">
        <w:rPr>
          <w:rFonts w:ascii="ff2" w:eastAsia="Times New Roman" w:hAnsi="ff2" w:cs="Times New Roman"/>
          <w:sz w:val="119"/>
          <w:szCs w:val="119"/>
          <w:lang w:eastAsia="ko-KR"/>
        </w:rPr>
        <w:t xml:space="preserve">of </w:t>
      </w:r>
      <w:r w:rsidRPr="00CD6F62">
        <w:rPr>
          <w:rFonts w:ascii="ff2" w:eastAsia="Times New Roman" w:hAnsi="ff2" w:cs="Times New Roman"/>
          <w:spacing w:val="12"/>
          <w:sz w:val="119"/>
          <w:szCs w:val="119"/>
          <w:lang w:eastAsia="ko-KR"/>
        </w:rPr>
        <w:t xml:space="preserve">grants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r w:rsidRPr="00CD6F62">
        <w:rPr>
          <w:rFonts w:ascii="ff2" w:eastAsia="Times New Roman" w:hAnsi="ff2" w:cs="Times New Roman"/>
          <w:sz w:val="119"/>
          <w:szCs w:val="119"/>
          <w:lang w:eastAsia="ko-KR"/>
        </w:rPr>
        <w:t xml:space="preserve">and  </w:t>
      </w:r>
      <w:r w:rsidRPr="00CD6F62">
        <w:rPr>
          <w:rFonts w:ascii="ff2" w:eastAsia="Times New Roman" w:hAnsi="ff2" w:cs="Times New Roman"/>
          <w:spacing w:val="12"/>
          <w:sz w:val="119"/>
          <w:szCs w:val="119"/>
          <w:lang w:eastAsia="ko-KR"/>
        </w:rPr>
        <w:t xml:space="preserve">contracts,  and  substantial  amounts  of  this  federal  funding  were  used </w:t>
      </w:r>
    </w:p>
    <w:p w:rsidR="00F703ED" w:rsidRPr="00CD6F62" w:rsidRDefault="00F703ED" w:rsidP="00F703ED">
      <w:pPr>
        <w:shd w:val="clear" w:color="auto" w:fill="FFFFFF"/>
        <w:spacing w:after="0" w:line="0" w:lineRule="auto"/>
        <w:rPr>
          <w:rFonts w:ascii="ff6" w:eastAsia="Times New Roman" w:hAnsi="ff6" w:cs="Times New Roman"/>
          <w:spacing w:val="-87"/>
          <w:sz w:val="124"/>
          <w:szCs w:val="124"/>
          <w:lang w:eastAsia="ko-KR"/>
        </w:rPr>
      </w:pPr>
      <w:proofErr w:type="gramStart"/>
      <w:r w:rsidRPr="00CD6F62">
        <w:rPr>
          <w:rFonts w:ascii="ff6" w:eastAsia="Times New Roman" w:hAnsi="ff6" w:cs="Times New Roman"/>
          <w:spacing w:val="-87"/>
          <w:sz w:val="124"/>
          <w:szCs w:val="124"/>
          <w:lang w:eastAsia="ko-KR"/>
        </w:rPr>
        <w:t>for</w:t>
      </w:r>
      <w:proofErr w:type="gramEnd"/>
      <w:r w:rsidRPr="00CD6F62">
        <w:rPr>
          <w:rFonts w:ascii="ff6" w:eastAsia="Times New Roman" w:hAnsi="ff6" w:cs="Times New Roman"/>
          <w:spacing w:val="-87"/>
          <w:sz w:val="124"/>
          <w:szCs w:val="124"/>
          <w:lang w:eastAsia="ko-KR"/>
        </w:rPr>
        <w:t xml:space="preserve"> </w:t>
      </w:r>
    </w:p>
    <w:p w:rsidR="00F703ED" w:rsidRPr="00CD6F62" w:rsidRDefault="00F703ED" w:rsidP="00F703ED">
      <w:pPr>
        <w:shd w:val="clear" w:color="auto" w:fill="FFFFFF"/>
        <w:spacing w:after="0" w:line="0" w:lineRule="auto"/>
        <w:rPr>
          <w:rFonts w:ascii="ff6" w:eastAsia="Times New Roman" w:hAnsi="ff6" w:cs="Times New Roman"/>
          <w:spacing w:val="-12"/>
          <w:sz w:val="124"/>
          <w:szCs w:val="124"/>
          <w:lang w:eastAsia="ko-KR"/>
        </w:rPr>
      </w:pPr>
      <w:r w:rsidRPr="00CD6F62">
        <w:rPr>
          <w:rFonts w:ascii="ff6" w:eastAsia="Times New Roman" w:hAnsi="ff6" w:cs="Times New Roman"/>
          <w:spacing w:val="-12"/>
          <w:sz w:val="124"/>
          <w:szCs w:val="124"/>
          <w:lang w:eastAsia="ko-KR"/>
        </w:rPr>
        <w:t xml:space="preserve">The Role </w:t>
      </w:r>
    </w:p>
    <w:p w:rsidR="00F703ED" w:rsidRPr="00CD6F62" w:rsidRDefault="00F703ED" w:rsidP="00F703ED">
      <w:pPr>
        <w:shd w:val="clear" w:color="auto" w:fill="FFFFFF"/>
        <w:spacing w:after="0" w:line="0" w:lineRule="auto"/>
        <w:rPr>
          <w:rFonts w:ascii="ff6" w:eastAsia="Times New Roman" w:hAnsi="ff6" w:cs="Times New Roman"/>
          <w:spacing w:val="-75"/>
          <w:sz w:val="125"/>
          <w:szCs w:val="125"/>
          <w:lang w:eastAsia="ko-KR"/>
        </w:rPr>
      </w:pPr>
      <w:proofErr w:type="gramStart"/>
      <w:r w:rsidRPr="00CD6F62">
        <w:rPr>
          <w:rFonts w:ascii="ff6" w:eastAsia="Times New Roman" w:hAnsi="ff6" w:cs="Times New Roman"/>
          <w:spacing w:val="-75"/>
          <w:sz w:val="125"/>
          <w:szCs w:val="125"/>
          <w:lang w:eastAsia="ko-KR"/>
        </w:rPr>
        <w:t>of</w:t>
      </w:r>
      <w:proofErr w:type="gramEnd"/>
      <w:r w:rsidRPr="00CD6F62">
        <w:rPr>
          <w:rFonts w:ascii="ff6" w:eastAsia="Times New Roman" w:hAnsi="ff6" w:cs="Times New Roman"/>
          <w:spacing w:val="-75"/>
          <w:sz w:val="125"/>
          <w:szCs w:val="125"/>
          <w:lang w:eastAsia="ko-KR"/>
        </w:rPr>
        <w:t xml:space="preserve"> </w:t>
      </w:r>
    </w:p>
    <w:p w:rsidR="00F703ED" w:rsidRPr="00CD6F62" w:rsidRDefault="00F703ED" w:rsidP="00F703ED">
      <w:pPr>
        <w:shd w:val="clear" w:color="auto" w:fill="FFFFFF"/>
        <w:spacing w:after="0" w:line="0" w:lineRule="auto"/>
        <w:rPr>
          <w:rFonts w:ascii="ff6" w:eastAsia="Times New Roman" w:hAnsi="ff6" w:cs="Times New Roman"/>
          <w:spacing w:val="-12"/>
          <w:sz w:val="124"/>
          <w:szCs w:val="124"/>
          <w:lang w:eastAsia="ko-KR"/>
        </w:rPr>
      </w:pPr>
      <w:proofErr w:type="gramStart"/>
      <w:r w:rsidRPr="00CD6F62">
        <w:rPr>
          <w:rFonts w:ascii="ff6" w:eastAsia="Times New Roman" w:hAnsi="ff6" w:cs="Times New Roman"/>
          <w:spacing w:val="-12"/>
          <w:sz w:val="124"/>
          <w:szCs w:val="124"/>
          <w:lang w:eastAsia="ko-KR"/>
        </w:rPr>
        <w:t>the</w:t>
      </w:r>
      <w:proofErr w:type="gramEnd"/>
      <w:r w:rsidRPr="00CD6F62">
        <w:rPr>
          <w:rFonts w:ascii="ff6" w:eastAsia="Times New Roman" w:hAnsi="ff6" w:cs="Times New Roman"/>
          <w:spacing w:val="-12"/>
          <w:sz w:val="124"/>
          <w:szCs w:val="124"/>
          <w:lang w:eastAsia="ko-KR"/>
        </w:rPr>
        <w:t xml:space="preserve"> </w:t>
      </w:r>
      <w:r w:rsidRPr="00CD6F62">
        <w:rPr>
          <w:rFonts w:ascii="ff6" w:eastAsia="Times New Roman" w:hAnsi="ff6" w:cs="Times New Roman"/>
          <w:sz w:val="124"/>
          <w:szCs w:val="124"/>
          <w:lang w:eastAsia="ko-KR"/>
        </w:rPr>
        <w:t xml:space="preserve">State </w:t>
      </w:r>
      <w:r w:rsidRPr="00CD6F62">
        <w:rPr>
          <w:rFonts w:ascii="ff6" w:eastAsia="Times New Roman" w:hAnsi="ff6" w:cs="Times New Roman"/>
          <w:spacing w:val="-25"/>
          <w:sz w:val="124"/>
          <w:szCs w:val="124"/>
          <w:lang w:eastAsia="ko-KR"/>
        </w:rPr>
        <w:t xml:space="preserve">in  </w:t>
      </w:r>
      <w:r w:rsidRPr="00CD6F62">
        <w:rPr>
          <w:rFonts w:ascii="ff6" w:eastAsia="Times New Roman" w:hAnsi="ff6" w:cs="Times New Roman"/>
          <w:sz w:val="124"/>
          <w:szCs w:val="124"/>
          <w:lang w:eastAsia="ko-KR"/>
        </w:rPr>
        <w:t xml:space="preserve">Redefining </w:t>
      </w:r>
      <w:r w:rsidRPr="00CD6F62">
        <w:rPr>
          <w:rFonts w:ascii="ff6" w:eastAsia="Times New Roman" w:hAnsi="ff6" w:cs="Times New Roman"/>
          <w:spacing w:val="-12"/>
          <w:sz w:val="124"/>
          <w:szCs w:val="124"/>
          <w:lang w:eastAsia="ko-KR"/>
        </w:rPr>
        <w:t xml:space="preserve">Disability </w:t>
      </w:r>
    </w:p>
    <w:p w:rsidR="00F703ED" w:rsidRPr="00CD6F62" w:rsidRDefault="00F703ED" w:rsidP="00F703ED">
      <w:pPr>
        <w:shd w:val="clear" w:color="auto" w:fill="FFFFFF"/>
        <w:spacing w:after="0" w:line="0" w:lineRule="auto"/>
        <w:rPr>
          <w:rFonts w:ascii="ff2" w:eastAsia="Times New Roman" w:hAnsi="ff2" w:cs="Times New Roman"/>
          <w:spacing w:val="36"/>
          <w:sz w:val="119"/>
          <w:szCs w:val="119"/>
          <w:lang w:eastAsia="ko-KR"/>
        </w:rPr>
      </w:pPr>
      <w:r w:rsidRPr="00CD6F62">
        <w:rPr>
          <w:rFonts w:ascii="ff2" w:eastAsia="Times New Roman" w:hAnsi="ff2" w:cs="Times New Roman"/>
          <w:spacing w:val="36"/>
          <w:sz w:val="119"/>
          <w:szCs w:val="119"/>
          <w:lang w:eastAsia="ko-KR"/>
        </w:rPr>
        <w:t xml:space="preserve">The above </w:t>
      </w:r>
      <w:proofErr w:type="gramStart"/>
      <w:r w:rsidRPr="00CD6F62">
        <w:rPr>
          <w:rFonts w:ascii="ff2" w:eastAsia="Times New Roman" w:hAnsi="ff2" w:cs="Times New Roman"/>
          <w:spacing w:val="12"/>
          <w:sz w:val="119"/>
          <w:szCs w:val="119"/>
          <w:lang w:eastAsia="ko-KR"/>
        </w:rPr>
        <w:t xml:space="preserve">discussion  </w:t>
      </w:r>
      <w:r w:rsidRPr="00CD6F62">
        <w:rPr>
          <w:rFonts w:ascii="ff2" w:eastAsia="Times New Roman" w:hAnsi="ff2" w:cs="Times New Roman"/>
          <w:sz w:val="119"/>
          <w:szCs w:val="119"/>
          <w:lang w:eastAsia="ko-KR"/>
        </w:rPr>
        <w:t>of</w:t>
      </w:r>
      <w:proofErr w:type="gramEnd"/>
      <w:r w:rsidRPr="00CD6F62">
        <w:rPr>
          <w:rFonts w:ascii="ff2" w:eastAsia="Times New Roman" w:hAnsi="ff2" w:cs="Times New Roman"/>
          <w:sz w:val="119"/>
          <w:szCs w:val="119"/>
          <w:lang w:eastAsia="ko-KR"/>
        </w:rPr>
        <w:t xml:space="preserve">  </w:t>
      </w:r>
      <w:r w:rsidRPr="00CD6F62">
        <w:rPr>
          <w:rFonts w:ascii="ff2" w:eastAsia="Times New Roman" w:hAnsi="ff2" w:cs="Times New Roman"/>
          <w:spacing w:val="12"/>
          <w:sz w:val="119"/>
          <w:szCs w:val="119"/>
          <w:lang w:eastAsia="ko-KR"/>
        </w:rPr>
        <w:t xml:space="preserve">barriers  to  political  activism  </w:t>
      </w:r>
      <w:r w:rsidRPr="00CD6F62">
        <w:rPr>
          <w:rFonts w:ascii="ff2" w:eastAsia="Times New Roman" w:hAnsi="ff2" w:cs="Times New Roman"/>
          <w:spacing w:val="-12"/>
          <w:sz w:val="119"/>
          <w:szCs w:val="119"/>
          <w:lang w:eastAsia="ko-KR"/>
        </w:rPr>
        <w:t xml:space="preserve">by  </w:t>
      </w:r>
      <w:r w:rsidRPr="00CD6F62">
        <w:rPr>
          <w:rFonts w:ascii="ff2" w:eastAsia="Times New Roman" w:hAnsi="ff2" w:cs="Times New Roman"/>
          <w:spacing w:val="12"/>
          <w:sz w:val="119"/>
          <w:szCs w:val="119"/>
          <w:lang w:eastAsia="ko-KR"/>
        </w:rPr>
        <w:t xml:space="preserve">disabled  people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suggested</w:t>
      </w:r>
      <w:proofErr w:type="gramEnd"/>
      <w:r w:rsidRPr="00CD6F62">
        <w:rPr>
          <w:rFonts w:ascii="ff2" w:eastAsia="Times New Roman" w:hAnsi="ff2" w:cs="Times New Roman"/>
          <w:sz w:val="119"/>
          <w:szCs w:val="119"/>
          <w:lang w:eastAsia="ko-KR"/>
        </w:rPr>
        <w:t xml:space="preserve"> that </w:t>
      </w:r>
      <w:r w:rsidRPr="00CD6F62">
        <w:rPr>
          <w:rFonts w:ascii="ff2" w:eastAsia="Times New Roman" w:hAnsi="ff2" w:cs="Times New Roman"/>
          <w:spacing w:val="12"/>
          <w:sz w:val="119"/>
          <w:szCs w:val="119"/>
          <w:lang w:eastAsia="ko-KR"/>
        </w:rPr>
        <w:t xml:space="preserve">a prerequisite </w:t>
      </w:r>
      <w:r w:rsidRPr="00CD6F62">
        <w:rPr>
          <w:rFonts w:ascii="ff2" w:eastAsia="Times New Roman" w:hAnsi="ff2" w:cs="Times New Roman"/>
          <w:spacing w:val="48"/>
          <w:sz w:val="119"/>
          <w:szCs w:val="119"/>
          <w:lang w:eastAsia="ko-KR"/>
        </w:rPr>
        <w:t xml:space="preserve">to </w:t>
      </w:r>
      <w:r w:rsidRPr="00CD6F62">
        <w:rPr>
          <w:rFonts w:ascii="ff2" w:eastAsia="Times New Roman" w:hAnsi="ff2" w:cs="Times New Roman"/>
          <w:spacing w:val="36"/>
          <w:sz w:val="119"/>
          <w:szCs w:val="119"/>
          <w:lang w:eastAsia="ko-KR"/>
        </w:rPr>
        <w:t xml:space="preserve">such </w:t>
      </w:r>
      <w:r w:rsidRPr="00CD6F62">
        <w:rPr>
          <w:rFonts w:ascii="ff2" w:eastAsia="Times New Roman" w:hAnsi="ff2" w:cs="Times New Roman"/>
          <w:spacing w:val="12"/>
          <w:sz w:val="119"/>
          <w:szCs w:val="119"/>
          <w:lang w:eastAsia="ko-KR"/>
        </w:rPr>
        <w:t xml:space="preserve">activism </w:t>
      </w:r>
      <w:r w:rsidRPr="00CD6F62">
        <w:rPr>
          <w:rFonts w:ascii="ff2" w:eastAsia="Times New Roman" w:hAnsi="ff2" w:cs="Times New Roman"/>
          <w:sz w:val="119"/>
          <w:szCs w:val="119"/>
          <w:lang w:eastAsia="ko-KR"/>
        </w:rPr>
        <w:t xml:space="preserve">was </w:t>
      </w:r>
      <w:r w:rsidRPr="00CD6F62">
        <w:rPr>
          <w:rFonts w:ascii="ff2" w:eastAsia="Times New Roman" w:hAnsi="ff2" w:cs="Times New Roman"/>
          <w:spacing w:val="12"/>
          <w:sz w:val="119"/>
          <w:szCs w:val="119"/>
          <w:lang w:eastAsia="ko-KR"/>
        </w:rPr>
        <w:t xml:space="preserve">a redefinition </w:t>
      </w:r>
      <w:r w:rsidRPr="00CD6F62">
        <w:rPr>
          <w:rFonts w:ascii="ff2" w:eastAsia="Times New Roman" w:hAnsi="ff2" w:cs="Times New Roman"/>
          <w:sz w:val="119"/>
          <w:szCs w:val="119"/>
          <w:lang w:eastAsia="ko-KR"/>
        </w:rPr>
        <w:t xml:space="preserve">of </w:t>
      </w:r>
      <w:r w:rsidRPr="00CD6F62">
        <w:rPr>
          <w:rFonts w:ascii="ff2" w:eastAsia="Times New Roman" w:hAnsi="ff2" w:cs="Times New Roman"/>
          <w:spacing w:val="12"/>
          <w:sz w:val="119"/>
          <w:szCs w:val="119"/>
          <w:lang w:eastAsia="ko-KR"/>
        </w:rPr>
        <w:t xml:space="preserve">disabilities </w:t>
      </w:r>
      <w:r w:rsidRPr="00CD6F62">
        <w:rPr>
          <w:rFonts w:ascii="ff2" w:eastAsia="Times New Roman" w:hAnsi="ff2" w:cs="Times New Roman"/>
          <w:spacing w:val="48"/>
          <w:sz w:val="119"/>
          <w:szCs w:val="119"/>
          <w:lang w:eastAsia="ko-KR"/>
        </w:rPr>
        <w:t xml:space="preserve">as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 xml:space="preserve">impairments  </w:t>
      </w:r>
      <w:r w:rsidRPr="00CD6F62">
        <w:rPr>
          <w:rFonts w:ascii="ff2" w:eastAsia="Times New Roman" w:hAnsi="ff2" w:cs="Times New Roman"/>
          <w:spacing w:val="12"/>
          <w:sz w:val="119"/>
          <w:szCs w:val="119"/>
          <w:lang w:eastAsia="ko-KR"/>
        </w:rPr>
        <w:t>that</w:t>
      </w:r>
      <w:proofErr w:type="gramEnd"/>
      <w:r w:rsidRPr="00CD6F62">
        <w:rPr>
          <w:rFonts w:ascii="ff2" w:eastAsia="Times New Roman" w:hAnsi="ff2" w:cs="Times New Roman"/>
          <w:spacing w:val="12"/>
          <w:sz w:val="119"/>
          <w:szCs w:val="119"/>
          <w:lang w:eastAsia="ko-KR"/>
        </w:rPr>
        <w:t xml:space="preserve"> are limiting  only </w:t>
      </w:r>
      <w:r w:rsidRPr="00CD6F62">
        <w:rPr>
          <w:rFonts w:ascii="ff2" w:eastAsia="Times New Roman" w:hAnsi="ff2" w:cs="Times New Roman"/>
          <w:spacing w:val="48"/>
          <w:sz w:val="119"/>
          <w:szCs w:val="119"/>
          <w:lang w:eastAsia="ko-KR"/>
        </w:rPr>
        <w:t xml:space="preserve">to </w:t>
      </w:r>
      <w:r w:rsidRPr="00CD6F62">
        <w:rPr>
          <w:rFonts w:ascii="ff2" w:eastAsia="Times New Roman" w:hAnsi="ff2" w:cs="Times New Roman"/>
          <w:spacing w:val="12"/>
          <w:sz w:val="119"/>
          <w:szCs w:val="119"/>
          <w:lang w:eastAsia="ko-KR"/>
        </w:rPr>
        <w:t xml:space="preserve">the </w:t>
      </w:r>
      <w:r w:rsidRPr="00CD6F62">
        <w:rPr>
          <w:rFonts w:ascii="ff2" w:eastAsia="Times New Roman" w:hAnsi="ff2" w:cs="Times New Roman"/>
          <w:spacing w:val="36"/>
          <w:sz w:val="119"/>
          <w:szCs w:val="119"/>
          <w:lang w:eastAsia="ko-KR"/>
        </w:rPr>
        <w:t xml:space="preserve">extent </w:t>
      </w:r>
      <w:r w:rsidRPr="00CD6F62">
        <w:rPr>
          <w:rFonts w:ascii="ff2" w:eastAsia="Times New Roman" w:hAnsi="ff2" w:cs="Times New Roman"/>
          <w:spacing w:val="12"/>
          <w:sz w:val="119"/>
          <w:szCs w:val="119"/>
          <w:lang w:eastAsia="ko-KR"/>
        </w:rPr>
        <w:t xml:space="preserve">that constraints  are imposed </w:t>
      </w:r>
      <w:r w:rsidRPr="00CD6F62">
        <w:rPr>
          <w:rFonts w:ascii="ff2" w:eastAsia="Times New Roman" w:hAnsi="ff2" w:cs="Times New Roman"/>
          <w:sz w:val="119"/>
          <w:szCs w:val="119"/>
          <w:lang w:eastAsia="ko-KR"/>
        </w:rPr>
        <w:t xml:space="preserve">by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the</w:t>
      </w:r>
      <w:proofErr w:type="gramEnd"/>
      <w:r w:rsidRPr="00CD6F62">
        <w:rPr>
          <w:rFonts w:ascii="ff2" w:eastAsia="Times New Roman" w:hAnsi="ff2" w:cs="Times New Roman"/>
          <w:sz w:val="119"/>
          <w:szCs w:val="119"/>
          <w:lang w:eastAsia="ko-KR"/>
        </w:rPr>
        <w:t xml:space="preserve"> physical  </w:t>
      </w:r>
      <w:r w:rsidRPr="00CD6F62">
        <w:rPr>
          <w:rFonts w:ascii="ff2" w:eastAsia="Times New Roman" w:hAnsi="ff2" w:cs="Times New Roman"/>
          <w:spacing w:val="12"/>
          <w:sz w:val="119"/>
          <w:szCs w:val="119"/>
          <w:lang w:eastAsia="ko-KR"/>
        </w:rPr>
        <w:t xml:space="preserve">and social </w:t>
      </w:r>
      <w:r w:rsidRPr="00CD6F62">
        <w:rPr>
          <w:rFonts w:ascii="ff2" w:eastAsia="Times New Roman" w:hAnsi="ff2" w:cs="Times New Roman"/>
          <w:spacing w:val="36"/>
          <w:sz w:val="119"/>
          <w:szCs w:val="119"/>
          <w:lang w:eastAsia="ko-KR"/>
        </w:rPr>
        <w:t xml:space="preserve">environment. </w:t>
      </w:r>
      <w:r w:rsidRPr="00CD6F62">
        <w:rPr>
          <w:rFonts w:ascii="ff2" w:eastAsia="Times New Roman" w:hAnsi="ff2" w:cs="Times New Roman"/>
          <w:spacing w:val="48"/>
          <w:sz w:val="119"/>
          <w:szCs w:val="119"/>
          <w:lang w:eastAsia="ko-KR"/>
        </w:rPr>
        <w:t xml:space="preserve">The </w:t>
      </w:r>
      <w:proofErr w:type="gramStart"/>
      <w:r w:rsidRPr="00CD6F62">
        <w:rPr>
          <w:rFonts w:ascii="ff2" w:eastAsia="Times New Roman" w:hAnsi="ff2" w:cs="Times New Roman"/>
          <w:spacing w:val="12"/>
          <w:sz w:val="119"/>
          <w:szCs w:val="119"/>
          <w:lang w:eastAsia="ko-KR"/>
        </w:rPr>
        <w:t>activists  who</w:t>
      </w:r>
      <w:proofErr w:type="gramEnd"/>
      <w:r w:rsidRPr="00CD6F62">
        <w:rPr>
          <w:rFonts w:ascii="ff2" w:eastAsia="Times New Roman" w:hAnsi="ff2" w:cs="Times New Roman"/>
          <w:spacing w:val="12"/>
          <w:sz w:val="119"/>
          <w:szCs w:val="119"/>
          <w:lang w:eastAsia="ko-KR"/>
        </w:rPr>
        <w:t xml:space="preserve"> created the  various  </w:t>
      </w:r>
      <w:r w:rsidRPr="00CD6F62">
        <w:rPr>
          <w:rFonts w:ascii="ff2" w:eastAsia="Times New Roman" w:hAnsi="ff2" w:cs="Times New Roman"/>
          <w:spacing w:val="36"/>
          <w:sz w:val="119"/>
          <w:szCs w:val="119"/>
          <w:lang w:eastAsia="ko-KR"/>
        </w:rPr>
        <w:t xml:space="preserve">dis-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r w:rsidRPr="00CD6F62">
        <w:rPr>
          <w:rFonts w:ascii="ff2" w:eastAsia="Times New Roman" w:hAnsi="ff2" w:cs="Times New Roman"/>
          <w:sz w:val="119"/>
          <w:szCs w:val="119"/>
          <w:lang w:eastAsia="ko-KR"/>
        </w:rPr>
        <w:t xml:space="preserve">ability  rights  </w:t>
      </w:r>
      <w:r w:rsidRPr="00CD6F62">
        <w:rPr>
          <w:rFonts w:ascii="ff2" w:eastAsia="Times New Roman" w:hAnsi="ff2" w:cs="Times New Roman"/>
          <w:spacing w:val="12"/>
          <w:sz w:val="119"/>
          <w:szCs w:val="119"/>
          <w:lang w:eastAsia="ko-KR"/>
        </w:rPr>
        <w:t xml:space="preserve">organizations  redefined  disability  </w:t>
      </w:r>
      <w:r w:rsidRPr="00CD6F62">
        <w:rPr>
          <w:rFonts w:ascii="ff2" w:eastAsia="Times New Roman" w:hAnsi="ff2" w:cs="Times New Roman"/>
          <w:sz w:val="119"/>
          <w:szCs w:val="119"/>
          <w:lang w:eastAsia="ko-KR"/>
        </w:rPr>
        <w:t xml:space="preserve">in  </w:t>
      </w:r>
      <w:r w:rsidRPr="00CD6F62">
        <w:rPr>
          <w:rFonts w:ascii="ff2" w:eastAsia="Times New Roman" w:hAnsi="ff2" w:cs="Times New Roman"/>
          <w:spacing w:val="12"/>
          <w:sz w:val="119"/>
          <w:szCs w:val="119"/>
          <w:lang w:eastAsia="ko-KR"/>
        </w:rPr>
        <w:t xml:space="preserve">this  way  and  sought  </w:t>
      </w:r>
      <w:r w:rsidRPr="00CD6F62">
        <w:rPr>
          <w:rFonts w:ascii="ff2" w:eastAsia="Times New Roman" w:hAnsi="ff2" w:cs="Times New Roman"/>
          <w:spacing w:val="48"/>
          <w:sz w:val="119"/>
          <w:szCs w:val="119"/>
          <w:lang w:eastAsia="ko-KR"/>
        </w:rPr>
        <w:t xml:space="preserve">to </w:t>
      </w:r>
      <w:r w:rsidRPr="00CD6F62">
        <w:rPr>
          <w:rFonts w:ascii="ff2" w:eastAsia="Times New Roman" w:hAnsi="ff2" w:cs="Times New Roman"/>
          <w:spacing w:val="12"/>
          <w:sz w:val="119"/>
          <w:szCs w:val="119"/>
          <w:lang w:eastAsia="ko-KR"/>
        </w:rPr>
        <w:t xml:space="preserve">have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this</w:t>
      </w:r>
      <w:proofErr w:type="gramEnd"/>
      <w:r w:rsidRPr="00CD6F62">
        <w:rPr>
          <w:rFonts w:ascii="ff2" w:eastAsia="Times New Roman" w:hAnsi="ff2" w:cs="Times New Roman"/>
          <w:sz w:val="119"/>
          <w:szCs w:val="119"/>
          <w:lang w:eastAsia="ko-KR"/>
        </w:rPr>
        <w:t xml:space="preserve"> redefinition  </w:t>
      </w:r>
      <w:r w:rsidRPr="00CD6F62">
        <w:rPr>
          <w:rFonts w:ascii="ff2" w:eastAsia="Times New Roman" w:hAnsi="ff2" w:cs="Times New Roman"/>
          <w:spacing w:val="12"/>
          <w:sz w:val="119"/>
          <w:szCs w:val="119"/>
          <w:lang w:eastAsia="ko-KR"/>
        </w:rPr>
        <w:t xml:space="preserve">institutionalized and accepted </w:t>
      </w:r>
      <w:r w:rsidRPr="00CD6F62">
        <w:rPr>
          <w:rFonts w:ascii="ff2" w:eastAsia="Times New Roman" w:hAnsi="ff2" w:cs="Times New Roman"/>
          <w:spacing w:val="-12"/>
          <w:sz w:val="119"/>
          <w:szCs w:val="119"/>
          <w:lang w:eastAsia="ko-KR"/>
        </w:rPr>
        <w:t xml:space="preserve">in </w:t>
      </w:r>
      <w:r w:rsidRPr="00CD6F62">
        <w:rPr>
          <w:rFonts w:ascii="ff2" w:eastAsia="Times New Roman" w:hAnsi="ff2" w:cs="Times New Roman"/>
          <w:spacing w:val="12"/>
          <w:sz w:val="119"/>
          <w:szCs w:val="119"/>
          <w:lang w:eastAsia="ko-KR"/>
        </w:rPr>
        <w:t xml:space="preserve">public policy </w:t>
      </w:r>
      <w:r w:rsidRPr="00CD6F62">
        <w:rPr>
          <w:rFonts w:ascii="ff2" w:eastAsia="Times New Roman" w:hAnsi="ff2" w:cs="Times New Roman"/>
          <w:sz w:val="119"/>
          <w:szCs w:val="119"/>
          <w:lang w:eastAsia="ko-KR"/>
        </w:rPr>
        <w:t xml:space="preserve">and by </w:t>
      </w:r>
      <w:r w:rsidRPr="00CD6F62">
        <w:rPr>
          <w:rFonts w:ascii="ff2" w:eastAsia="Times New Roman" w:hAnsi="ff2" w:cs="Times New Roman"/>
          <w:spacing w:val="36"/>
          <w:sz w:val="119"/>
          <w:szCs w:val="119"/>
          <w:lang w:eastAsia="ko-KR"/>
        </w:rPr>
        <w:t xml:space="preserve">the </w:t>
      </w:r>
      <w:r w:rsidRPr="00CD6F62">
        <w:rPr>
          <w:rFonts w:ascii="ff2" w:eastAsia="Times New Roman" w:hAnsi="ff2" w:cs="Times New Roman"/>
          <w:spacing w:val="12"/>
          <w:sz w:val="119"/>
          <w:szCs w:val="119"/>
          <w:lang w:eastAsia="ko-KR"/>
        </w:rPr>
        <w:t xml:space="preserve">general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CD6F62">
        <w:rPr>
          <w:rFonts w:ascii="ff2" w:eastAsia="Times New Roman" w:hAnsi="ff2" w:cs="Times New Roman"/>
          <w:spacing w:val="12"/>
          <w:sz w:val="119"/>
          <w:szCs w:val="119"/>
          <w:lang w:eastAsia="ko-KR"/>
        </w:rPr>
        <w:t>public</w:t>
      </w:r>
      <w:proofErr w:type="gramEnd"/>
      <w:r w:rsidRPr="00CD6F62">
        <w:rPr>
          <w:rFonts w:ascii="ff2" w:eastAsia="Times New Roman" w:hAnsi="ff2" w:cs="Times New Roman"/>
          <w:spacing w:val="12"/>
          <w:sz w:val="119"/>
          <w:szCs w:val="119"/>
          <w:lang w:eastAsia="ko-KR"/>
        </w:rPr>
        <w:t xml:space="preserve">.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r w:rsidRPr="00CD6F62">
        <w:rPr>
          <w:rFonts w:ascii="ff2" w:eastAsia="Times New Roman" w:hAnsi="ff2" w:cs="Times New Roman"/>
          <w:spacing w:val="12"/>
          <w:sz w:val="119"/>
          <w:szCs w:val="119"/>
          <w:lang w:eastAsia="ko-KR"/>
        </w:rPr>
        <w:t xml:space="preserve">However,  the  political  and  financial  resources  </w:t>
      </w:r>
      <w:r w:rsidRPr="00CD6F62">
        <w:rPr>
          <w:rFonts w:ascii="ff2" w:eastAsia="Times New Roman" w:hAnsi="ff2" w:cs="Times New Roman"/>
          <w:sz w:val="119"/>
          <w:szCs w:val="119"/>
          <w:lang w:eastAsia="ko-KR"/>
        </w:rPr>
        <w:t xml:space="preserve">of  </w:t>
      </w:r>
      <w:r w:rsidRPr="00CD6F62">
        <w:rPr>
          <w:rFonts w:ascii="ff2" w:eastAsia="Times New Roman" w:hAnsi="ff2" w:cs="Times New Roman"/>
          <w:spacing w:val="12"/>
          <w:sz w:val="119"/>
          <w:szCs w:val="119"/>
          <w:lang w:eastAsia="ko-KR"/>
        </w:rPr>
        <w:t xml:space="preserve">most  </w:t>
      </w:r>
      <w:r w:rsidRPr="00CD6F62">
        <w:rPr>
          <w:rFonts w:ascii="ff2" w:eastAsia="Times New Roman" w:hAnsi="ff2" w:cs="Times New Roman"/>
          <w:sz w:val="119"/>
          <w:szCs w:val="119"/>
          <w:lang w:eastAsia="ko-KR"/>
        </w:rPr>
        <w:t xml:space="preserve">of  the  </w:t>
      </w:r>
      <w:r w:rsidRPr="00CD6F62">
        <w:rPr>
          <w:rFonts w:ascii="ff2" w:eastAsia="Times New Roman" w:hAnsi="ff2" w:cs="Times New Roman"/>
          <w:spacing w:val="12"/>
          <w:sz w:val="119"/>
          <w:szCs w:val="119"/>
          <w:lang w:eastAsia="ko-KR"/>
        </w:rPr>
        <w:t xml:space="preserve">disability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rights</w:t>
      </w:r>
      <w:proofErr w:type="gramEnd"/>
      <w:r w:rsidRPr="00CD6F62">
        <w:rPr>
          <w:rFonts w:ascii="ff2" w:eastAsia="Times New Roman" w:hAnsi="ff2" w:cs="Times New Roman"/>
          <w:sz w:val="119"/>
          <w:szCs w:val="119"/>
          <w:lang w:eastAsia="ko-KR"/>
        </w:rPr>
        <w:t xml:space="preserve"> </w:t>
      </w:r>
      <w:r w:rsidRPr="00CD6F62">
        <w:rPr>
          <w:rFonts w:ascii="ff2" w:eastAsia="Times New Roman" w:hAnsi="ff2" w:cs="Times New Roman"/>
          <w:spacing w:val="12"/>
          <w:sz w:val="119"/>
          <w:szCs w:val="119"/>
          <w:lang w:eastAsia="ko-KR"/>
        </w:rPr>
        <w:t xml:space="preserve">organizations were extremely  limited. A major proportion </w:t>
      </w:r>
    </w:p>
    <w:p w:rsidR="00F703ED" w:rsidRPr="00CD6F62" w:rsidRDefault="00F703ED" w:rsidP="00F703ED">
      <w:pPr>
        <w:shd w:val="clear" w:color="auto" w:fill="FFFFFF"/>
        <w:spacing w:after="0" w:line="0" w:lineRule="auto"/>
        <w:rPr>
          <w:rFonts w:ascii="ff2" w:eastAsia="Times New Roman" w:hAnsi="ff2" w:cs="Times New Roman"/>
          <w:spacing w:val="-73"/>
          <w:sz w:val="121"/>
          <w:szCs w:val="121"/>
          <w:lang w:eastAsia="ko-KR"/>
        </w:rPr>
      </w:pPr>
      <w:proofErr w:type="gramStart"/>
      <w:r w:rsidRPr="00CD6F62">
        <w:rPr>
          <w:rFonts w:ascii="ff2" w:eastAsia="Times New Roman" w:hAnsi="ff2" w:cs="Times New Roman"/>
          <w:spacing w:val="-73"/>
          <w:sz w:val="121"/>
          <w:szCs w:val="121"/>
          <w:lang w:eastAsia="ko-KR"/>
        </w:rPr>
        <w:t>of</w:t>
      </w:r>
      <w:proofErr w:type="gramEnd"/>
      <w:r w:rsidRPr="00CD6F62">
        <w:rPr>
          <w:rFonts w:ascii="ff2" w:eastAsia="Times New Roman" w:hAnsi="ff2" w:cs="Times New Roman"/>
          <w:spacing w:val="-73"/>
          <w:sz w:val="121"/>
          <w:szCs w:val="121"/>
          <w:lang w:eastAsia="ko-KR"/>
        </w:rPr>
        <w:t xml:space="preserve">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CD6F62">
        <w:rPr>
          <w:rFonts w:ascii="ff2" w:eastAsia="Times New Roman" w:hAnsi="ff2" w:cs="Times New Roman"/>
          <w:spacing w:val="12"/>
          <w:sz w:val="119"/>
          <w:szCs w:val="119"/>
          <w:lang w:eastAsia="ko-KR"/>
        </w:rPr>
        <w:t>their</w:t>
      </w:r>
      <w:proofErr w:type="gramEnd"/>
      <w:r w:rsidRPr="00CD6F62">
        <w:rPr>
          <w:rFonts w:ascii="ff2" w:eastAsia="Times New Roman" w:hAnsi="ff2" w:cs="Times New Roman"/>
          <w:spacing w:val="12"/>
          <w:sz w:val="119"/>
          <w:szCs w:val="119"/>
          <w:lang w:eastAsia="ko-KR"/>
        </w:rPr>
        <w:t xml:space="preserve"> budgets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CD6F62">
        <w:rPr>
          <w:rFonts w:ascii="ff2" w:eastAsia="Times New Roman" w:hAnsi="ff2" w:cs="Times New Roman"/>
          <w:spacing w:val="-12"/>
          <w:sz w:val="119"/>
          <w:szCs w:val="119"/>
          <w:lang w:eastAsia="ko-KR"/>
        </w:rPr>
        <w:t>in</w:t>
      </w:r>
      <w:proofErr w:type="gramEnd"/>
      <w:r w:rsidRPr="00CD6F62">
        <w:rPr>
          <w:rFonts w:ascii="ff2" w:eastAsia="Times New Roman" w:hAnsi="ff2" w:cs="Times New Roman"/>
          <w:spacing w:val="-12"/>
          <w:sz w:val="119"/>
          <w:szCs w:val="119"/>
          <w:lang w:eastAsia="ko-KR"/>
        </w:rPr>
        <w:t xml:space="preserve"> </w:t>
      </w:r>
      <w:r w:rsidRPr="00CD6F62">
        <w:rPr>
          <w:rFonts w:ascii="ff2" w:eastAsia="Times New Roman" w:hAnsi="ff2" w:cs="Times New Roman"/>
          <w:sz w:val="119"/>
          <w:szCs w:val="119"/>
          <w:lang w:eastAsia="ko-KR"/>
        </w:rPr>
        <w:t xml:space="preserve">the  </w:t>
      </w:r>
      <w:r w:rsidRPr="00CD6F62">
        <w:rPr>
          <w:rFonts w:ascii="ff2" w:eastAsia="Times New Roman" w:hAnsi="ff2" w:cs="Times New Roman"/>
          <w:spacing w:val="12"/>
          <w:sz w:val="119"/>
          <w:szCs w:val="119"/>
          <w:lang w:eastAsia="ko-KR"/>
        </w:rPr>
        <w:t xml:space="preserve">late </w:t>
      </w:r>
    </w:p>
    <w:p w:rsidR="00F703ED" w:rsidRPr="00CD6F62" w:rsidRDefault="00F703ED" w:rsidP="00F703ED">
      <w:pPr>
        <w:shd w:val="clear" w:color="auto" w:fill="FFFFFF"/>
        <w:spacing w:after="0" w:line="0" w:lineRule="auto"/>
        <w:rPr>
          <w:rFonts w:ascii="ff2" w:eastAsia="Times New Roman" w:hAnsi="ff2" w:cs="Times New Roman"/>
          <w:spacing w:val="-12"/>
          <w:sz w:val="121"/>
          <w:szCs w:val="121"/>
          <w:lang w:eastAsia="ko-KR"/>
        </w:rPr>
      </w:pPr>
      <w:r w:rsidRPr="00CD6F62">
        <w:rPr>
          <w:rFonts w:ascii="ff2" w:eastAsia="Times New Roman" w:hAnsi="ff2" w:cs="Times New Roman"/>
          <w:spacing w:val="-12"/>
          <w:sz w:val="121"/>
          <w:szCs w:val="121"/>
          <w:lang w:eastAsia="ko-KR"/>
        </w:rPr>
        <w:t xml:space="preserve">1970s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CD6F62">
        <w:rPr>
          <w:rFonts w:ascii="ff2" w:eastAsia="Times New Roman" w:hAnsi="ff2" w:cs="Times New Roman"/>
          <w:spacing w:val="12"/>
          <w:sz w:val="119"/>
          <w:szCs w:val="119"/>
          <w:lang w:eastAsia="ko-KR"/>
        </w:rPr>
        <w:t>was</w:t>
      </w:r>
      <w:proofErr w:type="gramEnd"/>
      <w:r w:rsidRPr="00CD6F62">
        <w:rPr>
          <w:rFonts w:ascii="ff2" w:eastAsia="Times New Roman" w:hAnsi="ff2" w:cs="Times New Roman"/>
          <w:spacing w:val="12"/>
          <w:sz w:val="119"/>
          <w:szCs w:val="119"/>
          <w:lang w:eastAsia="ko-KR"/>
        </w:rPr>
        <w:t xml:space="preserve"> provided  </w:t>
      </w:r>
      <w:r w:rsidRPr="00CD6F62">
        <w:rPr>
          <w:rFonts w:ascii="ff2" w:eastAsia="Times New Roman" w:hAnsi="ff2" w:cs="Times New Roman"/>
          <w:sz w:val="119"/>
          <w:szCs w:val="119"/>
          <w:lang w:eastAsia="ko-KR"/>
        </w:rPr>
        <w:t xml:space="preserve">by  </w:t>
      </w:r>
      <w:r w:rsidRPr="00CD6F62">
        <w:rPr>
          <w:rFonts w:ascii="ff2" w:eastAsia="Times New Roman" w:hAnsi="ff2" w:cs="Times New Roman"/>
          <w:spacing w:val="12"/>
          <w:sz w:val="119"/>
          <w:szCs w:val="119"/>
          <w:lang w:eastAsia="ko-KR"/>
        </w:rPr>
        <w:t xml:space="preserve">the  federal  government  </w:t>
      </w:r>
      <w:r w:rsidRPr="00CD6F62">
        <w:rPr>
          <w:rFonts w:ascii="ff2" w:eastAsia="Times New Roman" w:hAnsi="ff2" w:cs="Times New Roman"/>
          <w:sz w:val="119"/>
          <w:szCs w:val="119"/>
          <w:lang w:eastAsia="ko-KR"/>
        </w:rPr>
        <w:t xml:space="preserve">in </w:t>
      </w:r>
      <w:r w:rsidRPr="00CD6F62">
        <w:rPr>
          <w:rFonts w:ascii="ff2" w:eastAsia="Times New Roman" w:hAnsi="ff2" w:cs="Times New Roman"/>
          <w:spacing w:val="12"/>
          <w:sz w:val="119"/>
          <w:szCs w:val="119"/>
          <w:lang w:eastAsia="ko-KR"/>
        </w:rPr>
        <w:t xml:space="preserve">the </w:t>
      </w:r>
      <w:r w:rsidRPr="00CD6F62">
        <w:rPr>
          <w:rFonts w:ascii="ff2" w:eastAsia="Times New Roman" w:hAnsi="ff2" w:cs="Times New Roman"/>
          <w:spacing w:val="36"/>
          <w:sz w:val="119"/>
          <w:szCs w:val="119"/>
          <w:lang w:eastAsia="ko-KR"/>
        </w:rPr>
        <w:t xml:space="preserve">form </w:t>
      </w:r>
      <w:r w:rsidRPr="00CD6F62">
        <w:rPr>
          <w:rFonts w:ascii="ff2" w:eastAsia="Times New Roman" w:hAnsi="ff2" w:cs="Times New Roman"/>
          <w:sz w:val="119"/>
          <w:szCs w:val="119"/>
          <w:lang w:eastAsia="ko-KR"/>
        </w:rPr>
        <w:t xml:space="preserve">of </w:t>
      </w:r>
      <w:r w:rsidRPr="00CD6F62">
        <w:rPr>
          <w:rFonts w:ascii="ff2" w:eastAsia="Times New Roman" w:hAnsi="ff2" w:cs="Times New Roman"/>
          <w:spacing w:val="12"/>
          <w:sz w:val="119"/>
          <w:szCs w:val="119"/>
          <w:lang w:eastAsia="ko-KR"/>
        </w:rPr>
        <w:t xml:space="preserve">grants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r w:rsidRPr="00CD6F62">
        <w:rPr>
          <w:rFonts w:ascii="ff2" w:eastAsia="Times New Roman" w:hAnsi="ff2" w:cs="Times New Roman"/>
          <w:sz w:val="119"/>
          <w:szCs w:val="119"/>
          <w:lang w:eastAsia="ko-KR"/>
        </w:rPr>
        <w:t xml:space="preserve">and  </w:t>
      </w:r>
      <w:r w:rsidRPr="00CD6F62">
        <w:rPr>
          <w:rFonts w:ascii="ff2" w:eastAsia="Times New Roman" w:hAnsi="ff2" w:cs="Times New Roman"/>
          <w:spacing w:val="12"/>
          <w:sz w:val="119"/>
          <w:szCs w:val="119"/>
          <w:lang w:eastAsia="ko-KR"/>
        </w:rPr>
        <w:t xml:space="preserve">contracts,  and  substantial  amounts  of  this  federal  funding  were  used </w:t>
      </w:r>
    </w:p>
    <w:p w:rsidR="00F703ED" w:rsidRPr="00CD6F62" w:rsidRDefault="00F703ED" w:rsidP="00F703ED">
      <w:pPr>
        <w:shd w:val="clear" w:color="auto" w:fill="FFFFFF"/>
        <w:spacing w:after="0" w:line="0" w:lineRule="auto"/>
        <w:rPr>
          <w:rFonts w:ascii="ff6" w:eastAsia="Times New Roman" w:hAnsi="ff6" w:cs="Times New Roman"/>
          <w:spacing w:val="-87"/>
          <w:sz w:val="124"/>
          <w:szCs w:val="124"/>
          <w:lang w:eastAsia="ko-KR"/>
        </w:rPr>
      </w:pPr>
      <w:proofErr w:type="gramStart"/>
      <w:r w:rsidRPr="00CD6F62">
        <w:rPr>
          <w:rFonts w:ascii="ff6" w:eastAsia="Times New Roman" w:hAnsi="ff6" w:cs="Times New Roman"/>
          <w:spacing w:val="-87"/>
          <w:sz w:val="124"/>
          <w:szCs w:val="124"/>
          <w:lang w:eastAsia="ko-KR"/>
        </w:rPr>
        <w:t>for</w:t>
      </w:r>
      <w:proofErr w:type="gramEnd"/>
      <w:r w:rsidRPr="00CD6F62">
        <w:rPr>
          <w:rFonts w:ascii="ff6" w:eastAsia="Times New Roman" w:hAnsi="ff6" w:cs="Times New Roman"/>
          <w:spacing w:val="-87"/>
          <w:sz w:val="124"/>
          <w:szCs w:val="124"/>
          <w:lang w:eastAsia="ko-KR"/>
        </w:rPr>
        <w:t xml:space="preserve"> </w:t>
      </w:r>
    </w:p>
    <w:p w:rsidR="00F703ED" w:rsidRPr="00CD6F62" w:rsidRDefault="00F703ED" w:rsidP="00F703ED">
      <w:pPr>
        <w:shd w:val="clear" w:color="auto" w:fill="FFFFFF"/>
        <w:spacing w:after="0" w:line="0" w:lineRule="auto"/>
        <w:rPr>
          <w:rFonts w:ascii="ff6" w:eastAsia="Times New Roman" w:hAnsi="ff6" w:cs="Times New Roman"/>
          <w:spacing w:val="-12"/>
          <w:sz w:val="124"/>
          <w:szCs w:val="124"/>
          <w:lang w:eastAsia="ko-KR"/>
        </w:rPr>
      </w:pPr>
      <w:r w:rsidRPr="00CD6F62">
        <w:rPr>
          <w:rFonts w:ascii="ff6" w:eastAsia="Times New Roman" w:hAnsi="ff6" w:cs="Times New Roman"/>
          <w:spacing w:val="-12"/>
          <w:sz w:val="124"/>
          <w:szCs w:val="124"/>
          <w:lang w:eastAsia="ko-KR"/>
        </w:rPr>
        <w:t xml:space="preserve">The Role </w:t>
      </w:r>
    </w:p>
    <w:p w:rsidR="00F703ED" w:rsidRPr="00CD6F62" w:rsidRDefault="00F703ED" w:rsidP="00F703ED">
      <w:pPr>
        <w:shd w:val="clear" w:color="auto" w:fill="FFFFFF"/>
        <w:spacing w:after="0" w:line="0" w:lineRule="auto"/>
        <w:rPr>
          <w:rFonts w:ascii="ff6" w:eastAsia="Times New Roman" w:hAnsi="ff6" w:cs="Times New Roman"/>
          <w:spacing w:val="-75"/>
          <w:sz w:val="125"/>
          <w:szCs w:val="125"/>
          <w:lang w:eastAsia="ko-KR"/>
        </w:rPr>
      </w:pPr>
      <w:proofErr w:type="gramStart"/>
      <w:r w:rsidRPr="00CD6F62">
        <w:rPr>
          <w:rFonts w:ascii="ff6" w:eastAsia="Times New Roman" w:hAnsi="ff6" w:cs="Times New Roman"/>
          <w:spacing w:val="-75"/>
          <w:sz w:val="125"/>
          <w:szCs w:val="125"/>
          <w:lang w:eastAsia="ko-KR"/>
        </w:rPr>
        <w:t>of</w:t>
      </w:r>
      <w:proofErr w:type="gramEnd"/>
      <w:r w:rsidRPr="00CD6F62">
        <w:rPr>
          <w:rFonts w:ascii="ff6" w:eastAsia="Times New Roman" w:hAnsi="ff6" w:cs="Times New Roman"/>
          <w:spacing w:val="-75"/>
          <w:sz w:val="125"/>
          <w:szCs w:val="125"/>
          <w:lang w:eastAsia="ko-KR"/>
        </w:rPr>
        <w:t xml:space="preserve"> </w:t>
      </w:r>
    </w:p>
    <w:p w:rsidR="00F703ED" w:rsidRPr="00CD6F62" w:rsidRDefault="00F703ED" w:rsidP="00F703ED">
      <w:pPr>
        <w:shd w:val="clear" w:color="auto" w:fill="FFFFFF"/>
        <w:spacing w:after="0" w:line="0" w:lineRule="auto"/>
        <w:rPr>
          <w:rFonts w:ascii="ff6" w:eastAsia="Times New Roman" w:hAnsi="ff6" w:cs="Times New Roman"/>
          <w:spacing w:val="-12"/>
          <w:sz w:val="124"/>
          <w:szCs w:val="124"/>
          <w:lang w:eastAsia="ko-KR"/>
        </w:rPr>
      </w:pPr>
      <w:proofErr w:type="gramStart"/>
      <w:r w:rsidRPr="00CD6F62">
        <w:rPr>
          <w:rFonts w:ascii="ff6" w:eastAsia="Times New Roman" w:hAnsi="ff6" w:cs="Times New Roman"/>
          <w:spacing w:val="-12"/>
          <w:sz w:val="124"/>
          <w:szCs w:val="124"/>
          <w:lang w:eastAsia="ko-KR"/>
        </w:rPr>
        <w:t>the</w:t>
      </w:r>
      <w:proofErr w:type="gramEnd"/>
      <w:r w:rsidRPr="00CD6F62">
        <w:rPr>
          <w:rFonts w:ascii="ff6" w:eastAsia="Times New Roman" w:hAnsi="ff6" w:cs="Times New Roman"/>
          <w:spacing w:val="-12"/>
          <w:sz w:val="124"/>
          <w:szCs w:val="124"/>
          <w:lang w:eastAsia="ko-KR"/>
        </w:rPr>
        <w:t xml:space="preserve"> </w:t>
      </w:r>
      <w:r w:rsidRPr="00CD6F62">
        <w:rPr>
          <w:rFonts w:ascii="ff6" w:eastAsia="Times New Roman" w:hAnsi="ff6" w:cs="Times New Roman"/>
          <w:sz w:val="124"/>
          <w:szCs w:val="124"/>
          <w:lang w:eastAsia="ko-KR"/>
        </w:rPr>
        <w:t xml:space="preserve">State </w:t>
      </w:r>
      <w:r w:rsidRPr="00CD6F62">
        <w:rPr>
          <w:rFonts w:ascii="ff6" w:eastAsia="Times New Roman" w:hAnsi="ff6" w:cs="Times New Roman"/>
          <w:spacing w:val="-25"/>
          <w:sz w:val="124"/>
          <w:szCs w:val="124"/>
          <w:lang w:eastAsia="ko-KR"/>
        </w:rPr>
        <w:t xml:space="preserve">in  </w:t>
      </w:r>
      <w:r w:rsidRPr="00CD6F62">
        <w:rPr>
          <w:rFonts w:ascii="ff6" w:eastAsia="Times New Roman" w:hAnsi="ff6" w:cs="Times New Roman"/>
          <w:sz w:val="124"/>
          <w:szCs w:val="124"/>
          <w:lang w:eastAsia="ko-KR"/>
        </w:rPr>
        <w:t xml:space="preserve">Redefining </w:t>
      </w:r>
      <w:r w:rsidRPr="00CD6F62">
        <w:rPr>
          <w:rFonts w:ascii="ff6" w:eastAsia="Times New Roman" w:hAnsi="ff6" w:cs="Times New Roman"/>
          <w:spacing w:val="-12"/>
          <w:sz w:val="124"/>
          <w:szCs w:val="124"/>
          <w:lang w:eastAsia="ko-KR"/>
        </w:rPr>
        <w:t xml:space="preserve">Disability </w:t>
      </w:r>
    </w:p>
    <w:p w:rsidR="00F703ED" w:rsidRPr="00CD6F62" w:rsidRDefault="00F703ED" w:rsidP="00F703ED">
      <w:pPr>
        <w:shd w:val="clear" w:color="auto" w:fill="FFFFFF"/>
        <w:spacing w:after="0" w:line="0" w:lineRule="auto"/>
        <w:rPr>
          <w:rFonts w:ascii="ff2" w:eastAsia="Times New Roman" w:hAnsi="ff2" w:cs="Times New Roman"/>
          <w:spacing w:val="36"/>
          <w:sz w:val="119"/>
          <w:szCs w:val="119"/>
          <w:lang w:eastAsia="ko-KR"/>
        </w:rPr>
      </w:pPr>
      <w:r w:rsidRPr="00CD6F62">
        <w:rPr>
          <w:rFonts w:ascii="ff2" w:eastAsia="Times New Roman" w:hAnsi="ff2" w:cs="Times New Roman"/>
          <w:spacing w:val="36"/>
          <w:sz w:val="119"/>
          <w:szCs w:val="119"/>
          <w:lang w:eastAsia="ko-KR"/>
        </w:rPr>
        <w:t xml:space="preserve">The above </w:t>
      </w:r>
      <w:proofErr w:type="gramStart"/>
      <w:r w:rsidRPr="00CD6F62">
        <w:rPr>
          <w:rFonts w:ascii="ff2" w:eastAsia="Times New Roman" w:hAnsi="ff2" w:cs="Times New Roman"/>
          <w:spacing w:val="12"/>
          <w:sz w:val="119"/>
          <w:szCs w:val="119"/>
          <w:lang w:eastAsia="ko-KR"/>
        </w:rPr>
        <w:t xml:space="preserve">discussion  </w:t>
      </w:r>
      <w:r w:rsidRPr="00CD6F62">
        <w:rPr>
          <w:rFonts w:ascii="ff2" w:eastAsia="Times New Roman" w:hAnsi="ff2" w:cs="Times New Roman"/>
          <w:sz w:val="119"/>
          <w:szCs w:val="119"/>
          <w:lang w:eastAsia="ko-KR"/>
        </w:rPr>
        <w:t>of</w:t>
      </w:r>
      <w:proofErr w:type="gramEnd"/>
      <w:r w:rsidRPr="00CD6F62">
        <w:rPr>
          <w:rFonts w:ascii="ff2" w:eastAsia="Times New Roman" w:hAnsi="ff2" w:cs="Times New Roman"/>
          <w:sz w:val="119"/>
          <w:szCs w:val="119"/>
          <w:lang w:eastAsia="ko-KR"/>
        </w:rPr>
        <w:t xml:space="preserve">  </w:t>
      </w:r>
      <w:r w:rsidRPr="00CD6F62">
        <w:rPr>
          <w:rFonts w:ascii="ff2" w:eastAsia="Times New Roman" w:hAnsi="ff2" w:cs="Times New Roman"/>
          <w:spacing w:val="12"/>
          <w:sz w:val="119"/>
          <w:szCs w:val="119"/>
          <w:lang w:eastAsia="ko-KR"/>
        </w:rPr>
        <w:t xml:space="preserve">barriers  to  political  activism  </w:t>
      </w:r>
      <w:r w:rsidRPr="00CD6F62">
        <w:rPr>
          <w:rFonts w:ascii="ff2" w:eastAsia="Times New Roman" w:hAnsi="ff2" w:cs="Times New Roman"/>
          <w:spacing w:val="-12"/>
          <w:sz w:val="119"/>
          <w:szCs w:val="119"/>
          <w:lang w:eastAsia="ko-KR"/>
        </w:rPr>
        <w:t xml:space="preserve">by  </w:t>
      </w:r>
      <w:r w:rsidRPr="00CD6F62">
        <w:rPr>
          <w:rFonts w:ascii="ff2" w:eastAsia="Times New Roman" w:hAnsi="ff2" w:cs="Times New Roman"/>
          <w:spacing w:val="12"/>
          <w:sz w:val="119"/>
          <w:szCs w:val="119"/>
          <w:lang w:eastAsia="ko-KR"/>
        </w:rPr>
        <w:t xml:space="preserve">disabled  people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suggested</w:t>
      </w:r>
      <w:proofErr w:type="gramEnd"/>
      <w:r w:rsidRPr="00CD6F62">
        <w:rPr>
          <w:rFonts w:ascii="ff2" w:eastAsia="Times New Roman" w:hAnsi="ff2" w:cs="Times New Roman"/>
          <w:sz w:val="119"/>
          <w:szCs w:val="119"/>
          <w:lang w:eastAsia="ko-KR"/>
        </w:rPr>
        <w:t xml:space="preserve"> that </w:t>
      </w:r>
      <w:r w:rsidRPr="00CD6F62">
        <w:rPr>
          <w:rFonts w:ascii="ff2" w:eastAsia="Times New Roman" w:hAnsi="ff2" w:cs="Times New Roman"/>
          <w:spacing w:val="12"/>
          <w:sz w:val="119"/>
          <w:szCs w:val="119"/>
          <w:lang w:eastAsia="ko-KR"/>
        </w:rPr>
        <w:t xml:space="preserve">a prerequisite </w:t>
      </w:r>
      <w:r w:rsidRPr="00CD6F62">
        <w:rPr>
          <w:rFonts w:ascii="ff2" w:eastAsia="Times New Roman" w:hAnsi="ff2" w:cs="Times New Roman"/>
          <w:spacing w:val="48"/>
          <w:sz w:val="119"/>
          <w:szCs w:val="119"/>
          <w:lang w:eastAsia="ko-KR"/>
        </w:rPr>
        <w:t xml:space="preserve">to </w:t>
      </w:r>
      <w:r w:rsidRPr="00CD6F62">
        <w:rPr>
          <w:rFonts w:ascii="ff2" w:eastAsia="Times New Roman" w:hAnsi="ff2" w:cs="Times New Roman"/>
          <w:spacing w:val="36"/>
          <w:sz w:val="119"/>
          <w:szCs w:val="119"/>
          <w:lang w:eastAsia="ko-KR"/>
        </w:rPr>
        <w:t xml:space="preserve">such </w:t>
      </w:r>
      <w:r w:rsidRPr="00CD6F62">
        <w:rPr>
          <w:rFonts w:ascii="ff2" w:eastAsia="Times New Roman" w:hAnsi="ff2" w:cs="Times New Roman"/>
          <w:spacing w:val="12"/>
          <w:sz w:val="119"/>
          <w:szCs w:val="119"/>
          <w:lang w:eastAsia="ko-KR"/>
        </w:rPr>
        <w:t xml:space="preserve">activism </w:t>
      </w:r>
      <w:r w:rsidRPr="00CD6F62">
        <w:rPr>
          <w:rFonts w:ascii="ff2" w:eastAsia="Times New Roman" w:hAnsi="ff2" w:cs="Times New Roman"/>
          <w:sz w:val="119"/>
          <w:szCs w:val="119"/>
          <w:lang w:eastAsia="ko-KR"/>
        </w:rPr>
        <w:t xml:space="preserve">was </w:t>
      </w:r>
      <w:r w:rsidRPr="00CD6F62">
        <w:rPr>
          <w:rFonts w:ascii="ff2" w:eastAsia="Times New Roman" w:hAnsi="ff2" w:cs="Times New Roman"/>
          <w:spacing w:val="12"/>
          <w:sz w:val="119"/>
          <w:szCs w:val="119"/>
          <w:lang w:eastAsia="ko-KR"/>
        </w:rPr>
        <w:t xml:space="preserve">a redefinition </w:t>
      </w:r>
      <w:r w:rsidRPr="00CD6F62">
        <w:rPr>
          <w:rFonts w:ascii="ff2" w:eastAsia="Times New Roman" w:hAnsi="ff2" w:cs="Times New Roman"/>
          <w:sz w:val="119"/>
          <w:szCs w:val="119"/>
          <w:lang w:eastAsia="ko-KR"/>
        </w:rPr>
        <w:t xml:space="preserve">of </w:t>
      </w:r>
      <w:r w:rsidRPr="00CD6F62">
        <w:rPr>
          <w:rFonts w:ascii="ff2" w:eastAsia="Times New Roman" w:hAnsi="ff2" w:cs="Times New Roman"/>
          <w:spacing w:val="12"/>
          <w:sz w:val="119"/>
          <w:szCs w:val="119"/>
          <w:lang w:eastAsia="ko-KR"/>
        </w:rPr>
        <w:t xml:space="preserve">disabilities </w:t>
      </w:r>
      <w:r w:rsidRPr="00CD6F62">
        <w:rPr>
          <w:rFonts w:ascii="ff2" w:eastAsia="Times New Roman" w:hAnsi="ff2" w:cs="Times New Roman"/>
          <w:spacing w:val="48"/>
          <w:sz w:val="119"/>
          <w:szCs w:val="119"/>
          <w:lang w:eastAsia="ko-KR"/>
        </w:rPr>
        <w:t xml:space="preserve">as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 xml:space="preserve">impairments  </w:t>
      </w:r>
      <w:r w:rsidRPr="00CD6F62">
        <w:rPr>
          <w:rFonts w:ascii="ff2" w:eastAsia="Times New Roman" w:hAnsi="ff2" w:cs="Times New Roman"/>
          <w:spacing w:val="12"/>
          <w:sz w:val="119"/>
          <w:szCs w:val="119"/>
          <w:lang w:eastAsia="ko-KR"/>
        </w:rPr>
        <w:t>that</w:t>
      </w:r>
      <w:proofErr w:type="gramEnd"/>
      <w:r w:rsidRPr="00CD6F62">
        <w:rPr>
          <w:rFonts w:ascii="ff2" w:eastAsia="Times New Roman" w:hAnsi="ff2" w:cs="Times New Roman"/>
          <w:spacing w:val="12"/>
          <w:sz w:val="119"/>
          <w:szCs w:val="119"/>
          <w:lang w:eastAsia="ko-KR"/>
        </w:rPr>
        <w:t xml:space="preserve"> are limiting  only </w:t>
      </w:r>
      <w:r w:rsidRPr="00CD6F62">
        <w:rPr>
          <w:rFonts w:ascii="ff2" w:eastAsia="Times New Roman" w:hAnsi="ff2" w:cs="Times New Roman"/>
          <w:spacing w:val="48"/>
          <w:sz w:val="119"/>
          <w:szCs w:val="119"/>
          <w:lang w:eastAsia="ko-KR"/>
        </w:rPr>
        <w:t xml:space="preserve">to </w:t>
      </w:r>
      <w:r w:rsidRPr="00CD6F62">
        <w:rPr>
          <w:rFonts w:ascii="ff2" w:eastAsia="Times New Roman" w:hAnsi="ff2" w:cs="Times New Roman"/>
          <w:spacing w:val="12"/>
          <w:sz w:val="119"/>
          <w:szCs w:val="119"/>
          <w:lang w:eastAsia="ko-KR"/>
        </w:rPr>
        <w:t xml:space="preserve">the </w:t>
      </w:r>
      <w:r w:rsidRPr="00CD6F62">
        <w:rPr>
          <w:rFonts w:ascii="ff2" w:eastAsia="Times New Roman" w:hAnsi="ff2" w:cs="Times New Roman"/>
          <w:spacing w:val="36"/>
          <w:sz w:val="119"/>
          <w:szCs w:val="119"/>
          <w:lang w:eastAsia="ko-KR"/>
        </w:rPr>
        <w:t xml:space="preserve">extent </w:t>
      </w:r>
      <w:r w:rsidRPr="00CD6F62">
        <w:rPr>
          <w:rFonts w:ascii="ff2" w:eastAsia="Times New Roman" w:hAnsi="ff2" w:cs="Times New Roman"/>
          <w:spacing w:val="12"/>
          <w:sz w:val="119"/>
          <w:szCs w:val="119"/>
          <w:lang w:eastAsia="ko-KR"/>
        </w:rPr>
        <w:t xml:space="preserve">that constraints  are imposed </w:t>
      </w:r>
      <w:r w:rsidRPr="00CD6F62">
        <w:rPr>
          <w:rFonts w:ascii="ff2" w:eastAsia="Times New Roman" w:hAnsi="ff2" w:cs="Times New Roman"/>
          <w:sz w:val="119"/>
          <w:szCs w:val="119"/>
          <w:lang w:eastAsia="ko-KR"/>
        </w:rPr>
        <w:t xml:space="preserve">by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the</w:t>
      </w:r>
      <w:proofErr w:type="gramEnd"/>
      <w:r w:rsidRPr="00CD6F62">
        <w:rPr>
          <w:rFonts w:ascii="ff2" w:eastAsia="Times New Roman" w:hAnsi="ff2" w:cs="Times New Roman"/>
          <w:sz w:val="119"/>
          <w:szCs w:val="119"/>
          <w:lang w:eastAsia="ko-KR"/>
        </w:rPr>
        <w:t xml:space="preserve"> physical  </w:t>
      </w:r>
      <w:r w:rsidRPr="00CD6F62">
        <w:rPr>
          <w:rFonts w:ascii="ff2" w:eastAsia="Times New Roman" w:hAnsi="ff2" w:cs="Times New Roman"/>
          <w:spacing w:val="12"/>
          <w:sz w:val="119"/>
          <w:szCs w:val="119"/>
          <w:lang w:eastAsia="ko-KR"/>
        </w:rPr>
        <w:t xml:space="preserve">and social </w:t>
      </w:r>
      <w:r w:rsidRPr="00CD6F62">
        <w:rPr>
          <w:rFonts w:ascii="ff2" w:eastAsia="Times New Roman" w:hAnsi="ff2" w:cs="Times New Roman"/>
          <w:spacing w:val="36"/>
          <w:sz w:val="119"/>
          <w:szCs w:val="119"/>
          <w:lang w:eastAsia="ko-KR"/>
        </w:rPr>
        <w:t xml:space="preserve">environment. </w:t>
      </w:r>
      <w:r w:rsidRPr="00CD6F62">
        <w:rPr>
          <w:rFonts w:ascii="ff2" w:eastAsia="Times New Roman" w:hAnsi="ff2" w:cs="Times New Roman"/>
          <w:spacing w:val="48"/>
          <w:sz w:val="119"/>
          <w:szCs w:val="119"/>
          <w:lang w:eastAsia="ko-KR"/>
        </w:rPr>
        <w:t xml:space="preserve">The </w:t>
      </w:r>
      <w:proofErr w:type="gramStart"/>
      <w:r w:rsidRPr="00CD6F62">
        <w:rPr>
          <w:rFonts w:ascii="ff2" w:eastAsia="Times New Roman" w:hAnsi="ff2" w:cs="Times New Roman"/>
          <w:spacing w:val="12"/>
          <w:sz w:val="119"/>
          <w:szCs w:val="119"/>
          <w:lang w:eastAsia="ko-KR"/>
        </w:rPr>
        <w:t>activists  who</w:t>
      </w:r>
      <w:proofErr w:type="gramEnd"/>
      <w:r w:rsidRPr="00CD6F62">
        <w:rPr>
          <w:rFonts w:ascii="ff2" w:eastAsia="Times New Roman" w:hAnsi="ff2" w:cs="Times New Roman"/>
          <w:spacing w:val="12"/>
          <w:sz w:val="119"/>
          <w:szCs w:val="119"/>
          <w:lang w:eastAsia="ko-KR"/>
        </w:rPr>
        <w:t xml:space="preserve"> created the  various  </w:t>
      </w:r>
      <w:r w:rsidRPr="00CD6F62">
        <w:rPr>
          <w:rFonts w:ascii="ff2" w:eastAsia="Times New Roman" w:hAnsi="ff2" w:cs="Times New Roman"/>
          <w:spacing w:val="36"/>
          <w:sz w:val="119"/>
          <w:szCs w:val="119"/>
          <w:lang w:eastAsia="ko-KR"/>
        </w:rPr>
        <w:t xml:space="preserve">dis-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r w:rsidRPr="00CD6F62">
        <w:rPr>
          <w:rFonts w:ascii="ff2" w:eastAsia="Times New Roman" w:hAnsi="ff2" w:cs="Times New Roman"/>
          <w:sz w:val="119"/>
          <w:szCs w:val="119"/>
          <w:lang w:eastAsia="ko-KR"/>
        </w:rPr>
        <w:t xml:space="preserve">ability  rights  </w:t>
      </w:r>
      <w:r w:rsidRPr="00CD6F62">
        <w:rPr>
          <w:rFonts w:ascii="ff2" w:eastAsia="Times New Roman" w:hAnsi="ff2" w:cs="Times New Roman"/>
          <w:spacing w:val="12"/>
          <w:sz w:val="119"/>
          <w:szCs w:val="119"/>
          <w:lang w:eastAsia="ko-KR"/>
        </w:rPr>
        <w:t xml:space="preserve">organizations  redefined  disability  </w:t>
      </w:r>
      <w:r w:rsidRPr="00CD6F62">
        <w:rPr>
          <w:rFonts w:ascii="ff2" w:eastAsia="Times New Roman" w:hAnsi="ff2" w:cs="Times New Roman"/>
          <w:sz w:val="119"/>
          <w:szCs w:val="119"/>
          <w:lang w:eastAsia="ko-KR"/>
        </w:rPr>
        <w:t xml:space="preserve">in  </w:t>
      </w:r>
      <w:r w:rsidRPr="00CD6F62">
        <w:rPr>
          <w:rFonts w:ascii="ff2" w:eastAsia="Times New Roman" w:hAnsi="ff2" w:cs="Times New Roman"/>
          <w:spacing w:val="12"/>
          <w:sz w:val="119"/>
          <w:szCs w:val="119"/>
          <w:lang w:eastAsia="ko-KR"/>
        </w:rPr>
        <w:t xml:space="preserve">this  way  and  sought  </w:t>
      </w:r>
      <w:r w:rsidRPr="00CD6F62">
        <w:rPr>
          <w:rFonts w:ascii="ff2" w:eastAsia="Times New Roman" w:hAnsi="ff2" w:cs="Times New Roman"/>
          <w:spacing w:val="48"/>
          <w:sz w:val="119"/>
          <w:szCs w:val="119"/>
          <w:lang w:eastAsia="ko-KR"/>
        </w:rPr>
        <w:t xml:space="preserve">to </w:t>
      </w:r>
      <w:r w:rsidRPr="00CD6F62">
        <w:rPr>
          <w:rFonts w:ascii="ff2" w:eastAsia="Times New Roman" w:hAnsi="ff2" w:cs="Times New Roman"/>
          <w:spacing w:val="12"/>
          <w:sz w:val="119"/>
          <w:szCs w:val="119"/>
          <w:lang w:eastAsia="ko-KR"/>
        </w:rPr>
        <w:t xml:space="preserve">have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this</w:t>
      </w:r>
      <w:proofErr w:type="gramEnd"/>
      <w:r w:rsidRPr="00CD6F62">
        <w:rPr>
          <w:rFonts w:ascii="ff2" w:eastAsia="Times New Roman" w:hAnsi="ff2" w:cs="Times New Roman"/>
          <w:sz w:val="119"/>
          <w:szCs w:val="119"/>
          <w:lang w:eastAsia="ko-KR"/>
        </w:rPr>
        <w:t xml:space="preserve"> redefinition  </w:t>
      </w:r>
      <w:r w:rsidRPr="00CD6F62">
        <w:rPr>
          <w:rFonts w:ascii="ff2" w:eastAsia="Times New Roman" w:hAnsi="ff2" w:cs="Times New Roman"/>
          <w:spacing w:val="12"/>
          <w:sz w:val="119"/>
          <w:szCs w:val="119"/>
          <w:lang w:eastAsia="ko-KR"/>
        </w:rPr>
        <w:t xml:space="preserve">institutionalized and accepted </w:t>
      </w:r>
      <w:r w:rsidRPr="00CD6F62">
        <w:rPr>
          <w:rFonts w:ascii="ff2" w:eastAsia="Times New Roman" w:hAnsi="ff2" w:cs="Times New Roman"/>
          <w:spacing w:val="-12"/>
          <w:sz w:val="119"/>
          <w:szCs w:val="119"/>
          <w:lang w:eastAsia="ko-KR"/>
        </w:rPr>
        <w:t xml:space="preserve">in </w:t>
      </w:r>
      <w:r w:rsidRPr="00CD6F62">
        <w:rPr>
          <w:rFonts w:ascii="ff2" w:eastAsia="Times New Roman" w:hAnsi="ff2" w:cs="Times New Roman"/>
          <w:spacing w:val="12"/>
          <w:sz w:val="119"/>
          <w:szCs w:val="119"/>
          <w:lang w:eastAsia="ko-KR"/>
        </w:rPr>
        <w:t xml:space="preserve">public policy </w:t>
      </w:r>
      <w:r w:rsidRPr="00CD6F62">
        <w:rPr>
          <w:rFonts w:ascii="ff2" w:eastAsia="Times New Roman" w:hAnsi="ff2" w:cs="Times New Roman"/>
          <w:sz w:val="119"/>
          <w:szCs w:val="119"/>
          <w:lang w:eastAsia="ko-KR"/>
        </w:rPr>
        <w:t xml:space="preserve">and by </w:t>
      </w:r>
      <w:r w:rsidRPr="00CD6F62">
        <w:rPr>
          <w:rFonts w:ascii="ff2" w:eastAsia="Times New Roman" w:hAnsi="ff2" w:cs="Times New Roman"/>
          <w:spacing w:val="36"/>
          <w:sz w:val="119"/>
          <w:szCs w:val="119"/>
          <w:lang w:eastAsia="ko-KR"/>
        </w:rPr>
        <w:t xml:space="preserve">the </w:t>
      </w:r>
      <w:r w:rsidRPr="00CD6F62">
        <w:rPr>
          <w:rFonts w:ascii="ff2" w:eastAsia="Times New Roman" w:hAnsi="ff2" w:cs="Times New Roman"/>
          <w:spacing w:val="12"/>
          <w:sz w:val="119"/>
          <w:szCs w:val="119"/>
          <w:lang w:eastAsia="ko-KR"/>
        </w:rPr>
        <w:t xml:space="preserve">general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CD6F62">
        <w:rPr>
          <w:rFonts w:ascii="ff2" w:eastAsia="Times New Roman" w:hAnsi="ff2" w:cs="Times New Roman"/>
          <w:spacing w:val="12"/>
          <w:sz w:val="119"/>
          <w:szCs w:val="119"/>
          <w:lang w:eastAsia="ko-KR"/>
        </w:rPr>
        <w:t>public</w:t>
      </w:r>
      <w:proofErr w:type="gramEnd"/>
      <w:r w:rsidRPr="00CD6F62">
        <w:rPr>
          <w:rFonts w:ascii="ff2" w:eastAsia="Times New Roman" w:hAnsi="ff2" w:cs="Times New Roman"/>
          <w:spacing w:val="12"/>
          <w:sz w:val="119"/>
          <w:szCs w:val="119"/>
          <w:lang w:eastAsia="ko-KR"/>
        </w:rPr>
        <w:t xml:space="preserve">.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r w:rsidRPr="00CD6F62">
        <w:rPr>
          <w:rFonts w:ascii="ff2" w:eastAsia="Times New Roman" w:hAnsi="ff2" w:cs="Times New Roman"/>
          <w:spacing w:val="12"/>
          <w:sz w:val="119"/>
          <w:szCs w:val="119"/>
          <w:lang w:eastAsia="ko-KR"/>
        </w:rPr>
        <w:t xml:space="preserve">However,  the  political  and  financial  resources  </w:t>
      </w:r>
      <w:r w:rsidRPr="00CD6F62">
        <w:rPr>
          <w:rFonts w:ascii="ff2" w:eastAsia="Times New Roman" w:hAnsi="ff2" w:cs="Times New Roman"/>
          <w:sz w:val="119"/>
          <w:szCs w:val="119"/>
          <w:lang w:eastAsia="ko-KR"/>
        </w:rPr>
        <w:t xml:space="preserve">of  </w:t>
      </w:r>
      <w:r w:rsidRPr="00CD6F62">
        <w:rPr>
          <w:rFonts w:ascii="ff2" w:eastAsia="Times New Roman" w:hAnsi="ff2" w:cs="Times New Roman"/>
          <w:spacing w:val="12"/>
          <w:sz w:val="119"/>
          <w:szCs w:val="119"/>
          <w:lang w:eastAsia="ko-KR"/>
        </w:rPr>
        <w:t xml:space="preserve">most  </w:t>
      </w:r>
      <w:r w:rsidRPr="00CD6F62">
        <w:rPr>
          <w:rFonts w:ascii="ff2" w:eastAsia="Times New Roman" w:hAnsi="ff2" w:cs="Times New Roman"/>
          <w:sz w:val="119"/>
          <w:szCs w:val="119"/>
          <w:lang w:eastAsia="ko-KR"/>
        </w:rPr>
        <w:t xml:space="preserve">of  the  </w:t>
      </w:r>
      <w:r w:rsidRPr="00CD6F62">
        <w:rPr>
          <w:rFonts w:ascii="ff2" w:eastAsia="Times New Roman" w:hAnsi="ff2" w:cs="Times New Roman"/>
          <w:spacing w:val="12"/>
          <w:sz w:val="119"/>
          <w:szCs w:val="119"/>
          <w:lang w:eastAsia="ko-KR"/>
        </w:rPr>
        <w:t xml:space="preserve">disability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rights</w:t>
      </w:r>
      <w:proofErr w:type="gramEnd"/>
      <w:r w:rsidRPr="00CD6F62">
        <w:rPr>
          <w:rFonts w:ascii="ff2" w:eastAsia="Times New Roman" w:hAnsi="ff2" w:cs="Times New Roman"/>
          <w:sz w:val="119"/>
          <w:szCs w:val="119"/>
          <w:lang w:eastAsia="ko-KR"/>
        </w:rPr>
        <w:t xml:space="preserve"> </w:t>
      </w:r>
      <w:r w:rsidRPr="00CD6F62">
        <w:rPr>
          <w:rFonts w:ascii="ff2" w:eastAsia="Times New Roman" w:hAnsi="ff2" w:cs="Times New Roman"/>
          <w:spacing w:val="12"/>
          <w:sz w:val="119"/>
          <w:szCs w:val="119"/>
          <w:lang w:eastAsia="ko-KR"/>
        </w:rPr>
        <w:t xml:space="preserve">organizations were extremely  limited. A major proportion </w:t>
      </w:r>
    </w:p>
    <w:p w:rsidR="00F703ED" w:rsidRPr="00CD6F62" w:rsidRDefault="00F703ED" w:rsidP="00F703ED">
      <w:pPr>
        <w:shd w:val="clear" w:color="auto" w:fill="FFFFFF"/>
        <w:spacing w:after="0" w:line="0" w:lineRule="auto"/>
        <w:rPr>
          <w:rFonts w:ascii="ff2" w:eastAsia="Times New Roman" w:hAnsi="ff2" w:cs="Times New Roman"/>
          <w:spacing w:val="-73"/>
          <w:sz w:val="121"/>
          <w:szCs w:val="121"/>
          <w:lang w:eastAsia="ko-KR"/>
        </w:rPr>
      </w:pPr>
      <w:proofErr w:type="gramStart"/>
      <w:r w:rsidRPr="00CD6F62">
        <w:rPr>
          <w:rFonts w:ascii="ff2" w:eastAsia="Times New Roman" w:hAnsi="ff2" w:cs="Times New Roman"/>
          <w:spacing w:val="-73"/>
          <w:sz w:val="121"/>
          <w:szCs w:val="121"/>
          <w:lang w:eastAsia="ko-KR"/>
        </w:rPr>
        <w:t>of</w:t>
      </w:r>
      <w:proofErr w:type="gramEnd"/>
      <w:r w:rsidRPr="00CD6F62">
        <w:rPr>
          <w:rFonts w:ascii="ff2" w:eastAsia="Times New Roman" w:hAnsi="ff2" w:cs="Times New Roman"/>
          <w:spacing w:val="-73"/>
          <w:sz w:val="121"/>
          <w:szCs w:val="121"/>
          <w:lang w:eastAsia="ko-KR"/>
        </w:rPr>
        <w:t xml:space="preserve">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CD6F62">
        <w:rPr>
          <w:rFonts w:ascii="ff2" w:eastAsia="Times New Roman" w:hAnsi="ff2" w:cs="Times New Roman"/>
          <w:spacing w:val="12"/>
          <w:sz w:val="119"/>
          <w:szCs w:val="119"/>
          <w:lang w:eastAsia="ko-KR"/>
        </w:rPr>
        <w:t>their</w:t>
      </w:r>
      <w:proofErr w:type="gramEnd"/>
      <w:r w:rsidRPr="00CD6F62">
        <w:rPr>
          <w:rFonts w:ascii="ff2" w:eastAsia="Times New Roman" w:hAnsi="ff2" w:cs="Times New Roman"/>
          <w:spacing w:val="12"/>
          <w:sz w:val="119"/>
          <w:szCs w:val="119"/>
          <w:lang w:eastAsia="ko-KR"/>
        </w:rPr>
        <w:t xml:space="preserve"> budgets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CD6F62">
        <w:rPr>
          <w:rFonts w:ascii="ff2" w:eastAsia="Times New Roman" w:hAnsi="ff2" w:cs="Times New Roman"/>
          <w:spacing w:val="-12"/>
          <w:sz w:val="119"/>
          <w:szCs w:val="119"/>
          <w:lang w:eastAsia="ko-KR"/>
        </w:rPr>
        <w:t>in</w:t>
      </w:r>
      <w:proofErr w:type="gramEnd"/>
      <w:r w:rsidRPr="00CD6F62">
        <w:rPr>
          <w:rFonts w:ascii="ff2" w:eastAsia="Times New Roman" w:hAnsi="ff2" w:cs="Times New Roman"/>
          <w:spacing w:val="-12"/>
          <w:sz w:val="119"/>
          <w:szCs w:val="119"/>
          <w:lang w:eastAsia="ko-KR"/>
        </w:rPr>
        <w:t xml:space="preserve"> </w:t>
      </w:r>
      <w:r w:rsidRPr="00CD6F62">
        <w:rPr>
          <w:rFonts w:ascii="ff2" w:eastAsia="Times New Roman" w:hAnsi="ff2" w:cs="Times New Roman"/>
          <w:sz w:val="119"/>
          <w:szCs w:val="119"/>
          <w:lang w:eastAsia="ko-KR"/>
        </w:rPr>
        <w:t xml:space="preserve">the  </w:t>
      </w:r>
      <w:r w:rsidRPr="00CD6F62">
        <w:rPr>
          <w:rFonts w:ascii="ff2" w:eastAsia="Times New Roman" w:hAnsi="ff2" w:cs="Times New Roman"/>
          <w:spacing w:val="12"/>
          <w:sz w:val="119"/>
          <w:szCs w:val="119"/>
          <w:lang w:eastAsia="ko-KR"/>
        </w:rPr>
        <w:t xml:space="preserve">late </w:t>
      </w:r>
    </w:p>
    <w:p w:rsidR="00F703ED" w:rsidRPr="00CD6F62" w:rsidRDefault="00F703ED" w:rsidP="00F703ED">
      <w:pPr>
        <w:shd w:val="clear" w:color="auto" w:fill="FFFFFF"/>
        <w:spacing w:after="0" w:line="0" w:lineRule="auto"/>
        <w:rPr>
          <w:rFonts w:ascii="ff2" w:eastAsia="Times New Roman" w:hAnsi="ff2" w:cs="Times New Roman"/>
          <w:spacing w:val="-12"/>
          <w:sz w:val="121"/>
          <w:szCs w:val="121"/>
          <w:lang w:eastAsia="ko-KR"/>
        </w:rPr>
      </w:pPr>
      <w:r w:rsidRPr="00CD6F62">
        <w:rPr>
          <w:rFonts w:ascii="ff2" w:eastAsia="Times New Roman" w:hAnsi="ff2" w:cs="Times New Roman"/>
          <w:spacing w:val="-12"/>
          <w:sz w:val="121"/>
          <w:szCs w:val="121"/>
          <w:lang w:eastAsia="ko-KR"/>
        </w:rPr>
        <w:t xml:space="preserve">1970s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CD6F62">
        <w:rPr>
          <w:rFonts w:ascii="ff2" w:eastAsia="Times New Roman" w:hAnsi="ff2" w:cs="Times New Roman"/>
          <w:spacing w:val="12"/>
          <w:sz w:val="119"/>
          <w:szCs w:val="119"/>
          <w:lang w:eastAsia="ko-KR"/>
        </w:rPr>
        <w:t>was</w:t>
      </w:r>
      <w:proofErr w:type="gramEnd"/>
      <w:r w:rsidRPr="00CD6F62">
        <w:rPr>
          <w:rFonts w:ascii="ff2" w:eastAsia="Times New Roman" w:hAnsi="ff2" w:cs="Times New Roman"/>
          <w:spacing w:val="12"/>
          <w:sz w:val="119"/>
          <w:szCs w:val="119"/>
          <w:lang w:eastAsia="ko-KR"/>
        </w:rPr>
        <w:t xml:space="preserve"> provided  </w:t>
      </w:r>
      <w:r w:rsidRPr="00CD6F62">
        <w:rPr>
          <w:rFonts w:ascii="ff2" w:eastAsia="Times New Roman" w:hAnsi="ff2" w:cs="Times New Roman"/>
          <w:sz w:val="119"/>
          <w:szCs w:val="119"/>
          <w:lang w:eastAsia="ko-KR"/>
        </w:rPr>
        <w:t xml:space="preserve">by  </w:t>
      </w:r>
      <w:r w:rsidRPr="00CD6F62">
        <w:rPr>
          <w:rFonts w:ascii="ff2" w:eastAsia="Times New Roman" w:hAnsi="ff2" w:cs="Times New Roman"/>
          <w:spacing w:val="12"/>
          <w:sz w:val="119"/>
          <w:szCs w:val="119"/>
          <w:lang w:eastAsia="ko-KR"/>
        </w:rPr>
        <w:t xml:space="preserve">the  federal  government  </w:t>
      </w:r>
      <w:r w:rsidRPr="00CD6F62">
        <w:rPr>
          <w:rFonts w:ascii="ff2" w:eastAsia="Times New Roman" w:hAnsi="ff2" w:cs="Times New Roman"/>
          <w:sz w:val="119"/>
          <w:szCs w:val="119"/>
          <w:lang w:eastAsia="ko-KR"/>
        </w:rPr>
        <w:t xml:space="preserve">in </w:t>
      </w:r>
      <w:r w:rsidRPr="00CD6F62">
        <w:rPr>
          <w:rFonts w:ascii="ff2" w:eastAsia="Times New Roman" w:hAnsi="ff2" w:cs="Times New Roman"/>
          <w:spacing w:val="12"/>
          <w:sz w:val="119"/>
          <w:szCs w:val="119"/>
          <w:lang w:eastAsia="ko-KR"/>
        </w:rPr>
        <w:t xml:space="preserve">the </w:t>
      </w:r>
      <w:r w:rsidRPr="00CD6F62">
        <w:rPr>
          <w:rFonts w:ascii="ff2" w:eastAsia="Times New Roman" w:hAnsi="ff2" w:cs="Times New Roman"/>
          <w:spacing w:val="36"/>
          <w:sz w:val="119"/>
          <w:szCs w:val="119"/>
          <w:lang w:eastAsia="ko-KR"/>
        </w:rPr>
        <w:t xml:space="preserve">form </w:t>
      </w:r>
      <w:r w:rsidRPr="00CD6F62">
        <w:rPr>
          <w:rFonts w:ascii="ff2" w:eastAsia="Times New Roman" w:hAnsi="ff2" w:cs="Times New Roman"/>
          <w:sz w:val="119"/>
          <w:szCs w:val="119"/>
          <w:lang w:eastAsia="ko-KR"/>
        </w:rPr>
        <w:t xml:space="preserve">of </w:t>
      </w:r>
      <w:r w:rsidRPr="00CD6F62">
        <w:rPr>
          <w:rFonts w:ascii="ff2" w:eastAsia="Times New Roman" w:hAnsi="ff2" w:cs="Times New Roman"/>
          <w:spacing w:val="12"/>
          <w:sz w:val="119"/>
          <w:szCs w:val="119"/>
          <w:lang w:eastAsia="ko-KR"/>
        </w:rPr>
        <w:t xml:space="preserve">grants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r w:rsidRPr="00CD6F62">
        <w:rPr>
          <w:rFonts w:ascii="ff2" w:eastAsia="Times New Roman" w:hAnsi="ff2" w:cs="Times New Roman"/>
          <w:sz w:val="119"/>
          <w:szCs w:val="119"/>
          <w:lang w:eastAsia="ko-KR"/>
        </w:rPr>
        <w:t xml:space="preserve">and  </w:t>
      </w:r>
      <w:r w:rsidRPr="00CD6F62">
        <w:rPr>
          <w:rFonts w:ascii="ff2" w:eastAsia="Times New Roman" w:hAnsi="ff2" w:cs="Times New Roman"/>
          <w:spacing w:val="12"/>
          <w:sz w:val="119"/>
          <w:szCs w:val="119"/>
          <w:lang w:eastAsia="ko-KR"/>
        </w:rPr>
        <w:t xml:space="preserve">contracts,  and  substantial  amounts  of  this  federal  funding  were  used </w:t>
      </w:r>
    </w:p>
    <w:p w:rsidR="00F703ED" w:rsidRPr="00CD6F62" w:rsidRDefault="00F703ED" w:rsidP="00F703ED">
      <w:pPr>
        <w:shd w:val="clear" w:color="auto" w:fill="FFFFFF"/>
        <w:spacing w:after="0" w:line="0" w:lineRule="auto"/>
        <w:rPr>
          <w:rFonts w:ascii="ff6" w:eastAsia="Times New Roman" w:hAnsi="ff6" w:cs="Times New Roman"/>
          <w:spacing w:val="-87"/>
          <w:sz w:val="124"/>
          <w:szCs w:val="124"/>
          <w:lang w:eastAsia="ko-KR"/>
        </w:rPr>
      </w:pPr>
      <w:proofErr w:type="gramStart"/>
      <w:r w:rsidRPr="00CD6F62">
        <w:rPr>
          <w:rFonts w:ascii="ff6" w:eastAsia="Times New Roman" w:hAnsi="ff6" w:cs="Times New Roman"/>
          <w:spacing w:val="-87"/>
          <w:sz w:val="124"/>
          <w:szCs w:val="124"/>
          <w:lang w:eastAsia="ko-KR"/>
        </w:rPr>
        <w:t>for</w:t>
      </w:r>
      <w:proofErr w:type="gramEnd"/>
      <w:r w:rsidRPr="00CD6F62">
        <w:rPr>
          <w:rFonts w:ascii="ff6" w:eastAsia="Times New Roman" w:hAnsi="ff6" w:cs="Times New Roman"/>
          <w:spacing w:val="-87"/>
          <w:sz w:val="124"/>
          <w:szCs w:val="124"/>
          <w:lang w:eastAsia="ko-KR"/>
        </w:rPr>
        <w:t xml:space="preserve"> </w:t>
      </w:r>
    </w:p>
    <w:p w:rsidR="00F703ED" w:rsidRPr="00CD6F62" w:rsidRDefault="00F703ED" w:rsidP="00F703ED">
      <w:pPr>
        <w:shd w:val="clear" w:color="auto" w:fill="FFFFFF"/>
        <w:spacing w:after="0" w:line="0" w:lineRule="auto"/>
        <w:rPr>
          <w:rFonts w:ascii="ff6" w:eastAsia="Times New Roman" w:hAnsi="ff6" w:cs="Times New Roman"/>
          <w:spacing w:val="-12"/>
          <w:sz w:val="124"/>
          <w:szCs w:val="124"/>
          <w:lang w:eastAsia="ko-KR"/>
        </w:rPr>
      </w:pPr>
      <w:r w:rsidRPr="00CD6F62">
        <w:rPr>
          <w:rFonts w:ascii="ff6" w:eastAsia="Times New Roman" w:hAnsi="ff6" w:cs="Times New Roman"/>
          <w:spacing w:val="-12"/>
          <w:sz w:val="124"/>
          <w:szCs w:val="124"/>
          <w:lang w:eastAsia="ko-KR"/>
        </w:rPr>
        <w:t xml:space="preserve">The Role </w:t>
      </w:r>
    </w:p>
    <w:p w:rsidR="00F703ED" w:rsidRPr="00CD6F62" w:rsidRDefault="00F703ED" w:rsidP="00F703ED">
      <w:pPr>
        <w:shd w:val="clear" w:color="auto" w:fill="FFFFFF"/>
        <w:spacing w:after="0" w:line="0" w:lineRule="auto"/>
        <w:rPr>
          <w:rFonts w:ascii="ff6" w:eastAsia="Times New Roman" w:hAnsi="ff6" w:cs="Times New Roman"/>
          <w:spacing w:val="-75"/>
          <w:sz w:val="125"/>
          <w:szCs w:val="125"/>
          <w:lang w:eastAsia="ko-KR"/>
        </w:rPr>
      </w:pPr>
      <w:proofErr w:type="gramStart"/>
      <w:r w:rsidRPr="00CD6F62">
        <w:rPr>
          <w:rFonts w:ascii="ff6" w:eastAsia="Times New Roman" w:hAnsi="ff6" w:cs="Times New Roman"/>
          <w:spacing w:val="-75"/>
          <w:sz w:val="125"/>
          <w:szCs w:val="125"/>
          <w:lang w:eastAsia="ko-KR"/>
        </w:rPr>
        <w:t>of</w:t>
      </w:r>
      <w:proofErr w:type="gramEnd"/>
      <w:r w:rsidRPr="00CD6F62">
        <w:rPr>
          <w:rFonts w:ascii="ff6" w:eastAsia="Times New Roman" w:hAnsi="ff6" w:cs="Times New Roman"/>
          <w:spacing w:val="-75"/>
          <w:sz w:val="125"/>
          <w:szCs w:val="125"/>
          <w:lang w:eastAsia="ko-KR"/>
        </w:rPr>
        <w:t xml:space="preserve"> </w:t>
      </w:r>
    </w:p>
    <w:p w:rsidR="00F703ED" w:rsidRPr="00CD6F62" w:rsidRDefault="00F703ED" w:rsidP="00F703ED">
      <w:pPr>
        <w:shd w:val="clear" w:color="auto" w:fill="FFFFFF"/>
        <w:spacing w:after="0" w:line="0" w:lineRule="auto"/>
        <w:rPr>
          <w:rFonts w:ascii="ff6" w:eastAsia="Times New Roman" w:hAnsi="ff6" w:cs="Times New Roman"/>
          <w:spacing w:val="-12"/>
          <w:sz w:val="124"/>
          <w:szCs w:val="124"/>
          <w:lang w:eastAsia="ko-KR"/>
        </w:rPr>
      </w:pPr>
      <w:proofErr w:type="gramStart"/>
      <w:r w:rsidRPr="00CD6F62">
        <w:rPr>
          <w:rFonts w:ascii="ff6" w:eastAsia="Times New Roman" w:hAnsi="ff6" w:cs="Times New Roman"/>
          <w:spacing w:val="-12"/>
          <w:sz w:val="124"/>
          <w:szCs w:val="124"/>
          <w:lang w:eastAsia="ko-KR"/>
        </w:rPr>
        <w:t>the</w:t>
      </w:r>
      <w:proofErr w:type="gramEnd"/>
      <w:r w:rsidRPr="00CD6F62">
        <w:rPr>
          <w:rFonts w:ascii="ff6" w:eastAsia="Times New Roman" w:hAnsi="ff6" w:cs="Times New Roman"/>
          <w:spacing w:val="-12"/>
          <w:sz w:val="124"/>
          <w:szCs w:val="124"/>
          <w:lang w:eastAsia="ko-KR"/>
        </w:rPr>
        <w:t xml:space="preserve"> </w:t>
      </w:r>
      <w:r w:rsidRPr="00CD6F62">
        <w:rPr>
          <w:rFonts w:ascii="ff6" w:eastAsia="Times New Roman" w:hAnsi="ff6" w:cs="Times New Roman"/>
          <w:sz w:val="124"/>
          <w:szCs w:val="124"/>
          <w:lang w:eastAsia="ko-KR"/>
        </w:rPr>
        <w:t xml:space="preserve">State </w:t>
      </w:r>
      <w:r w:rsidRPr="00CD6F62">
        <w:rPr>
          <w:rFonts w:ascii="ff6" w:eastAsia="Times New Roman" w:hAnsi="ff6" w:cs="Times New Roman"/>
          <w:spacing w:val="-25"/>
          <w:sz w:val="124"/>
          <w:szCs w:val="124"/>
          <w:lang w:eastAsia="ko-KR"/>
        </w:rPr>
        <w:t xml:space="preserve">in  </w:t>
      </w:r>
      <w:r w:rsidRPr="00CD6F62">
        <w:rPr>
          <w:rFonts w:ascii="ff6" w:eastAsia="Times New Roman" w:hAnsi="ff6" w:cs="Times New Roman"/>
          <w:sz w:val="124"/>
          <w:szCs w:val="124"/>
          <w:lang w:eastAsia="ko-KR"/>
        </w:rPr>
        <w:t xml:space="preserve">Redefining </w:t>
      </w:r>
      <w:r w:rsidRPr="00CD6F62">
        <w:rPr>
          <w:rFonts w:ascii="ff6" w:eastAsia="Times New Roman" w:hAnsi="ff6" w:cs="Times New Roman"/>
          <w:spacing w:val="-12"/>
          <w:sz w:val="124"/>
          <w:szCs w:val="124"/>
          <w:lang w:eastAsia="ko-KR"/>
        </w:rPr>
        <w:t xml:space="preserve">Disability </w:t>
      </w:r>
    </w:p>
    <w:p w:rsidR="00F703ED" w:rsidRPr="00CD6F62" w:rsidRDefault="00F703ED" w:rsidP="00F703ED">
      <w:pPr>
        <w:shd w:val="clear" w:color="auto" w:fill="FFFFFF"/>
        <w:spacing w:after="0" w:line="0" w:lineRule="auto"/>
        <w:rPr>
          <w:rFonts w:ascii="ff2" w:eastAsia="Times New Roman" w:hAnsi="ff2" w:cs="Times New Roman"/>
          <w:spacing w:val="36"/>
          <w:sz w:val="119"/>
          <w:szCs w:val="119"/>
          <w:lang w:eastAsia="ko-KR"/>
        </w:rPr>
      </w:pPr>
      <w:r w:rsidRPr="00CD6F62">
        <w:rPr>
          <w:rFonts w:ascii="ff2" w:eastAsia="Times New Roman" w:hAnsi="ff2" w:cs="Times New Roman"/>
          <w:spacing w:val="36"/>
          <w:sz w:val="119"/>
          <w:szCs w:val="119"/>
          <w:lang w:eastAsia="ko-KR"/>
        </w:rPr>
        <w:t xml:space="preserve">The above </w:t>
      </w:r>
      <w:proofErr w:type="gramStart"/>
      <w:r w:rsidRPr="00CD6F62">
        <w:rPr>
          <w:rFonts w:ascii="ff2" w:eastAsia="Times New Roman" w:hAnsi="ff2" w:cs="Times New Roman"/>
          <w:spacing w:val="12"/>
          <w:sz w:val="119"/>
          <w:szCs w:val="119"/>
          <w:lang w:eastAsia="ko-KR"/>
        </w:rPr>
        <w:t xml:space="preserve">discussion  </w:t>
      </w:r>
      <w:r w:rsidRPr="00CD6F62">
        <w:rPr>
          <w:rFonts w:ascii="ff2" w:eastAsia="Times New Roman" w:hAnsi="ff2" w:cs="Times New Roman"/>
          <w:sz w:val="119"/>
          <w:szCs w:val="119"/>
          <w:lang w:eastAsia="ko-KR"/>
        </w:rPr>
        <w:t>of</w:t>
      </w:r>
      <w:proofErr w:type="gramEnd"/>
      <w:r w:rsidRPr="00CD6F62">
        <w:rPr>
          <w:rFonts w:ascii="ff2" w:eastAsia="Times New Roman" w:hAnsi="ff2" w:cs="Times New Roman"/>
          <w:sz w:val="119"/>
          <w:szCs w:val="119"/>
          <w:lang w:eastAsia="ko-KR"/>
        </w:rPr>
        <w:t xml:space="preserve">  </w:t>
      </w:r>
      <w:r w:rsidRPr="00CD6F62">
        <w:rPr>
          <w:rFonts w:ascii="ff2" w:eastAsia="Times New Roman" w:hAnsi="ff2" w:cs="Times New Roman"/>
          <w:spacing w:val="12"/>
          <w:sz w:val="119"/>
          <w:szCs w:val="119"/>
          <w:lang w:eastAsia="ko-KR"/>
        </w:rPr>
        <w:t xml:space="preserve">barriers  to  political  activism  </w:t>
      </w:r>
      <w:r w:rsidRPr="00CD6F62">
        <w:rPr>
          <w:rFonts w:ascii="ff2" w:eastAsia="Times New Roman" w:hAnsi="ff2" w:cs="Times New Roman"/>
          <w:spacing w:val="-12"/>
          <w:sz w:val="119"/>
          <w:szCs w:val="119"/>
          <w:lang w:eastAsia="ko-KR"/>
        </w:rPr>
        <w:t xml:space="preserve">by  </w:t>
      </w:r>
      <w:r w:rsidRPr="00CD6F62">
        <w:rPr>
          <w:rFonts w:ascii="ff2" w:eastAsia="Times New Roman" w:hAnsi="ff2" w:cs="Times New Roman"/>
          <w:spacing w:val="12"/>
          <w:sz w:val="119"/>
          <w:szCs w:val="119"/>
          <w:lang w:eastAsia="ko-KR"/>
        </w:rPr>
        <w:t xml:space="preserve">disabled  people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suggested</w:t>
      </w:r>
      <w:proofErr w:type="gramEnd"/>
      <w:r w:rsidRPr="00CD6F62">
        <w:rPr>
          <w:rFonts w:ascii="ff2" w:eastAsia="Times New Roman" w:hAnsi="ff2" w:cs="Times New Roman"/>
          <w:sz w:val="119"/>
          <w:szCs w:val="119"/>
          <w:lang w:eastAsia="ko-KR"/>
        </w:rPr>
        <w:t xml:space="preserve"> that </w:t>
      </w:r>
      <w:r w:rsidRPr="00CD6F62">
        <w:rPr>
          <w:rFonts w:ascii="ff2" w:eastAsia="Times New Roman" w:hAnsi="ff2" w:cs="Times New Roman"/>
          <w:spacing w:val="12"/>
          <w:sz w:val="119"/>
          <w:szCs w:val="119"/>
          <w:lang w:eastAsia="ko-KR"/>
        </w:rPr>
        <w:t xml:space="preserve">a prerequisite </w:t>
      </w:r>
      <w:r w:rsidRPr="00CD6F62">
        <w:rPr>
          <w:rFonts w:ascii="ff2" w:eastAsia="Times New Roman" w:hAnsi="ff2" w:cs="Times New Roman"/>
          <w:spacing w:val="48"/>
          <w:sz w:val="119"/>
          <w:szCs w:val="119"/>
          <w:lang w:eastAsia="ko-KR"/>
        </w:rPr>
        <w:t xml:space="preserve">to </w:t>
      </w:r>
      <w:r w:rsidRPr="00CD6F62">
        <w:rPr>
          <w:rFonts w:ascii="ff2" w:eastAsia="Times New Roman" w:hAnsi="ff2" w:cs="Times New Roman"/>
          <w:spacing w:val="36"/>
          <w:sz w:val="119"/>
          <w:szCs w:val="119"/>
          <w:lang w:eastAsia="ko-KR"/>
        </w:rPr>
        <w:t xml:space="preserve">such </w:t>
      </w:r>
      <w:r w:rsidRPr="00CD6F62">
        <w:rPr>
          <w:rFonts w:ascii="ff2" w:eastAsia="Times New Roman" w:hAnsi="ff2" w:cs="Times New Roman"/>
          <w:spacing w:val="12"/>
          <w:sz w:val="119"/>
          <w:szCs w:val="119"/>
          <w:lang w:eastAsia="ko-KR"/>
        </w:rPr>
        <w:t xml:space="preserve">activism </w:t>
      </w:r>
      <w:r w:rsidRPr="00CD6F62">
        <w:rPr>
          <w:rFonts w:ascii="ff2" w:eastAsia="Times New Roman" w:hAnsi="ff2" w:cs="Times New Roman"/>
          <w:sz w:val="119"/>
          <w:szCs w:val="119"/>
          <w:lang w:eastAsia="ko-KR"/>
        </w:rPr>
        <w:t xml:space="preserve">was </w:t>
      </w:r>
      <w:r w:rsidRPr="00CD6F62">
        <w:rPr>
          <w:rFonts w:ascii="ff2" w:eastAsia="Times New Roman" w:hAnsi="ff2" w:cs="Times New Roman"/>
          <w:spacing w:val="12"/>
          <w:sz w:val="119"/>
          <w:szCs w:val="119"/>
          <w:lang w:eastAsia="ko-KR"/>
        </w:rPr>
        <w:t xml:space="preserve">a redefinition </w:t>
      </w:r>
      <w:r w:rsidRPr="00CD6F62">
        <w:rPr>
          <w:rFonts w:ascii="ff2" w:eastAsia="Times New Roman" w:hAnsi="ff2" w:cs="Times New Roman"/>
          <w:sz w:val="119"/>
          <w:szCs w:val="119"/>
          <w:lang w:eastAsia="ko-KR"/>
        </w:rPr>
        <w:t xml:space="preserve">of </w:t>
      </w:r>
      <w:r w:rsidRPr="00CD6F62">
        <w:rPr>
          <w:rFonts w:ascii="ff2" w:eastAsia="Times New Roman" w:hAnsi="ff2" w:cs="Times New Roman"/>
          <w:spacing w:val="12"/>
          <w:sz w:val="119"/>
          <w:szCs w:val="119"/>
          <w:lang w:eastAsia="ko-KR"/>
        </w:rPr>
        <w:t xml:space="preserve">disabilities </w:t>
      </w:r>
      <w:r w:rsidRPr="00CD6F62">
        <w:rPr>
          <w:rFonts w:ascii="ff2" w:eastAsia="Times New Roman" w:hAnsi="ff2" w:cs="Times New Roman"/>
          <w:spacing w:val="48"/>
          <w:sz w:val="119"/>
          <w:szCs w:val="119"/>
          <w:lang w:eastAsia="ko-KR"/>
        </w:rPr>
        <w:t xml:space="preserve">as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 xml:space="preserve">impairments  </w:t>
      </w:r>
      <w:r w:rsidRPr="00CD6F62">
        <w:rPr>
          <w:rFonts w:ascii="ff2" w:eastAsia="Times New Roman" w:hAnsi="ff2" w:cs="Times New Roman"/>
          <w:spacing w:val="12"/>
          <w:sz w:val="119"/>
          <w:szCs w:val="119"/>
          <w:lang w:eastAsia="ko-KR"/>
        </w:rPr>
        <w:t>that</w:t>
      </w:r>
      <w:proofErr w:type="gramEnd"/>
      <w:r w:rsidRPr="00CD6F62">
        <w:rPr>
          <w:rFonts w:ascii="ff2" w:eastAsia="Times New Roman" w:hAnsi="ff2" w:cs="Times New Roman"/>
          <w:spacing w:val="12"/>
          <w:sz w:val="119"/>
          <w:szCs w:val="119"/>
          <w:lang w:eastAsia="ko-KR"/>
        </w:rPr>
        <w:t xml:space="preserve"> are limiting  only </w:t>
      </w:r>
      <w:r w:rsidRPr="00CD6F62">
        <w:rPr>
          <w:rFonts w:ascii="ff2" w:eastAsia="Times New Roman" w:hAnsi="ff2" w:cs="Times New Roman"/>
          <w:spacing w:val="48"/>
          <w:sz w:val="119"/>
          <w:szCs w:val="119"/>
          <w:lang w:eastAsia="ko-KR"/>
        </w:rPr>
        <w:t xml:space="preserve">to </w:t>
      </w:r>
      <w:r w:rsidRPr="00CD6F62">
        <w:rPr>
          <w:rFonts w:ascii="ff2" w:eastAsia="Times New Roman" w:hAnsi="ff2" w:cs="Times New Roman"/>
          <w:spacing w:val="12"/>
          <w:sz w:val="119"/>
          <w:szCs w:val="119"/>
          <w:lang w:eastAsia="ko-KR"/>
        </w:rPr>
        <w:t xml:space="preserve">the </w:t>
      </w:r>
      <w:r w:rsidRPr="00CD6F62">
        <w:rPr>
          <w:rFonts w:ascii="ff2" w:eastAsia="Times New Roman" w:hAnsi="ff2" w:cs="Times New Roman"/>
          <w:spacing w:val="36"/>
          <w:sz w:val="119"/>
          <w:szCs w:val="119"/>
          <w:lang w:eastAsia="ko-KR"/>
        </w:rPr>
        <w:t xml:space="preserve">extent </w:t>
      </w:r>
      <w:r w:rsidRPr="00CD6F62">
        <w:rPr>
          <w:rFonts w:ascii="ff2" w:eastAsia="Times New Roman" w:hAnsi="ff2" w:cs="Times New Roman"/>
          <w:spacing w:val="12"/>
          <w:sz w:val="119"/>
          <w:szCs w:val="119"/>
          <w:lang w:eastAsia="ko-KR"/>
        </w:rPr>
        <w:t xml:space="preserve">that constraints  are imposed </w:t>
      </w:r>
      <w:r w:rsidRPr="00CD6F62">
        <w:rPr>
          <w:rFonts w:ascii="ff2" w:eastAsia="Times New Roman" w:hAnsi="ff2" w:cs="Times New Roman"/>
          <w:sz w:val="119"/>
          <w:szCs w:val="119"/>
          <w:lang w:eastAsia="ko-KR"/>
        </w:rPr>
        <w:t xml:space="preserve">by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the</w:t>
      </w:r>
      <w:proofErr w:type="gramEnd"/>
      <w:r w:rsidRPr="00CD6F62">
        <w:rPr>
          <w:rFonts w:ascii="ff2" w:eastAsia="Times New Roman" w:hAnsi="ff2" w:cs="Times New Roman"/>
          <w:sz w:val="119"/>
          <w:szCs w:val="119"/>
          <w:lang w:eastAsia="ko-KR"/>
        </w:rPr>
        <w:t xml:space="preserve"> physical  </w:t>
      </w:r>
      <w:r w:rsidRPr="00CD6F62">
        <w:rPr>
          <w:rFonts w:ascii="ff2" w:eastAsia="Times New Roman" w:hAnsi="ff2" w:cs="Times New Roman"/>
          <w:spacing w:val="12"/>
          <w:sz w:val="119"/>
          <w:szCs w:val="119"/>
          <w:lang w:eastAsia="ko-KR"/>
        </w:rPr>
        <w:t xml:space="preserve">and social </w:t>
      </w:r>
      <w:r w:rsidRPr="00CD6F62">
        <w:rPr>
          <w:rFonts w:ascii="ff2" w:eastAsia="Times New Roman" w:hAnsi="ff2" w:cs="Times New Roman"/>
          <w:spacing w:val="36"/>
          <w:sz w:val="119"/>
          <w:szCs w:val="119"/>
          <w:lang w:eastAsia="ko-KR"/>
        </w:rPr>
        <w:t xml:space="preserve">environment. </w:t>
      </w:r>
      <w:r w:rsidRPr="00CD6F62">
        <w:rPr>
          <w:rFonts w:ascii="ff2" w:eastAsia="Times New Roman" w:hAnsi="ff2" w:cs="Times New Roman"/>
          <w:spacing w:val="48"/>
          <w:sz w:val="119"/>
          <w:szCs w:val="119"/>
          <w:lang w:eastAsia="ko-KR"/>
        </w:rPr>
        <w:t xml:space="preserve">The </w:t>
      </w:r>
      <w:proofErr w:type="gramStart"/>
      <w:r w:rsidRPr="00CD6F62">
        <w:rPr>
          <w:rFonts w:ascii="ff2" w:eastAsia="Times New Roman" w:hAnsi="ff2" w:cs="Times New Roman"/>
          <w:spacing w:val="12"/>
          <w:sz w:val="119"/>
          <w:szCs w:val="119"/>
          <w:lang w:eastAsia="ko-KR"/>
        </w:rPr>
        <w:t>activists  who</w:t>
      </w:r>
      <w:proofErr w:type="gramEnd"/>
      <w:r w:rsidRPr="00CD6F62">
        <w:rPr>
          <w:rFonts w:ascii="ff2" w:eastAsia="Times New Roman" w:hAnsi="ff2" w:cs="Times New Roman"/>
          <w:spacing w:val="12"/>
          <w:sz w:val="119"/>
          <w:szCs w:val="119"/>
          <w:lang w:eastAsia="ko-KR"/>
        </w:rPr>
        <w:t xml:space="preserve"> created the  various  </w:t>
      </w:r>
      <w:r w:rsidRPr="00CD6F62">
        <w:rPr>
          <w:rFonts w:ascii="ff2" w:eastAsia="Times New Roman" w:hAnsi="ff2" w:cs="Times New Roman"/>
          <w:spacing w:val="36"/>
          <w:sz w:val="119"/>
          <w:szCs w:val="119"/>
          <w:lang w:eastAsia="ko-KR"/>
        </w:rPr>
        <w:t xml:space="preserve">dis-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r w:rsidRPr="00CD6F62">
        <w:rPr>
          <w:rFonts w:ascii="ff2" w:eastAsia="Times New Roman" w:hAnsi="ff2" w:cs="Times New Roman"/>
          <w:sz w:val="119"/>
          <w:szCs w:val="119"/>
          <w:lang w:eastAsia="ko-KR"/>
        </w:rPr>
        <w:t xml:space="preserve">ability  rights  </w:t>
      </w:r>
      <w:r w:rsidRPr="00CD6F62">
        <w:rPr>
          <w:rFonts w:ascii="ff2" w:eastAsia="Times New Roman" w:hAnsi="ff2" w:cs="Times New Roman"/>
          <w:spacing w:val="12"/>
          <w:sz w:val="119"/>
          <w:szCs w:val="119"/>
          <w:lang w:eastAsia="ko-KR"/>
        </w:rPr>
        <w:t xml:space="preserve">organizations  redefined  disability  </w:t>
      </w:r>
      <w:r w:rsidRPr="00CD6F62">
        <w:rPr>
          <w:rFonts w:ascii="ff2" w:eastAsia="Times New Roman" w:hAnsi="ff2" w:cs="Times New Roman"/>
          <w:sz w:val="119"/>
          <w:szCs w:val="119"/>
          <w:lang w:eastAsia="ko-KR"/>
        </w:rPr>
        <w:t xml:space="preserve">in  </w:t>
      </w:r>
      <w:r w:rsidRPr="00CD6F62">
        <w:rPr>
          <w:rFonts w:ascii="ff2" w:eastAsia="Times New Roman" w:hAnsi="ff2" w:cs="Times New Roman"/>
          <w:spacing w:val="12"/>
          <w:sz w:val="119"/>
          <w:szCs w:val="119"/>
          <w:lang w:eastAsia="ko-KR"/>
        </w:rPr>
        <w:t xml:space="preserve">this  way  and  sought  </w:t>
      </w:r>
      <w:r w:rsidRPr="00CD6F62">
        <w:rPr>
          <w:rFonts w:ascii="ff2" w:eastAsia="Times New Roman" w:hAnsi="ff2" w:cs="Times New Roman"/>
          <w:spacing w:val="48"/>
          <w:sz w:val="119"/>
          <w:szCs w:val="119"/>
          <w:lang w:eastAsia="ko-KR"/>
        </w:rPr>
        <w:t xml:space="preserve">to </w:t>
      </w:r>
      <w:r w:rsidRPr="00CD6F62">
        <w:rPr>
          <w:rFonts w:ascii="ff2" w:eastAsia="Times New Roman" w:hAnsi="ff2" w:cs="Times New Roman"/>
          <w:spacing w:val="12"/>
          <w:sz w:val="119"/>
          <w:szCs w:val="119"/>
          <w:lang w:eastAsia="ko-KR"/>
        </w:rPr>
        <w:t xml:space="preserve">have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this</w:t>
      </w:r>
      <w:proofErr w:type="gramEnd"/>
      <w:r w:rsidRPr="00CD6F62">
        <w:rPr>
          <w:rFonts w:ascii="ff2" w:eastAsia="Times New Roman" w:hAnsi="ff2" w:cs="Times New Roman"/>
          <w:sz w:val="119"/>
          <w:szCs w:val="119"/>
          <w:lang w:eastAsia="ko-KR"/>
        </w:rPr>
        <w:t xml:space="preserve"> redefinition  </w:t>
      </w:r>
      <w:r w:rsidRPr="00CD6F62">
        <w:rPr>
          <w:rFonts w:ascii="ff2" w:eastAsia="Times New Roman" w:hAnsi="ff2" w:cs="Times New Roman"/>
          <w:spacing w:val="12"/>
          <w:sz w:val="119"/>
          <w:szCs w:val="119"/>
          <w:lang w:eastAsia="ko-KR"/>
        </w:rPr>
        <w:t xml:space="preserve">institutionalized and accepted </w:t>
      </w:r>
      <w:r w:rsidRPr="00CD6F62">
        <w:rPr>
          <w:rFonts w:ascii="ff2" w:eastAsia="Times New Roman" w:hAnsi="ff2" w:cs="Times New Roman"/>
          <w:spacing w:val="-12"/>
          <w:sz w:val="119"/>
          <w:szCs w:val="119"/>
          <w:lang w:eastAsia="ko-KR"/>
        </w:rPr>
        <w:t xml:space="preserve">in </w:t>
      </w:r>
      <w:r w:rsidRPr="00CD6F62">
        <w:rPr>
          <w:rFonts w:ascii="ff2" w:eastAsia="Times New Roman" w:hAnsi="ff2" w:cs="Times New Roman"/>
          <w:spacing w:val="12"/>
          <w:sz w:val="119"/>
          <w:szCs w:val="119"/>
          <w:lang w:eastAsia="ko-KR"/>
        </w:rPr>
        <w:t xml:space="preserve">public policy </w:t>
      </w:r>
      <w:r w:rsidRPr="00CD6F62">
        <w:rPr>
          <w:rFonts w:ascii="ff2" w:eastAsia="Times New Roman" w:hAnsi="ff2" w:cs="Times New Roman"/>
          <w:sz w:val="119"/>
          <w:szCs w:val="119"/>
          <w:lang w:eastAsia="ko-KR"/>
        </w:rPr>
        <w:t xml:space="preserve">and by </w:t>
      </w:r>
      <w:r w:rsidRPr="00CD6F62">
        <w:rPr>
          <w:rFonts w:ascii="ff2" w:eastAsia="Times New Roman" w:hAnsi="ff2" w:cs="Times New Roman"/>
          <w:spacing w:val="36"/>
          <w:sz w:val="119"/>
          <w:szCs w:val="119"/>
          <w:lang w:eastAsia="ko-KR"/>
        </w:rPr>
        <w:t xml:space="preserve">the </w:t>
      </w:r>
      <w:r w:rsidRPr="00CD6F62">
        <w:rPr>
          <w:rFonts w:ascii="ff2" w:eastAsia="Times New Roman" w:hAnsi="ff2" w:cs="Times New Roman"/>
          <w:spacing w:val="12"/>
          <w:sz w:val="119"/>
          <w:szCs w:val="119"/>
          <w:lang w:eastAsia="ko-KR"/>
        </w:rPr>
        <w:t xml:space="preserve">general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CD6F62">
        <w:rPr>
          <w:rFonts w:ascii="ff2" w:eastAsia="Times New Roman" w:hAnsi="ff2" w:cs="Times New Roman"/>
          <w:spacing w:val="12"/>
          <w:sz w:val="119"/>
          <w:szCs w:val="119"/>
          <w:lang w:eastAsia="ko-KR"/>
        </w:rPr>
        <w:t>public</w:t>
      </w:r>
      <w:proofErr w:type="gramEnd"/>
      <w:r w:rsidRPr="00CD6F62">
        <w:rPr>
          <w:rFonts w:ascii="ff2" w:eastAsia="Times New Roman" w:hAnsi="ff2" w:cs="Times New Roman"/>
          <w:spacing w:val="12"/>
          <w:sz w:val="119"/>
          <w:szCs w:val="119"/>
          <w:lang w:eastAsia="ko-KR"/>
        </w:rPr>
        <w:t xml:space="preserve">.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r w:rsidRPr="00CD6F62">
        <w:rPr>
          <w:rFonts w:ascii="ff2" w:eastAsia="Times New Roman" w:hAnsi="ff2" w:cs="Times New Roman"/>
          <w:spacing w:val="12"/>
          <w:sz w:val="119"/>
          <w:szCs w:val="119"/>
          <w:lang w:eastAsia="ko-KR"/>
        </w:rPr>
        <w:t xml:space="preserve">However,  the  political  and  financial  resources  </w:t>
      </w:r>
      <w:r w:rsidRPr="00CD6F62">
        <w:rPr>
          <w:rFonts w:ascii="ff2" w:eastAsia="Times New Roman" w:hAnsi="ff2" w:cs="Times New Roman"/>
          <w:sz w:val="119"/>
          <w:szCs w:val="119"/>
          <w:lang w:eastAsia="ko-KR"/>
        </w:rPr>
        <w:t xml:space="preserve">of  </w:t>
      </w:r>
      <w:r w:rsidRPr="00CD6F62">
        <w:rPr>
          <w:rFonts w:ascii="ff2" w:eastAsia="Times New Roman" w:hAnsi="ff2" w:cs="Times New Roman"/>
          <w:spacing w:val="12"/>
          <w:sz w:val="119"/>
          <w:szCs w:val="119"/>
          <w:lang w:eastAsia="ko-KR"/>
        </w:rPr>
        <w:t xml:space="preserve">most  </w:t>
      </w:r>
      <w:r w:rsidRPr="00CD6F62">
        <w:rPr>
          <w:rFonts w:ascii="ff2" w:eastAsia="Times New Roman" w:hAnsi="ff2" w:cs="Times New Roman"/>
          <w:sz w:val="119"/>
          <w:szCs w:val="119"/>
          <w:lang w:eastAsia="ko-KR"/>
        </w:rPr>
        <w:t xml:space="preserve">of  the  </w:t>
      </w:r>
      <w:r w:rsidRPr="00CD6F62">
        <w:rPr>
          <w:rFonts w:ascii="ff2" w:eastAsia="Times New Roman" w:hAnsi="ff2" w:cs="Times New Roman"/>
          <w:spacing w:val="12"/>
          <w:sz w:val="119"/>
          <w:szCs w:val="119"/>
          <w:lang w:eastAsia="ko-KR"/>
        </w:rPr>
        <w:t xml:space="preserve">disability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rights</w:t>
      </w:r>
      <w:proofErr w:type="gramEnd"/>
      <w:r w:rsidRPr="00CD6F62">
        <w:rPr>
          <w:rFonts w:ascii="ff2" w:eastAsia="Times New Roman" w:hAnsi="ff2" w:cs="Times New Roman"/>
          <w:sz w:val="119"/>
          <w:szCs w:val="119"/>
          <w:lang w:eastAsia="ko-KR"/>
        </w:rPr>
        <w:t xml:space="preserve"> </w:t>
      </w:r>
      <w:r w:rsidRPr="00CD6F62">
        <w:rPr>
          <w:rFonts w:ascii="ff2" w:eastAsia="Times New Roman" w:hAnsi="ff2" w:cs="Times New Roman"/>
          <w:spacing w:val="12"/>
          <w:sz w:val="119"/>
          <w:szCs w:val="119"/>
          <w:lang w:eastAsia="ko-KR"/>
        </w:rPr>
        <w:t xml:space="preserve">organizations were extremely  limited. A major proportion </w:t>
      </w:r>
    </w:p>
    <w:p w:rsidR="00F703ED" w:rsidRPr="00CD6F62" w:rsidRDefault="00F703ED" w:rsidP="00F703ED">
      <w:pPr>
        <w:shd w:val="clear" w:color="auto" w:fill="FFFFFF"/>
        <w:spacing w:after="0" w:line="0" w:lineRule="auto"/>
        <w:rPr>
          <w:rFonts w:ascii="ff2" w:eastAsia="Times New Roman" w:hAnsi="ff2" w:cs="Times New Roman"/>
          <w:spacing w:val="-73"/>
          <w:sz w:val="121"/>
          <w:szCs w:val="121"/>
          <w:lang w:eastAsia="ko-KR"/>
        </w:rPr>
      </w:pPr>
      <w:proofErr w:type="gramStart"/>
      <w:r w:rsidRPr="00CD6F62">
        <w:rPr>
          <w:rFonts w:ascii="ff2" w:eastAsia="Times New Roman" w:hAnsi="ff2" w:cs="Times New Roman"/>
          <w:spacing w:val="-73"/>
          <w:sz w:val="121"/>
          <w:szCs w:val="121"/>
          <w:lang w:eastAsia="ko-KR"/>
        </w:rPr>
        <w:t>of</w:t>
      </w:r>
      <w:proofErr w:type="gramEnd"/>
      <w:r w:rsidRPr="00CD6F62">
        <w:rPr>
          <w:rFonts w:ascii="ff2" w:eastAsia="Times New Roman" w:hAnsi="ff2" w:cs="Times New Roman"/>
          <w:spacing w:val="-73"/>
          <w:sz w:val="121"/>
          <w:szCs w:val="121"/>
          <w:lang w:eastAsia="ko-KR"/>
        </w:rPr>
        <w:t xml:space="preserve">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CD6F62">
        <w:rPr>
          <w:rFonts w:ascii="ff2" w:eastAsia="Times New Roman" w:hAnsi="ff2" w:cs="Times New Roman"/>
          <w:spacing w:val="12"/>
          <w:sz w:val="119"/>
          <w:szCs w:val="119"/>
          <w:lang w:eastAsia="ko-KR"/>
        </w:rPr>
        <w:t>their</w:t>
      </w:r>
      <w:proofErr w:type="gramEnd"/>
      <w:r w:rsidRPr="00CD6F62">
        <w:rPr>
          <w:rFonts w:ascii="ff2" w:eastAsia="Times New Roman" w:hAnsi="ff2" w:cs="Times New Roman"/>
          <w:spacing w:val="12"/>
          <w:sz w:val="119"/>
          <w:szCs w:val="119"/>
          <w:lang w:eastAsia="ko-KR"/>
        </w:rPr>
        <w:t xml:space="preserve"> budgets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CD6F62">
        <w:rPr>
          <w:rFonts w:ascii="ff2" w:eastAsia="Times New Roman" w:hAnsi="ff2" w:cs="Times New Roman"/>
          <w:spacing w:val="-12"/>
          <w:sz w:val="119"/>
          <w:szCs w:val="119"/>
          <w:lang w:eastAsia="ko-KR"/>
        </w:rPr>
        <w:t>in</w:t>
      </w:r>
      <w:proofErr w:type="gramEnd"/>
      <w:r w:rsidRPr="00CD6F62">
        <w:rPr>
          <w:rFonts w:ascii="ff2" w:eastAsia="Times New Roman" w:hAnsi="ff2" w:cs="Times New Roman"/>
          <w:spacing w:val="-12"/>
          <w:sz w:val="119"/>
          <w:szCs w:val="119"/>
          <w:lang w:eastAsia="ko-KR"/>
        </w:rPr>
        <w:t xml:space="preserve"> </w:t>
      </w:r>
      <w:r w:rsidRPr="00CD6F62">
        <w:rPr>
          <w:rFonts w:ascii="ff2" w:eastAsia="Times New Roman" w:hAnsi="ff2" w:cs="Times New Roman"/>
          <w:sz w:val="119"/>
          <w:szCs w:val="119"/>
          <w:lang w:eastAsia="ko-KR"/>
        </w:rPr>
        <w:t xml:space="preserve">the  </w:t>
      </w:r>
      <w:r w:rsidRPr="00CD6F62">
        <w:rPr>
          <w:rFonts w:ascii="ff2" w:eastAsia="Times New Roman" w:hAnsi="ff2" w:cs="Times New Roman"/>
          <w:spacing w:val="12"/>
          <w:sz w:val="119"/>
          <w:szCs w:val="119"/>
          <w:lang w:eastAsia="ko-KR"/>
        </w:rPr>
        <w:t xml:space="preserve">late </w:t>
      </w:r>
    </w:p>
    <w:p w:rsidR="00F703ED" w:rsidRPr="00CD6F62" w:rsidRDefault="00F703ED" w:rsidP="00F703ED">
      <w:pPr>
        <w:shd w:val="clear" w:color="auto" w:fill="FFFFFF"/>
        <w:spacing w:after="0" w:line="0" w:lineRule="auto"/>
        <w:rPr>
          <w:rFonts w:ascii="ff2" w:eastAsia="Times New Roman" w:hAnsi="ff2" w:cs="Times New Roman"/>
          <w:spacing w:val="-12"/>
          <w:sz w:val="121"/>
          <w:szCs w:val="121"/>
          <w:lang w:eastAsia="ko-KR"/>
        </w:rPr>
      </w:pPr>
      <w:r w:rsidRPr="00CD6F62">
        <w:rPr>
          <w:rFonts w:ascii="ff2" w:eastAsia="Times New Roman" w:hAnsi="ff2" w:cs="Times New Roman"/>
          <w:spacing w:val="-12"/>
          <w:sz w:val="121"/>
          <w:szCs w:val="121"/>
          <w:lang w:eastAsia="ko-KR"/>
        </w:rPr>
        <w:t xml:space="preserve">1970s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CD6F62">
        <w:rPr>
          <w:rFonts w:ascii="ff2" w:eastAsia="Times New Roman" w:hAnsi="ff2" w:cs="Times New Roman"/>
          <w:spacing w:val="12"/>
          <w:sz w:val="119"/>
          <w:szCs w:val="119"/>
          <w:lang w:eastAsia="ko-KR"/>
        </w:rPr>
        <w:t>was</w:t>
      </w:r>
      <w:proofErr w:type="gramEnd"/>
      <w:r w:rsidRPr="00CD6F62">
        <w:rPr>
          <w:rFonts w:ascii="ff2" w:eastAsia="Times New Roman" w:hAnsi="ff2" w:cs="Times New Roman"/>
          <w:spacing w:val="12"/>
          <w:sz w:val="119"/>
          <w:szCs w:val="119"/>
          <w:lang w:eastAsia="ko-KR"/>
        </w:rPr>
        <w:t xml:space="preserve"> provided  </w:t>
      </w:r>
      <w:r w:rsidRPr="00CD6F62">
        <w:rPr>
          <w:rFonts w:ascii="ff2" w:eastAsia="Times New Roman" w:hAnsi="ff2" w:cs="Times New Roman"/>
          <w:sz w:val="119"/>
          <w:szCs w:val="119"/>
          <w:lang w:eastAsia="ko-KR"/>
        </w:rPr>
        <w:t xml:space="preserve">by  </w:t>
      </w:r>
      <w:r w:rsidRPr="00CD6F62">
        <w:rPr>
          <w:rFonts w:ascii="ff2" w:eastAsia="Times New Roman" w:hAnsi="ff2" w:cs="Times New Roman"/>
          <w:spacing w:val="12"/>
          <w:sz w:val="119"/>
          <w:szCs w:val="119"/>
          <w:lang w:eastAsia="ko-KR"/>
        </w:rPr>
        <w:t xml:space="preserve">the  federal  government  </w:t>
      </w:r>
      <w:r w:rsidRPr="00CD6F62">
        <w:rPr>
          <w:rFonts w:ascii="ff2" w:eastAsia="Times New Roman" w:hAnsi="ff2" w:cs="Times New Roman"/>
          <w:sz w:val="119"/>
          <w:szCs w:val="119"/>
          <w:lang w:eastAsia="ko-KR"/>
        </w:rPr>
        <w:t xml:space="preserve">in </w:t>
      </w:r>
      <w:r w:rsidRPr="00CD6F62">
        <w:rPr>
          <w:rFonts w:ascii="ff2" w:eastAsia="Times New Roman" w:hAnsi="ff2" w:cs="Times New Roman"/>
          <w:spacing w:val="12"/>
          <w:sz w:val="119"/>
          <w:szCs w:val="119"/>
          <w:lang w:eastAsia="ko-KR"/>
        </w:rPr>
        <w:t xml:space="preserve">the </w:t>
      </w:r>
      <w:r w:rsidRPr="00CD6F62">
        <w:rPr>
          <w:rFonts w:ascii="ff2" w:eastAsia="Times New Roman" w:hAnsi="ff2" w:cs="Times New Roman"/>
          <w:spacing w:val="36"/>
          <w:sz w:val="119"/>
          <w:szCs w:val="119"/>
          <w:lang w:eastAsia="ko-KR"/>
        </w:rPr>
        <w:t xml:space="preserve">form </w:t>
      </w:r>
      <w:r w:rsidRPr="00CD6F62">
        <w:rPr>
          <w:rFonts w:ascii="ff2" w:eastAsia="Times New Roman" w:hAnsi="ff2" w:cs="Times New Roman"/>
          <w:sz w:val="119"/>
          <w:szCs w:val="119"/>
          <w:lang w:eastAsia="ko-KR"/>
        </w:rPr>
        <w:t xml:space="preserve">of </w:t>
      </w:r>
      <w:r w:rsidRPr="00CD6F62">
        <w:rPr>
          <w:rFonts w:ascii="ff2" w:eastAsia="Times New Roman" w:hAnsi="ff2" w:cs="Times New Roman"/>
          <w:spacing w:val="12"/>
          <w:sz w:val="119"/>
          <w:szCs w:val="119"/>
          <w:lang w:eastAsia="ko-KR"/>
        </w:rPr>
        <w:t xml:space="preserve">grants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r w:rsidRPr="00CD6F62">
        <w:rPr>
          <w:rFonts w:ascii="ff2" w:eastAsia="Times New Roman" w:hAnsi="ff2" w:cs="Times New Roman"/>
          <w:sz w:val="119"/>
          <w:szCs w:val="119"/>
          <w:lang w:eastAsia="ko-KR"/>
        </w:rPr>
        <w:t xml:space="preserve">and  </w:t>
      </w:r>
      <w:r w:rsidRPr="00CD6F62">
        <w:rPr>
          <w:rFonts w:ascii="ff2" w:eastAsia="Times New Roman" w:hAnsi="ff2" w:cs="Times New Roman"/>
          <w:spacing w:val="12"/>
          <w:sz w:val="119"/>
          <w:szCs w:val="119"/>
          <w:lang w:eastAsia="ko-KR"/>
        </w:rPr>
        <w:t xml:space="preserve">contracts,  and  substantial  amounts  of  this  federal  funding  were  used </w:t>
      </w:r>
    </w:p>
    <w:p w:rsidR="00F703ED" w:rsidRPr="00CD6F62" w:rsidRDefault="00F703ED" w:rsidP="00F703ED">
      <w:pPr>
        <w:shd w:val="clear" w:color="auto" w:fill="FFFFFF"/>
        <w:spacing w:after="0" w:line="0" w:lineRule="auto"/>
        <w:rPr>
          <w:rFonts w:ascii="ff6" w:eastAsia="Times New Roman" w:hAnsi="ff6" w:cs="Times New Roman"/>
          <w:spacing w:val="-87"/>
          <w:sz w:val="124"/>
          <w:szCs w:val="124"/>
          <w:lang w:eastAsia="ko-KR"/>
        </w:rPr>
      </w:pPr>
      <w:proofErr w:type="gramStart"/>
      <w:r w:rsidRPr="00CD6F62">
        <w:rPr>
          <w:rFonts w:ascii="ff6" w:eastAsia="Times New Roman" w:hAnsi="ff6" w:cs="Times New Roman"/>
          <w:spacing w:val="-87"/>
          <w:sz w:val="124"/>
          <w:szCs w:val="124"/>
          <w:lang w:eastAsia="ko-KR"/>
        </w:rPr>
        <w:t>for</w:t>
      </w:r>
      <w:proofErr w:type="gramEnd"/>
      <w:r w:rsidRPr="00CD6F62">
        <w:rPr>
          <w:rFonts w:ascii="ff6" w:eastAsia="Times New Roman" w:hAnsi="ff6" w:cs="Times New Roman"/>
          <w:spacing w:val="-87"/>
          <w:sz w:val="124"/>
          <w:szCs w:val="124"/>
          <w:lang w:eastAsia="ko-KR"/>
        </w:rPr>
        <w:t xml:space="preserve"> </w:t>
      </w:r>
    </w:p>
    <w:p w:rsidR="00F703ED" w:rsidRPr="00CD6F62" w:rsidRDefault="00F703ED" w:rsidP="00F703ED">
      <w:pPr>
        <w:shd w:val="clear" w:color="auto" w:fill="FFFFFF"/>
        <w:spacing w:after="0" w:line="0" w:lineRule="auto"/>
        <w:rPr>
          <w:rFonts w:ascii="ff6" w:eastAsia="Times New Roman" w:hAnsi="ff6" w:cs="Times New Roman"/>
          <w:spacing w:val="-12"/>
          <w:sz w:val="124"/>
          <w:szCs w:val="124"/>
          <w:lang w:eastAsia="ko-KR"/>
        </w:rPr>
      </w:pPr>
      <w:r w:rsidRPr="00CD6F62">
        <w:rPr>
          <w:rFonts w:ascii="ff6" w:eastAsia="Times New Roman" w:hAnsi="ff6" w:cs="Times New Roman"/>
          <w:spacing w:val="-12"/>
          <w:sz w:val="124"/>
          <w:szCs w:val="124"/>
          <w:lang w:eastAsia="ko-KR"/>
        </w:rPr>
        <w:t xml:space="preserve">The Role </w:t>
      </w:r>
    </w:p>
    <w:p w:rsidR="00F703ED" w:rsidRPr="00CD6F62" w:rsidRDefault="00F703ED" w:rsidP="00F703ED">
      <w:pPr>
        <w:shd w:val="clear" w:color="auto" w:fill="FFFFFF"/>
        <w:spacing w:after="0" w:line="0" w:lineRule="auto"/>
        <w:rPr>
          <w:rFonts w:ascii="ff6" w:eastAsia="Times New Roman" w:hAnsi="ff6" w:cs="Times New Roman"/>
          <w:spacing w:val="-75"/>
          <w:sz w:val="125"/>
          <w:szCs w:val="125"/>
          <w:lang w:eastAsia="ko-KR"/>
        </w:rPr>
      </w:pPr>
      <w:proofErr w:type="gramStart"/>
      <w:r w:rsidRPr="00CD6F62">
        <w:rPr>
          <w:rFonts w:ascii="ff6" w:eastAsia="Times New Roman" w:hAnsi="ff6" w:cs="Times New Roman"/>
          <w:spacing w:val="-75"/>
          <w:sz w:val="125"/>
          <w:szCs w:val="125"/>
          <w:lang w:eastAsia="ko-KR"/>
        </w:rPr>
        <w:t>of</w:t>
      </w:r>
      <w:proofErr w:type="gramEnd"/>
      <w:r w:rsidRPr="00CD6F62">
        <w:rPr>
          <w:rFonts w:ascii="ff6" w:eastAsia="Times New Roman" w:hAnsi="ff6" w:cs="Times New Roman"/>
          <w:spacing w:val="-75"/>
          <w:sz w:val="125"/>
          <w:szCs w:val="125"/>
          <w:lang w:eastAsia="ko-KR"/>
        </w:rPr>
        <w:t xml:space="preserve"> </w:t>
      </w:r>
    </w:p>
    <w:p w:rsidR="00F703ED" w:rsidRPr="00CD6F62" w:rsidRDefault="00F703ED" w:rsidP="00F703ED">
      <w:pPr>
        <w:shd w:val="clear" w:color="auto" w:fill="FFFFFF"/>
        <w:spacing w:after="0" w:line="0" w:lineRule="auto"/>
        <w:rPr>
          <w:rFonts w:ascii="ff6" w:eastAsia="Times New Roman" w:hAnsi="ff6" w:cs="Times New Roman"/>
          <w:spacing w:val="-12"/>
          <w:sz w:val="124"/>
          <w:szCs w:val="124"/>
          <w:lang w:eastAsia="ko-KR"/>
        </w:rPr>
      </w:pPr>
      <w:proofErr w:type="gramStart"/>
      <w:r w:rsidRPr="00CD6F62">
        <w:rPr>
          <w:rFonts w:ascii="ff6" w:eastAsia="Times New Roman" w:hAnsi="ff6" w:cs="Times New Roman"/>
          <w:spacing w:val="-12"/>
          <w:sz w:val="124"/>
          <w:szCs w:val="124"/>
          <w:lang w:eastAsia="ko-KR"/>
        </w:rPr>
        <w:t>the</w:t>
      </w:r>
      <w:proofErr w:type="gramEnd"/>
      <w:r w:rsidRPr="00CD6F62">
        <w:rPr>
          <w:rFonts w:ascii="ff6" w:eastAsia="Times New Roman" w:hAnsi="ff6" w:cs="Times New Roman"/>
          <w:spacing w:val="-12"/>
          <w:sz w:val="124"/>
          <w:szCs w:val="124"/>
          <w:lang w:eastAsia="ko-KR"/>
        </w:rPr>
        <w:t xml:space="preserve"> </w:t>
      </w:r>
      <w:r w:rsidRPr="00CD6F62">
        <w:rPr>
          <w:rFonts w:ascii="ff6" w:eastAsia="Times New Roman" w:hAnsi="ff6" w:cs="Times New Roman"/>
          <w:sz w:val="124"/>
          <w:szCs w:val="124"/>
          <w:lang w:eastAsia="ko-KR"/>
        </w:rPr>
        <w:t xml:space="preserve">State </w:t>
      </w:r>
      <w:r w:rsidRPr="00CD6F62">
        <w:rPr>
          <w:rFonts w:ascii="ff6" w:eastAsia="Times New Roman" w:hAnsi="ff6" w:cs="Times New Roman"/>
          <w:spacing w:val="-25"/>
          <w:sz w:val="124"/>
          <w:szCs w:val="124"/>
          <w:lang w:eastAsia="ko-KR"/>
        </w:rPr>
        <w:t xml:space="preserve">in  </w:t>
      </w:r>
      <w:r w:rsidRPr="00CD6F62">
        <w:rPr>
          <w:rFonts w:ascii="ff6" w:eastAsia="Times New Roman" w:hAnsi="ff6" w:cs="Times New Roman"/>
          <w:sz w:val="124"/>
          <w:szCs w:val="124"/>
          <w:lang w:eastAsia="ko-KR"/>
        </w:rPr>
        <w:t xml:space="preserve">Redefining </w:t>
      </w:r>
      <w:r w:rsidRPr="00CD6F62">
        <w:rPr>
          <w:rFonts w:ascii="ff6" w:eastAsia="Times New Roman" w:hAnsi="ff6" w:cs="Times New Roman"/>
          <w:spacing w:val="-12"/>
          <w:sz w:val="124"/>
          <w:szCs w:val="124"/>
          <w:lang w:eastAsia="ko-KR"/>
        </w:rPr>
        <w:t xml:space="preserve">Disability </w:t>
      </w:r>
    </w:p>
    <w:p w:rsidR="00F703ED" w:rsidRPr="00CD6F62" w:rsidRDefault="00F703ED" w:rsidP="00F703ED">
      <w:pPr>
        <w:shd w:val="clear" w:color="auto" w:fill="FFFFFF"/>
        <w:spacing w:after="0" w:line="0" w:lineRule="auto"/>
        <w:rPr>
          <w:rFonts w:ascii="ff2" w:eastAsia="Times New Roman" w:hAnsi="ff2" w:cs="Times New Roman"/>
          <w:spacing w:val="36"/>
          <w:sz w:val="119"/>
          <w:szCs w:val="119"/>
          <w:lang w:eastAsia="ko-KR"/>
        </w:rPr>
      </w:pPr>
      <w:r w:rsidRPr="00CD6F62">
        <w:rPr>
          <w:rFonts w:ascii="ff2" w:eastAsia="Times New Roman" w:hAnsi="ff2" w:cs="Times New Roman"/>
          <w:spacing w:val="36"/>
          <w:sz w:val="119"/>
          <w:szCs w:val="119"/>
          <w:lang w:eastAsia="ko-KR"/>
        </w:rPr>
        <w:t xml:space="preserve">The above </w:t>
      </w:r>
      <w:proofErr w:type="gramStart"/>
      <w:r w:rsidRPr="00CD6F62">
        <w:rPr>
          <w:rFonts w:ascii="ff2" w:eastAsia="Times New Roman" w:hAnsi="ff2" w:cs="Times New Roman"/>
          <w:spacing w:val="12"/>
          <w:sz w:val="119"/>
          <w:szCs w:val="119"/>
          <w:lang w:eastAsia="ko-KR"/>
        </w:rPr>
        <w:t xml:space="preserve">discussion  </w:t>
      </w:r>
      <w:r w:rsidRPr="00CD6F62">
        <w:rPr>
          <w:rFonts w:ascii="ff2" w:eastAsia="Times New Roman" w:hAnsi="ff2" w:cs="Times New Roman"/>
          <w:sz w:val="119"/>
          <w:szCs w:val="119"/>
          <w:lang w:eastAsia="ko-KR"/>
        </w:rPr>
        <w:t>of</w:t>
      </w:r>
      <w:proofErr w:type="gramEnd"/>
      <w:r w:rsidRPr="00CD6F62">
        <w:rPr>
          <w:rFonts w:ascii="ff2" w:eastAsia="Times New Roman" w:hAnsi="ff2" w:cs="Times New Roman"/>
          <w:sz w:val="119"/>
          <w:szCs w:val="119"/>
          <w:lang w:eastAsia="ko-KR"/>
        </w:rPr>
        <w:t xml:space="preserve">  </w:t>
      </w:r>
      <w:r w:rsidRPr="00CD6F62">
        <w:rPr>
          <w:rFonts w:ascii="ff2" w:eastAsia="Times New Roman" w:hAnsi="ff2" w:cs="Times New Roman"/>
          <w:spacing w:val="12"/>
          <w:sz w:val="119"/>
          <w:szCs w:val="119"/>
          <w:lang w:eastAsia="ko-KR"/>
        </w:rPr>
        <w:t xml:space="preserve">barriers  to  political  activism  </w:t>
      </w:r>
      <w:r w:rsidRPr="00CD6F62">
        <w:rPr>
          <w:rFonts w:ascii="ff2" w:eastAsia="Times New Roman" w:hAnsi="ff2" w:cs="Times New Roman"/>
          <w:spacing w:val="-12"/>
          <w:sz w:val="119"/>
          <w:szCs w:val="119"/>
          <w:lang w:eastAsia="ko-KR"/>
        </w:rPr>
        <w:t xml:space="preserve">by  </w:t>
      </w:r>
      <w:r w:rsidRPr="00CD6F62">
        <w:rPr>
          <w:rFonts w:ascii="ff2" w:eastAsia="Times New Roman" w:hAnsi="ff2" w:cs="Times New Roman"/>
          <w:spacing w:val="12"/>
          <w:sz w:val="119"/>
          <w:szCs w:val="119"/>
          <w:lang w:eastAsia="ko-KR"/>
        </w:rPr>
        <w:t xml:space="preserve">disabled  people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suggested</w:t>
      </w:r>
      <w:proofErr w:type="gramEnd"/>
      <w:r w:rsidRPr="00CD6F62">
        <w:rPr>
          <w:rFonts w:ascii="ff2" w:eastAsia="Times New Roman" w:hAnsi="ff2" w:cs="Times New Roman"/>
          <w:sz w:val="119"/>
          <w:szCs w:val="119"/>
          <w:lang w:eastAsia="ko-KR"/>
        </w:rPr>
        <w:t xml:space="preserve"> that </w:t>
      </w:r>
      <w:r w:rsidRPr="00CD6F62">
        <w:rPr>
          <w:rFonts w:ascii="ff2" w:eastAsia="Times New Roman" w:hAnsi="ff2" w:cs="Times New Roman"/>
          <w:spacing w:val="12"/>
          <w:sz w:val="119"/>
          <w:szCs w:val="119"/>
          <w:lang w:eastAsia="ko-KR"/>
        </w:rPr>
        <w:t xml:space="preserve">a prerequisite </w:t>
      </w:r>
      <w:r w:rsidRPr="00CD6F62">
        <w:rPr>
          <w:rFonts w:ascii="ff2" w:eastAsia="Times New Roman" w:hAnsi="ff2" w:cs="Times New Roman"/>
          <w:spacing w:val="48"/>
          <w:sz w:val="119"/>
          <w:szCs w:val="119"/>
          <w:lang w:eastAsia="ko-KR"/>
        </w:rPr>
        <w:t xml:space="preserve">to </w:t>
      </w:r>
      <w:r w:rsidRPr="00CD6F62">
        <w:rPr>
          <w:rFonts w:ascii="ff2" w:eastAsia="Times New Roman" w:hAnsi="ff2" w:cs="Times New Roman"/>
          <w:spacing w:val="36"/>
          <w:sz w:val="119"/>
          <w:szCs w:val="119"/>
          <w:lang w:eastAsia="ko-KR"/>
        </w:rPr>
        <w:t xml:space="preserve">such </w:t>
      </w:r>
      <w:r w:rsidRPr="00CD6F62">
        <w:rPr>
          <w:rFonts w:ascii="ff2" w:eastAsia="Times New Roman" w:hAnsi="ff2" w:cs="Times New Roman"/>
          <w:spacing w:val="12"/>
          <w:sz w:val="119"/>
          <w:szCs w:val="119"/>
          <w:lang w:eastAsia="ko-KR"/>
        </w:rPr>
        <w:t xml:space="preserve">activism </w:t>
      </w:r>
      <w:r w:rsidRPr="00CD6F62">
        <w:rPr>
          <w:rFonts w:ascii="ff2" w:eastAsia="Times New Roman" w:hAnsi="ff2" w:cs="Times New Roman"/>
          <w:sz w:val="119"/>
          <w:szCs w:val="119"/>
          <w:lang w:eastAsia="ko-KR"/>
        </w:rPr>
        <w:t xml:space="preserve">was </w:t>
      </w:r>
      <w:r w:rsidRPr="00CD6F62">
        <w:rPr>
          <w:rFonts w:ascii="ff2" w:eastAsia="Times New Roman" w:hAnsi="ff2" w:cs="Times New Roman"/>
          <w:spacing w:val="12"/>
          <w:sz w:val="119"/>
          <w:szCs w:val="119"/>
          <w:lang w:eastAsia="ko-KR"/>
        </w:rPr>
        <w:t xml:space="preserve">a redefinition </w:t>
      </w:r>
      <w:r w:rsidRPr="00CD6F62">
        <w:rPr>
          <w:rFonts w:ascii="ff2" w:eastAsia="Times New Roman" w:hAnsi="ff2" w:cs="Times New Roman"/>
          <w:sz w:val="119"/>
          <w:szCs w:val="119"/>
          <w:lang w:eastAsia="ko-KR"/>
        </w:rPr>
        <w:t xml:space="preserve">of </w:t>
      </w:r>
      <w:r w:rsidRPr="00CD6F62">
        <w:rPr>
          <w:rFonts w:ascii="ff2" w:eastAsia="Times New Roman" w:hAnsi="ff2" w:cs="Times New Roman"/>
          <w:spacing w:val="12"/>
          <w:sz w:val="119"/>
          <w:szCs w:val="119"/>
          <w:lang w:eastAsia="ko-KR"/>
        </w:rPr>
        <w:t xml:space="preserve">disabilities </w:t>
      </w:r>
      <w:r w:rsidRPr="00CD6F62">
        <w:rPr>
          <w:rFonts w:ascii="ff2" w:eastAsia="Times New Roman" w:hAnsi="ff2" w:cs="Times New Roman"/>
          <w:spacing w:val="48"/>
          <w:sz w:val="119"/>
          <w:szCs w:val="119"/>
          <w:lang w:eastAsia="ko-KR"/>
        </w:rPr>
        <w:t xml:space="preserve">as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 xml:space="preserve">impairments  </w:t>
      </w:r>
      <w:r w:rsidRPr="00CD6F62">
        <w:rPr>
          <w:rFonts w:ascii="ff2" w:eastAsia="Times New Roman" w:hAnsi="ff2" w:cs="Times New Roman"/>
          <w:spacing w:val="12"/>
          <w:sz w:val="119"/>
          <w:szCs w:val="119"/>
          <w:lang w:eastAsia="ko-KR"/>
        </w:rPr>
        <w:t>that</w:t>
      </w:r>
      <w:proofErr w:type="gramEnd"/>
      <w:r w:rsidRPr="00CD6F62">
        <w:rPr>
          <w:rFonts w:ascii="ff2" w:eastAsia="Times New Roman" w:hAnsi="ff2" w:cs="Times New Roman"/>
          <w:spacing w:val="12"/>
          <w:sz w:val="119"/>
          <w:szCs w:val="119"/>
          <w:lang w:eastAsia="ko-KR"/>
        </w:rPr>
        <w:t xml:space="preserve"> are limiting  only </w:t>
      </w:r>
      <w:r w:rsidRPr="00CD6F62">
        <w:rPr>
          <w:rFonts w:ascii="ff2" w:eastAsia="Times New Roman" w:hAnsi="ff2" w:cs="Times New Roman"/>
          <w:spacing w:val="48"/>
          <w:sz w:val="119"/>
          <w:szCs w:val="119"/>
          <w:lang w:eastAsia="ko-KR"/>
        </w:rPr>
        <w:t xml:space="preserve">to </w:t>
      </w:r>
      <w:r w:rsidRPr="00CD6F62">
        <w:rPr>
          <w:rFonts w:ascii="ff2" w:eastAsia="Times New Roman" w:hAnsi="ff2" w:cs="Times New Roman"/>
          <w:spacing w:val="12"/>
          <w:sz w:val="119"/>
          <w:szCs w:val="119"/>
          <w:lang w:eastAsia="ko-KR"/>
        </w:rPr>
        <w:t xml:space="preserve">the </w:t>
      </w:r>
      <w:r w:rsidRPr="00CD6F62">
        <w:rPr>
          <w:rFonts w:ascii="ff2" w:eastAsia="Times New Roman" w:hAnsi="ff2" w:cs="Times New Roman"/>
          <w:spacing w:val="36"/>
          <w:sz w:val="119"/>
          <w:szCs w:val="119"/>
          <w:lang w:eastAsia="ko-KR"/>
        </w:rPr>
        <w:t xml:space="preserve">extent </w:t>
      </w:r>
      <w:r w:rsidRPr="00CD6F62">
        <w:rPr>
          <w:rFonts w:ascii="ff2" w:eastAsia="Times New Roman" w:hAnsi="ff2" w:cs="Times New Roman"/>
          <w:spacing w:val="12"/>
          <w:sz w:val="119"/>
          <w:szCs w:val="119"/>
          <w:lang w:eastAsia="ko-KR"/>
        </w:rPr>
        <w:t xml:space="preserve">that constraints  are imposed </w:t>
      </w:r>
      <w:r w:rsidRPr="00CD6F62">
        <w:rPr>
          <w:rFonts w:ascii="ff2" w:eastAsia="Times New Roman" w:hAnsi="ff2" w:cs="Times New Roman"/>
          <w:sz w:val="119"/>
          <w:szCs w:val="119"/>
          <w:lang w:eastAsia="ko-KR"/>
        </w:rPr>
        <w:t xml:space="preserve">by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the</w:t>
      </w:r>
      <w:proofErr w:type="gramEnd"/>
      <w:r w:rsidRPr="00CD6F62">
        <w:rPr>
          <w:rFonts w:ascii="ff2" w:eastAsia="Times New Roman" w:hAnsi="ff2" w:cs="Times New Roman"/>
          <w:sz w:val="119"/>
          <w:szCs w:val="119"/>
          <w:lang w:eastAsia="ko-KR"/>
        </w:rPr>
        <w:t xml:space="preserve"> physical  </w:t>
      </w:r>
      <w:r w:rsidRPr="00CD6F62">
        <w:rPr>
          <w:rFonts w:ascii="ff2" w:eastAsia="Times New Roman" w:hAnsi="ff2" w:cs="Times New Roman"/>
          <w:spacing w:val="12"/>
          <w:sz w:val="119"/>
          <w:szCs w:val="119"/>
          <w:lang w:eastAsia="ko-KR"/>
        </w:rPr>
        <w:t xml:space="preserve">and social </w:t>
      </w:r>
      <w:r w:rsidRPr="00CD6F62">
        <w:rPr>
          <w:rFonts w:ascii="ff2" w:eastAsia="Times New Roman" w:hAnsi="ff2" w:cs="Times New Roman"/>
          <w:spacing w:val="36"/>
          <w:sz w:val="119"/>
          <w:szCs w:val="119"/>
          <w:lang w:eastAsia="ko-KR"/>
        </w:rPr>
        <w:t xml:space="preserve">environment. </w:t>
      </w:r>
      <w:r w:rsidRPr="00CD6F62">
        <w:rPr>
          <w:rFonts w:ascii="ff2" w:eastAsia="Times New Roman" w:hAnsi="ff2" w:cs="Times New Roman"/>
          <w:spacing w:val="48"/>
          <w:sz w:val="119"/>
          <w:szCs w:val="119"/>
          <w:lang w:eastAsia="ko-KR"/>
        </w:rPr>
        <w:t xml:space="preserve">The </w:t>
      </w:r>
      <w:proofErr w:type="gramStart"/>
      <w:r w:rsidRPr="00CD6F62">
        <w:rPr>
          <w:rFonts w:ascii="ff2" w:eastAsia="Times New Roman" w:hAnsi="ff2" w:cs="Times New Roman"/>
          <w:spacing w:val="12"/>
          <w:sz w:val="119"/>
          <w:szCs w:val="119"/>
          <w:lang w:eastAsia="ko-KR"/>
        </w:rPr>
        <w:t>activists  who</w:t>
      </w:r>
      <w:proofErr w:type="gramEnd"/>
      <w:r w:rsidRPr="00CD6F62">
        <w:rPr>
          <w:rFonts w:ascii="ff2" w:eastAsia="Times New Roman" w:hAnsi="ff2" w:cs="Times New Roman"/>
          <w:spacing w:val="12"/>
          <w:sz w:val="119"/>
          <w:szCs w:val="119"/>
          <w:lang w:eastAsia="ko-KR"/>
        </w:rPr>
        <w:t xml:space="preserve"> created the  various  </w:t>
      </w:r>
      <w:r w:rsidRPr="00CD6F62">
        <w:rPr>
          <w:rFonts w:ascii="ff2" w:eastAsia="Times New Roman" w:hAnsi="ff2" w:cs="Times New Roman"/>
          <w:spacing w:val="36"/>
          <w:sz w:val="119"/>
          <w:szCs w:val="119"/>
          <w:lang w:eastAsia="ko-KR"/>
        </w:rPr>
        <w:t xml:space="preserve">dis-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r w:rsidRPr="00CD6F62">
        <w:rPr>
          <w:rFonts w:ascii="ff2" w:eastAsia="Times New Roman" w:hAnsi="ff2" w:cs="Times New Roman"/>
          <w:sz w:val="119"/>
          <w:szCs w:val="119"/>
          <w:lang w:eastAsia="ko-KR"/>
        </w:rPr>
        <w:t xml:space="preserve">ability  rights  </w:t>
      </w:r>
      <w:r w:rsidRPr="00CD6F62">
        <w:rPr>
          <w:rFonts w:ascii="ff2" w:eastAsia="Times New Roman" w:hAnsi="ff2" w:cs="Times New Roman"/>
          <w:spacing w:val="12"/>
          <w:sz w:val="119"/>
          <w:szCs w:val="119"/>
          <w:lang w:eastAsia="ko-KR"/>
        </w:rPr>
        <w:t xml:space="preserve">organizations  redefined  disability  </w:t>
      </w:r>
      <w:r w:rsidRPr="00CD6F62">
        <w:rPr>
          <w:rFonts w:ascii="ff2" w:eastAsia="Times New Roman" w:hAnsi="ff2" w:cs="Times New Roman"/>
          <w:sz w:val="119"/>
          <w:szCs w:val="119"/>
          <w:lang w:eastAsia="ko-KR"/>
        </w:rPr>
        <w:t xml:space="preserve">in  </w:t>
      </w:r>
      <w:r w:rsidRPr="00CD6F62">
        <w:rPr>
          <w:rFonts w:ascii="ff2" w:eastAsia="Times New Roman" w:hAnsi="ff2" w:cs="Times New Roman"/>
          <w:spacing w:val="12"/>
          <w:sz w:val="119"/>
          <w:szCs w:val="119"/>
          <w:lang w:eastAsia="ko-KR"/>
        </w:rPr>
        <w:t xml:space="preserve">this  way  and  sought  </w:t>
      </w:r>
      <w:r w:rsidRPr="00CD6F62">
        <w:rPr>
          <w:rFonts w:ascii="ff2" w:eastAsia="Times New Roman" w:hAnsi="ff2" w:cs="Times New Roman"/>
          <w:spacing w:val="48"/>
          <w:sz w:val="119"/>
          <w:szCs w:val="119"/>
          <w:lang w:eastAsia="ko-KR"/>
        </w:rPr>
        <w:t xml:space="preserve">to </w:t>
      </w:r>
      <w:r w:rsidRPr="00CD6F62">
        <w:rPr>
          <w:rFonts w:ascii="ff2" w:eastAsia="Times New Roman" w:hAnsi="ff2" w:cs="Times New Roman"/>
          <w:spacing w:val="12"/>
          <w:sz w:val="119"/>
          <w:szCs w:val="119"/>
          <w:lang w:eastAsia="ko-KR"/>
        </w:rPr>
        <w:t xml:space="preserve">have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this</w:t>
      </w:r>
      <w:proofErr w:type="gramEnd"/>
      <w:r w:rsidRPr="00CD6F62">
        <w:rPr>
          <w:rFonts w:ascii="ff2" w:eastAsia="Times New Roman" w:hAnsi="ff2" w:cs="Times New Roman"/>
          <w:sz w:val="119"/>
          <w:szCs w:val="119"/>
          <w:lang w:eastAsia="ko-KR"/>
        </w:rPr>
        <w:t xml:space="preserve"> redefinition  </w:t>
      </w:r>
      <w:r w:rsidRPr="00CD6F62">
        <w:rPr>
          <w:rFonts w:ascii="ff2" w:eastAsia="Times New Roman" w:hAnsi="ff2" w:cs="Times New Roman"/>
          <w:spacing w:val="12"/>
          <w:sz w:val="119"/>
          <w:szCs w:val="119"/>
          <w:lang w:eastAsia="ko-KR"/>
        </w:rPr>
        <w:t xml:space="preserve">institutionalized and accepted </w:t>
      </w:r>
      <w:r w:rsidRPr="00CD6F62">
        <w:rPr>
          <w:rFonts w:ascii="ff2" w:eastAsia="Times New Roman" w:hAnsi="ff2" w:cs="Times New Roman"/>
          <w:spacing w:val="-12"/>
          <w:sz w:val="119"/>
          <w:szCs w:val="119"/>
          <w:lang w:eastAsia="ko-KR"/>
        </w:rPr>
        <w:t xml:space="preserve">in </w:t>
      </w:r>
      <w:r w:rsidRPr="00CD6F62">
        <w:rPr>
          <w:rFonts w:ascii="ff2" w:eastAsia="Times New Roman" w:hAnsi="ff2" w:cs="Times New Roman"/>
          <w:spacing w:val="12"/>
          <w:sz w:val="119"/>
          <w:szCs w:val="119"/>
          <w:lang w:eastAsia="ko-KR"/>
        </w:rPr>
        <w:t xml:space="preserve">public policy </w:t>
      </w:r>
      <w:r w:rsidRPr="00CD6F62">
        <w:rPr>
          <w:rFonts w:ascii="ff2" w:eastAsia="Times New Roman" w:hAnsi="ff2" w:cs="Times New Roman"/>
          <w:sz w:val="119"/>
          <w:szCs w:val="119"/>
          <w:lang w:eastAsia="ko-KR"/>
        </w:rPr>
        <w:t xml:space="preserve">and by </w:t>
      </w:r>
      <w:r w:rsidRPr="00CD6F62">
        <w:rPr>
          <w:rFonts w:ascii="ff2" w:eastAsia="Times New Roman" w:hAnsi="ff2" w:cs="Times New Roman"/>
          <w:spacing w:val="36"/>
          <w:sz w:val="119"/>
          <w:szCs w:val="119"/>
          <w:lang w:eastAsia="ko-KR"/>
        </w:rPr>
        <w:t xml:space="preserve">the </w:t>
      </w:r>
      <w:r w:rsidRPr="00CD6F62">
        <w:rPr>
          <w:rFonts w:ascii="ff2" w:eastAsia="Times New Roman" w:hAnsi="ff2" w:cs="Times New Roman"/>
          <w:spacing w:val="12"/>
          <w:sz w:val="119"/>
          <w:szCs w:val="119"/>
          <w:lang w:eastAsia="ko-KR"/>
        </w:rPr>
        <w:t xml:space="preserve">general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CD6F62">
        <w:rPr>
          <w:rFonts w:ascii="ff2" w:eastAsia="Times New Roman" w:hAnsi="ff2" w:cs="Times New Roman"/>
          <w:spacing w:val="12"/>
          <w:sz w:val="119"/>
          <w:szCs w:val="119"/>
          <w:lang w:eastAsia="ko-KR"/>
        </w:rPr>
        <w:t>public</w:t>
      </w:r>
      <w:proofErr w:type="gramEnd"/>
      <w:r w:rsidRPr="00CD6F62">
        <w:rPr>
          <w:rFonts w:ascii="ff2" w:eastAsia="Times New Roman" w:hAnsi="ff2" w:cs="Times New Roman"/>
          <w:spacing w:val="12"/>
          <w:sz w:val="119"/>
          <w:szCs w:val="119"/>
          <w:lang w:eastAsia="ko-KR"/>
        </w:rPr>
        <w:t xml:space="preserve">.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r w:rsidRPr="00CD6F62">
        <w:rPr>
          <w:rFonts w:ascii="ff2" w:eastAsia="Times New Roman" w:hAnsi="ff2" w:cs="Times New Roman"/>
          <w:spacing w:val="12"/>
          <w:sz w:val="119"/>
          <w:szCs w:val="119"/>
          <w:lang w:eastAsia="ko-KR"/>
        </w:rPr>
        <w:t xml:space="preserve">However,  the  political  and  financial  resources  </w:t>
      </w:r>
      <w:r w:rsidRPr="00CD6F62">
        <w:rPr>
          <w:rFonts w:ascii="ff2" w:eastAsia="Times New Roman" w:hAnsi="ff2" w:cs="Times New Roman"/>
          <w:sz w:val="119"/>
          <w:szCs w:val="119"/>
          <w:lang w:eastAsia="ko-KR"/>
        </w:rPr>
        <w:t xml:space="preserve">of  </w:t>
      </w:r>
      <w:r w:rsidRPr="00CD6F62">
        <w:rPr>
          <w:rFonts w:ascii="ff2" w:eastAsia="Times New Roman" w:hAnsi="ff2" w:cs="Times New Roman"/>
          <w:spacing w:val="12"/>
          <w:sz w:val="119"/>
          <w:szCs w:val="119"/>
          <w:lang w:eastAsia="ko-KR"/>
        </w:rPr>
        <w:t xml:space="preserve">most  </w:t>
      </w:r>
      <w:r w:rsidRPr="00CD6F62">
        <w:rPr>
          <w:rFonts w:ascii="ff2" w:eastAsia="Times New Roman" w:hAnsi="ff2" w:cs="Times New Roman"/>
          <w:sz w:val="119"/>
          <w:szCs w:val="119"/>
          <w:lang w:eastAsia="ko-KR"/>
        </w:rPr>
        <w:t xml:space="preserve">of  the  </w:t>
      </w:r>
      <w:r w:rsidRPr="00CD6F62">
        <w:rPr>
          <w:rFonts w:ascii="ff2" w:eastAsia="Times New Roman" w:hAnsi="ff2" w:cs="Times New Roman"/>
          <w:spacing w:val="12"/>
          <w:sz w:val="119"/>
          <w:szCs w:val="119"/>
          <w:lang w:eastAsia="ko-KR"/>
        </w:rPr>
        <w:t xml:space="preserve">disability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proofErr w:type="gramStart"/>
      <w:r w:rsidRPr="00CD6F62">
        <w:rPr>
          <w:rFonts w:ascii="ff2" w:eastAsia="Times New Roman" w:hAnsi="ff2" w:cs="Times New Roman"/>
          <w:sz w:val="119"/>
          <w:szCs w:val="119"/>
          <w:lang w:eastAsia="ko-KR"/>
        </w:rPr>
        <w:t>rights</w:t>
      </w:r>
      <w:proofErr w:type="gramEnd"/>
      <w:r w:rsidRPr="00CD6F62">
        <w:rPr>
          <w:rFonts w:ascii="ff2" w:eastAsia="Times New Roman" w:hAnsi="ff2" w:cs="Times New Roman"/>
          <w:sz w:val="119"/>
          <w:szCs w:val="119"/>
          <w:lang w:eastAsia="ko-KR"/>
        </w:rPr>
        <w:t xml:space="preserve"> </w:t>
      </w:r>
      <w:r w:rsidRPr="00CD6F62">
        <w:rPr>
          <w:rFonts w:ascii="ff2" w:eastAsia="Times New Roman" w:hAnsi="ff2" w:cs="Times New Roman"/>
          <w:spacing w:val="12"/>
          <w:sz w:val="119"/>
          <w:szCs w:val="119"/>
          <w:lang w:eastAsia="ko-KR"/>
        </w:rPr>
        <w:t xml:space="preserve">organizations were extremely  limited. A major proportion </w:t>
      </w:r>
    </w:p>
    <w:p w:rsidR="00F703ED" w:rsidRPr="00CD6F62" w:rsidRDefault="00F703ED" w:rsidP="00F703ED">
      <w:pPr>
        <w:shd w:val="clear" w:color="auto" w:fill="FFFFFF"/>
        <w:spacing w:after="0" w:line="0" w:lineRule="auto"/>
        <w:rPr>
          <w:rFonts w:ascii="ff2" w:eastAsia="Times New Roman" w:hAnsi="ff2" w:cs="Times New Roman"/>
          <w:spacing w:val="-73"/>
          <w:sz w:val="121"/>
          <w:szCs w:val="121"/>
          <w:lang w:eastAsia="ko-KR"/>
        </w:rPr>
      </w:pPr>
      <w:proofErr w:type="gramStart"/>
      <w:r w:rsidRPr="00CD6F62">
        <w:rPr>
          <w:rFonts w:ascii="ff2" w:eastAsia="Times New Roman" w:hAnsi="ff2" w:cs="Times New Roman"/>
          <w:spacing w:val="-73"/>
          <w:sz w:val="121"/>
          <w:szCs w:val="121"/>
          <w:lang w:eastAsia="ko-KR"/>
        </w:rPr>
        <w:t>of</w:t>
      </w:r>
      <w:proofErr w:type="gramEnd"/>
      <w:r w:rsidRPr="00CD6F62">
        <w:rPr>
          <w:rFonts w:ascii="ff2" w:eastAsia="Times New Roman" w:hAnsi="ff2" w:cs="Times New Roman"/>
          <w:spacing w:val="-73"/>
          <w:sz w:val="121"/>
          <w:szCs w:val="121"/>
          <w:lang w:eastAsia="ko-KR"/>
        </w:rPr>
        <w:t xml:space="preserve">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CD6F62">
        <w:rPr>
          <w:rFonts w:ascii="ff2" w:eastAsia="Times New Roman" w:hAnsi="ff2" w:cs="Times New Roman"/>
          <w:spacing w:val="12"/>
          <w:sz w:val="119"/>
          <w:szCs w:val="119"/>
          <w:lang w:eastAsia="ko-KR"/>
        </w:rPr>
        <w:t>their</w:t>
      </w:r>
      <w:proofErr w:type="gramEnd"/>
      <w:r w:rsidRPr="00CD6F62">
        <w:rPr>
          <w:rFonts w:ascii="ff2" w:eastAsia="Times New Roman" w:hAnsi="ff2" w:cs="Times New Roman"/>
          <w:spacing w:val="12"/>
          <w:sz w:val="119"/>
          <w:szCs w:val="119"/>
          <w:lang w:eastAsia="ko-KR"/>
        </w:rPr>
        <w:t xml:space="preserve"> budgets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CD6F62">
        <w:rPr>
          <w:rFonts w:ascii="ff2" w:eastAsia="Times New Roman" w:hAnsi="ff2" w:cs="Times New Roman"/>
          <w:spacing w:val="-12"/>
          <w:sz w:val="119"/>
          <w:szCs w:val="119"/>
          <w:lang w:eastAsia="ko-KR"/>
        </w:rPr>
        <w:t>in</w:t>
      </w:r>
      <w:proofErr w:type="gramEnd"/>
      <w:r w:rsidRPr="00CD6F62">
        <w:rPr>
          <w:rFonts w:ascii="ff2" w:eastAsia="Times New Roman" w:hAnsi="ff2" w:cs="Times New Roman"/>
          <w:spacing w:val="-12"/>
          <w:sz w:val="119"/>
          <w:szCs w:val="119"/>
          <w:lang w:eastAsia="ko-KR"/>
        </w:rPr>
        <w:t xml:space="preserve"> </w:t>
      </w:r>
      <w:r w:rsidRPr="00CD6F62">
        <w:rPr>
          <w:rFonts w:ascii="ff2" w:eastAsia="Times New Roman" w:hAnsi="ff2" w:cs="Times New Roman"/>
          <w:sz w:val="119"/>
          <w:szCs w:val="119"/>
          <w:lang w:eastAsia="ko-KR"/>
        </w:rPr>
        <w:t xml:space="preserve">the  </w:t>
      </w:r>
      <w:r w:rsidRPr="00CD6F62">
        <w:rPr>
          <w:rFonts w:ascii="ff2" w:eastAsia="Times New Roman" w:hAnsi="ff2" w:cs="Times New Roman"/>
          <w:spacing w:val="12"/>
          <w:sz w:val="119"/>
          <w:szCs w:val="119"/>
          <w:lang w:eastAsia="ko-KR"/>
        </w:rPr>
        <w:t xml:space="preserve">late </w:t>
      </w:r>
    </w:p>
    <w:p w:rsidR="00F703ED" w:rsidRPr="00CD6F62" w:rsidRDefault="00F703ED" w:rsidP="00F703ED">
      <w:pPr>
        <w:shd w:val="clear" w:color="auto" w:fill="FFFFFF"/>
        <w:spacing w:after="0" w:line="0" w:lineRule="auto"/>
        <w:rPr>
          <w:rFonts w:ascii="ff2" w:eastAsia="Times New Roman" w:hAnsi="ff2" w:cs="Times New Roman"/>
          <w:spacing w:val="-12"/>
          <w:sz w:val="121"/>
          <w:szCs w:val="121"/>
          <w:lang w:eastAsia="ko-KR"/>
        </w:rPr>
      </w:pPr>
      <w:r w:rsidRPr="00CD6F62">
        <w:rPr>
          <w:rFonts w:ascii="ff2" w:eastAsia="Times New Roman" w:hAnsi="ff2" w:cs="Times New Roman"/>
          <w:spacing w:val="-12"/>
          <w:sz w:val="121"/>
          <w:szCs w:val="121"/>
          <w:lang w:eastAsia="ko-KR"/>
        </w:rPr>
        <w:t xml:space="preserve">1970s </w:t>
      </w:r>
    </w:p>
    <w:p w:rsidR="00F703ED" w:rsidRPr="00CD6F62" w:rsidRDefault="00F703ED" w:rsidP="00F703ED">
      <w:pPr>
        <w:shd w:val="clear" w:color="auto" w:fill="FFFFFF"/>
        <w:spacing w:after="0" w:line="0" w:lineRule="auto"/>
        <w:rPr>
          <w:rFonts w:ascii="ff2" w:eastAsia="Times New Roman" w:hAnsi="ff2" w:cs="Times New Roman"/>
          <w:spacing w:val="12"/>
          <w:sz w:val="119"/>
          <w:szCs w:val="119"/>
          <w:lang w:eastAsia="ko-KR"/>
        </w:rPr>
      </w:pPr>
      <w:proofErr w:type="gramStart"/>
      <w:r w:rsidRPr="00CD6F62">
        <w:rPr>
          <w:rFonts w:ascii="ff2" w:eastAsia="Times New Roman" w:hAnsi="ff2" w:cs="Times New Roman"/>
          <w:spacing w:val="12"/>
          <w:sz w:val="119"/>
          <w:szCs w:val="119"/>
          <w:lang w:eastAsia="ko-KR"/>
        </w:rPr>
        <w:t>was</w:t>
      </w:r>
      <w:proofErr w:type="gramEnd"/>
      <w:r w:rsidRPr="00CD6F62">
        <w:rPr>
          <w:rFonts w:ascii="ff2" w:eastAsia="Times New Roman" w:hAnsi="ff2" w:cs="Times New Roman"/>
          <w:spacing w:val="12"/>
          <w:sz w:val="119"/>
          <w:szCs w:val="119"/>
          <w:lang w:eastAsia="ko-KR"/>
        </w:rPr>
        <w:t xml:space="preserve"> provided  </w:t>
      </w:r>
      <w:r w:rsidRPr="00CD6F62">
        <w:rPr>
          <w:rFonts w:ascii="ff2" w:eastAsia="Times New Roman" w:hAnsi="ff2" w:cs="Times New Roman"/>
          <w:sz w:val="119"/>
          <w:szCs w:val="119"/>
          <w:lang w:eastAsia="ko-KR"/>
        </w:rPr>
        <w:t xml:space="preserve">by  </w:t>
      </w:r>
      <w:r w:rsidRPr="00CD6F62">
        <w:rPr>
          <w:rFonts w:ascii="ff2" w:eastAsia="Times New Roman" w:hAnsi="ff2" w:cs="Times New Roman"/>
          <w:spacing w:val="12"/>
          <w:sz w:val="119"/>
          <w:szCs w:val="119"/>
          <w:lang w:eastAsia="ko-KR"/>
        </w:rPr>
        <w:t xml:space="preserve">the  federal  government  </w:t>
      </w:r>
      <w:r w:rsidRPr="00CD6F62">
        <w:rPr>
          <w:rFonts w:ascii="ff2" w:eastAsia="Times New Roman" w:hAnsi="ff2" w:cs="Times New Roman"/>
          <w:sz w:val="119"/>
          <w:szCs w:val="119"/>
          <w:lang w:eastAsia="ko-KR"/>
        </w:rPr>
        <w:t xml:space="preserve">in </w:t>
      </w:r>
      <w:r w:rsidRPr="00CD6F62">
        <w:rPr>
          <w:rFonts w:ascii="ff2" w:eastAsia="Times New Roman" w:hAnsi="ff2" w:cs="Times New Roman"/>
          <w:spacing w:val="12"/>
          <w:sz w:val="119"/>
          <w:szCs w:val="119"/>
          <w:lang w:eastAsia="ko-KR"/>
        </w:rPr>
        <w:t xml:space="preserve">the </w:t>
      </w:r>
      <w:r w:rsidRPr="00CD6F62">
        <w:rPr>
          <w:rFonts w:ascii="ff2" w:eastAsia="Times New Roman" w:hAnsi="ff2" w:cs="Times New Roman"/>
          <w:spacing w:val="36"/>
          <w:sz w:val="119"/>
          <w:szCs w:val="119"/>
          <w:lang w:eastAsia="ko-KR"/>
        </w:rPr>
        <w:t xml:space="preserve">form </w:t>
      </w:r>
      <w:r w:rsidRPr="00CD6F62">
        <w:rPr>
          <w:rFonts w:ascii="ff2" w:eastAsia="Times New Roman" w:hAnsi="ff2" w:cs="Times New Roman"/>
          <w:sz w:val="119"/>
          <w:szCs w:val="119"/>
          <w:lang w:eastAsia="ko-KR"/>
        </w:rPr>
        <w:t xml:space="preserve">of </w:t>
      </w:r>
      <w:r w:rsidRPr="00CD6F62">
        <w:rPr>
          <w:rFonts w:ascii="ff2" w:eastAsia="Times New Roman" w:hAnsi="ff2" w:cs="Times New Roman"/>
          <w:spacing w:val="12"/>
          <w:sz w:val="119"/>
          <w:szCs w:val="119"/>
          <w:lang w:eastAsia="ko-KR"/>
        </w:rPr>
        <w:t xml:space="preserve">grants </w:t>
      </w:r>
    </w:p>
    <w:p w:rsidR="00F703ED" w:rsidRPr="00CD6F62" w:rsidRDefault="00F703ED" w:rsidP="00F703ED">
      <w:pPr>
        <w:shd w:val="clear" w:color="auto" w:fill="FFFFFF"/>
        <w:spacing w:after="0" w:line="0" w:lineRule="auto"/>
        <w:rPr>
          <w:rFonts w:ascii="ff2" w:eastAsia="Times New Roman" w:hAnsi="ff2" w:cs="Times New Roman"/>
          <w:sz w:val="119"/>
          <w:szCs w:val="119"/>
          <w:lang w:eastAsia="ko-KR"/>
        </w:rPr>
      </w:pPr>
      <w:r w:rsidRPr="00CD6F62">
        <w:rPr>
          <w:rFonts w:ascii="ff2" w:eastAsia="Times New Roman" w:hAnsi="ff2" w:cs="Times New Roman"/>
          <w:sz w:val="119"/>
          <w:szCs w:val="119"/>
          <w:lang w:eastAsia="ko-KR"/>
        </w:rPr>
        <w:t xml:space="preserve">and  </w:t>
      </w:r>
      <w:r w:rsidRPr="00CD6F62">
        <w:rPr>
          <w:rFonts w:ascii="ff2" w:eastAsia="Times New Roman" w:hAnsi="ff2" w:cs="Times New Roman"/>
          <w:spacing w:val="12"/>
          <w:sz w:val="119"/>
          <w:szCs w:val="119"/>
          <w:lang w:eastAsia="ko-KR"/>
        </w:rPr>
        <w:t xml:space="preserve">contracts,  and  substantial  amounts  of  this  federal  funding  were  used </w:t>
      </w:r>
    </w:p>
    <w:p w:rsidR="00F703ED" w:rsidRPr="00CD6F62" w:rsidRDefault="00F703ED" w:rsidP="00F703ED">
      <w:pPr>
        <w:shd w:val="clear" w:color="auto" w:fill="FFFFFF"/>
        <w:spacing w:after="0" w:line="0" w:lineRule="auto"/>
        <w:rPr>
          <w:rFonts w:ascii="ff6" w:eastAsia="Times New Roman" w:hAnsi="ff6" w:cs="Times New Roman"/>
          <w:spacing w:val="-87"/>
          <w:sz w:val="124"/>
          <w:szCs w:val="124"/>
          <w:lang w:eastAsia="ko-KR"/>
        </w:rPr>
      </w:pPr>
      <w:proofErr w:type="gramStart"/>
      <w:r w:rsidRPr="00CD6F62">
        <w:rPr>
          <w:rFonts w:ascii="ff6" w:eastAsia="Times New Roman" w:hAnsi="ff6" w:cs="Times New Roman"/>
          <w:spacing w:val="-87"/>
          <w:sz w:val="124"/>
          <w:szCs w:val="124"/>
          <w:lang w:eastAsia="ko-KR"/>
        </w:rPr>
        <w:t>for</w:t>
      </w:r>
      <w:proofErr w:type="gramEnd"/>
      <w:r w:rsidRPr="00CD6F62">
        <w:rPr>
          <w:rFonts w:ascii="ff6" w:eastAsia="Times New Roman" w:hAnsi="ff6" w:cs="Times New Roman"/>
          <w:spacing w:val="-87"/>
          <w:sz w:val="124"/>
          <w:szCs w:val="124"/>
          <w:lang w:eastAsia="ko-KR"/>
        </w:rPr>
        <w:t xml:space="preserve"> </w:t>
      </w:r>
    </w:p>
    <w:p w:rsidR="00F703ED" w:rsidRDefault="00F703ED" w:rsidP="00F703ED">
      <w:pPr>
        <w:rPr>
          <w:sz w:val="12"/>
        </w:rPr>
      </w:pPr>
      <w:r w:rsidRPr="000F0C56">
        <w:rPr>
          <w:sz w:val="12"/>
        </w:rPr>
        <w:t xml:space="preserve">The above discussion of barriers to political activism by disabled people suggested that </w:t>
      </w:r>
      <w:r w:rsidRPr="00161B34">
        <w:rPr>
          <w:u w:val="single"/>
        </w:rPr>
        <w:t>a prerequisite to</w:t>
      </w:r>
      <w:r w:rsidRPr="000F0C56">
        <w:rPr>
          <w:sz w:val="12"/>
        </w:rPr>
        <w:t xml:space="preserve"> such </w:t>
      </w:r>
      <w:r w:rsidRPr="00161B34">
        <w:rPr>
          <w:u w:val="single"/>
        </w:rPr>
        <w:t xml:space="preserve">activism was a redefinition of disabilities as impairments that are limiting only to the extent that constraints are imposed by the physical and social environment. </w:t>
      </w:r>
      <w:r w:rsidRPr="000F0C56">
        <w:rPr>
          <w:sz w:val="12"/>
        </w:rPr>
        <w:t xml:space="preserve">The activists who created the various dis- ability rights organizations redefined disability in this way and sought to have this redefinition institutionalized and accepted in public policy and by the general public. However, </w:t>
      </w:r>
      <w:r w:rsidRPr="00161B34">
        <w:rPr>
          <w:u w:val="single"/>
        </w:rPr>
        <w:t>the political and financial resources of most of the disability rights organizations were extremely limited</w:t>
      </w:r>
      <w:r w:rsidRPr="000F0C56">
        <w:rPr>
          <w:sz w:val="12"/>
        </w:rPr>
        <w:t xml:space="preserve">. A major proportion of their budgets in the late 1970s was provided by the federal government in the form of grants and contracts, and substantial amounts of this federal funding were used for newly initiated political activity. (Several organizations were major exceptions, such as the NFB.) </w:t>
      </w:r>
      <w:r w:rsidRPr="00161B34">
        <w:rPr>
          <w:u w:val="single"/>
        </w:rPr>
        <w:t>The political impact of many disability rights organizations in the late 1970s was extremely dependent on the support of agencies of the federal government</w:t>
      </w:r>
      <w:r w:rsidRPr="000F0C56">
        <w:rPr>
          <w:sz w:val="12"/>
        </w:rPr>
        <w:t xml:space="preserve">. The contribution of the federal government to the growth of the disability rights movement, however, extended far beyond financial support. </w:t>
      </w:r>
      <w:r w:rsidRPr="00161B34">
        <w:rPr>
          <w:u w:val="single"/>
        </w:rPr>
        <w:t>The social movement of disabled people became better organized and more broadly based as the result of federal civil rights activities</w:t>
      </w:r>
      <w:r w:rsidRPr="000F0C56">
        <w:rPr>
          <w:sz w:val="12"/>
        </w:rPr>
        <w:t xml:space="preserve">. Contracts for training and technical assistance to local groups were received by a wide range of disability organiza- tions. </w:t>
      </w:r>
      <w:r w:rsidRPr="00161B34">
        <w:rPr>
          <w:u w:val="single"/>
        </w:rPr>
        <w:t xml:space="preserve">Disability rights leaders were often sought out by federal policy makers, thus making lobbying even easier to pursue. Activists were routinely asked to review draft policies and to testify at congressional hearings. These contacts served the further function of </w:t>
      </w:r>
      <w:r w:rsidRPr="000F0C56">
        <w:rPr>
          <w:b/>
          <w:u w:val="single"/>
        </w:rPr>
        <w:t>reinforcing the visibility of disability rights activ- ists and of legitimating their leadership role</w:t>
      </w:r>
      <w:r w:rsidRPr="00161B34">
        <w:rPr>
          <w:u w:val="single"/>
        </w:rPr>
        <w:t>, both within the disability communi- ty and outside it. The consultations and meetings organized by federal officials seeking pol- icy input</w:t>
      </w:r>
      <w:r w:rsidRPr="000F0C56">
        <w:rPr>
          <w:sz w:val="12"/>
        </w:rPr>
        <w:t xml:space="preserve"> </w:t>
      </w:r>
      <w:r w:rsidRPr="00161B34">
        <w:rPr>
          <w:u w:val="single"/>
        </w:rPr>
        <w:t>had another important impact on the disability rights movement by fostering a network among locally based activists around the country. This network was also furthered by a number of federal agencies that created advisory committees on disability rights issues,</w:t>
      </w:r>
      <w:r w:rsidRPr="000F0C56">
        <w:rPr>
          <w:sz w:val="12"/>
        </w:rPr>
        <w:t xml:space="preserve"> as well as by the annual PCEH confer- ences. More important still, </w:t>
      </w:r>
      <w:r w:rsidRPr="00161B34">
        <w:rPr>
          <w:u w:val="single"/>
        </w:rPr>
        <w:t>the government contributed to the redefinition of disability. Through</w:t>
      </w:r>
      <w:r w:rsidRPr="000F0C56">
        <w:rPr>
          <w:sz w:val="12"/>
        </w:rPr>
        <w:t xml:space="preserve"> such legislation as </w:t>
      </w:r>
      <w:r w:rsidRPr="00161B34">
        <w:rPr>
          <w:u w:val="single"/>
        </w:rPr>
        <w:t>Section 504 of the Rehabilitation Act of 1973 and the Education for All Handicapped Children Act of 1975</w:t>
      </w:r>
      <w:r w:rsidRPr="000F0C56">
        <w:rPr>
          <w:sz w:val="12"/>
        </w:rPr>
        <w:t xml:space="preserve"> (P.L. 94-142), </w:t>
      </w:r>
      <w:r w:rsidRPr="00161B34">
        <w:rPr>
          <w:u w:val="single"/>
        </w:rPr>
        <w:t>federal policy makers established disabled people as a class to be protected from discrimination by federal law, and made it illegal to exclude them from publicly supported programs and activities.</w:t>
      </w:r>
      <w:r w:rsidRPr="000F0C56">
        <w:rPr>
          <w:sz w:val="12"/>
        </w:rPr>
        <w:t xml:space="preserve"> The programmatic effects of these statutes were far-reaching: </w:t>
      </w:r>
      <w:r w:rsidRPr="00161B34">
        <w:rPr>
          <w:u w:val="single"/>
        </w:rPr>
        <w:t xml:space="preserve">They dramatically </w:t>
      </w:r>
      <w:r w:rsidRPr="000F0C56">
        <w:rPr>
          <w:b/>
          <w:u w:val="single"/>
        </w:rPr>
        <w:t>increased the accessibility of public education, employment, government services, and public facilities to disabled people</w:t>
      </w:r>
      <w:r w:rsidRPr="000F0C56">
        <w:rPr>
          <w:sz w:val="12"/>
        </w:rPr>
        <w:t xml:space="preserve">. Of equal or greater importance, however, were </w:t>
      </w:r>
      <w:r w:rsidRPr="00161B34">
        <w:rPr>
          <w:u w:val="single"/>
        </w:rPr>
        <w:t>the definitions included in the new laws</w:t>
      </w:r>
      <w:r w:rsidRPr="000F0C56">
        <w:rPr>
          <w:sz w:val="12"/>
        </w:rPr>
        <w:t xml:space="preserve">, which </w:t>
      </w:r>
      <w:r w:rsidRPr="00161B34">
        <w:rPr>
          <w:u w:val="single"/>
        </w:rPr>
        <w:t>focused on a broad group of people in a way that aided the formation of a social movement.</w:t>
      </w:r>
      <w:r w:rsidRPr="000F0C56">
        <w:rPr>
          <w:sz w:val="12"/>
        </w:rPr>
        <w:t xml:space="preserve"> There were two types of statutory definitions of disability, both extremely broad. The first, employed in P.L. 94-142, was categorical. Section 121a.5 of the law defined handicapped children as those evaluated as being mentally re- tarded, hard of hearing, deaf, speech impaired, visually handicapped, seriously emotionally disturbed, orthopedically impaired, other health impaired, deaf- blind, multihandicapped, or as having specific learning disabilities. P.L. 94- 142 guaranteed these children a free and appropriate public education and related services in the least restrictive possible environment. Schools were mandated to provide individually appropriate services to children defined as handicapped, but procedurally all disabled children were accorded the same rights. The second type of statutory definition was more functional in nature. Section 504, for example, defined a handicapped individual as any person who has a physical or mental impairment that substantially limits one or more major life activities, has a record of such an impairment, or is regarded as having such an impairment. Disabled people falling within this broad group were protected from discrimination in all federally supported programs and activities. The centrality of government-sponsored definitions is emphasized by Hahn and Longmore (no date), who state that “</w:t>
      </w:r>
      <w:r w:rsidRPr="00B001F1">
        <w:rPr>
          <w:u w:val="single"/>
        </w:rPr>
        <w:t>the definition of disability is essentially determined by public policy. In other words, disability is whatever laws and implementing regulations say it is</w:t>
      </w:r>
      <w:r w:rsidRPr="000F0C56">
        <w:rPr>
          <w:sz w:val="12"/>
        </w:rPr>
        <w:t xml:space="preserve">” (p. 5). They point out that </w:t>
      </w:r>
      <w:r w:rsidRPr="00B001F1">
        <w:rPr>
          <w:u w:val="single"/>
        </w:rPr>
        <w:t xml:space="preserve">government definitions of disability have historically been influenced by rehabilitation and medical professionals. However, in the 1970s, federal definitions of disability were </w:t>
      </w:r>
      <w:r w:rsidRPr="000F0C56">
        <w:rPr>
          <w:b/>
          <w:u w:val="single"/>
        </w:rPr>
        <w:t>specified with the assistance of disability rights advocates</w:t>
      </w:r>
      <w:r w:rsidRPr="00B001F1">
        <w:rPr>
          <w:u w:val="single"/>
        </w:rPr>
        <w:t>, and</w:t>
      </w:r>
      <w:r w:rsidRPr="000F0C56">
        <w:rPr>
          <w:sz w:val="12"/>
        </w:rPr>
        <w:t xml:space="preserve"> in several cases they </w:t>
      </w:r>
      <w:r w:rsidRPr="00B001F1">
        <w:rPr>
          <w:u w:val="single"/>
        </w:rPr>
        <w:t xml:space="preserve">were actually </w:t>
      </w:r>
      <w:r w:rsidRPr="000F0C56">
        <w:rPr>
          <w:b/>
          <w:u w:val="single"/>
        </w:rPr>
        <w:t>written by representatives of movement organizations</w:t>
      </w:r>
      <w:r w:rsidRPr="00B001F1">
        <w:rPr>
          <w:u w:val="single"/>
        </w:rPr>
        <w:t xml:space="preserve"> </w:t>
      </w:r>
      <w:r w:rsidRPr="000F0C56">
        <w:rPr>
          <w:sz w:val="12"/>
        </w:rPr>
        <w:t xml:space="preserve">(see Scotch, 1984). Conventional interest-group explanations of policy changes characterize advocacy groups as shaping the development and implementation of public pol- icies. In the case of disability rights legislation in the 1970s, this process was largely reversed. </w:t>
      </w:r>
      <w:r w:rsidRPr="003C33AF">
        <w:rPr>
          <w:u w:val="single"/>
        </w:rPr>
        <w:t xml:space="preserve">Advocates for the disability rights movement did not apply political pressure that resulted in the passage of these laws. Rather, </w:t>
      </w:r>
      <w:r w:rsidRPr="000F0C56">
        <w:rPr>
          <w:b/>
          <w:u w:val="single"/>
        </w:rPr>
        <w:t>the adoption and implementation of the laws contributed to the growth of national advocacy organizations representing disabled people and reinforced their involvement with civil rights issues.</w:t>
      </w:r>
      <w:r w:rsidRPr="003C33AF">
        <w:rPr>
          <w:u w:val="single"/>
        </w:rPr>
        <w:t xml:space="preserve"> Civil-rights-oriented statutes</w:t>
      </w:r>
      <w:r w:rsidRPr="000F0C56">
        <w:rPr>
          <w:sz w:val="12"/>
        </w:rPr>
        <w:t xml:space="preserve"> such as, Section 504 and P.L. 94- 142 </w:t>
      </w:r>
      <w:r w:rsidRPr="003C33AF">
        <w:rPr>
          <w:u w:val="single"/>
        </w:rPr>
        <w:t>became focal points for organizing among disabled people and provided a good opportunity for establishing policy-oriented coalitions of the new genera- tion of grass-roots disability organizations</w:t>
      </w:r>
      <w:r w:rsidRPr="000F0C56">
        <w:rPr>
          <w:sz w:val="12"/>
        </w:rPr>
        <w:t xml:space="preserve">. The emphasis in this paper on the role of the state in providing resources and creating networks is consistent with the evolving literature on resource mobiliza- tion in social movements (Freeman, 1982; McCarthy &amp; Zald, 1977). The impor- tance of network linkages and resource availability, however, has sometimes been stressed to the exclusion of any emphasis on the role of ideas and symbolic categories in framing issues-e.g., in attempts to argue for structural over so- cial-psychological modes of analysis. As Snow, Rochford, Worden, &amp; Benford (1986) have recently pointed out, however, </w:t>
      </w:r>
      <w:r w:rsidRPr="000F0C56">
        <w:rPr>
          <w:b/>
          <w:u w:val="single"/>
        </w:rPr>
        <w:t>social-psychological and resource- mobilization models are not mutually exclusive.</w:t>
      </w:r>
      <w:r w:rsidRPr="000F0C56">
        <w:rPr>
          <w:u w:val="single"/>
        </w:rPr>
        <w:t xml:space="preserve"> The disability rights movement is one in which the way an issue was framed had serious effects on both move- ment participation and the ability of the movement to influence public policies </w:t>
      </w:r>
      <w:r w:rsidRPr="000F0C56">
        <w:rPr>
          <w:sz w:val="12"/>
        </w:rPr>
        <w:t>(as was also the case with the problem of drunk driving-Gusfield, 1981).</w:t>
      </w:r>
    </w:p>
    <w:p w:rsidR="00F703ED" w:rsidRDefault="00F703ED" w:rsidP="00F703ED">
      <w:pPr>
        <w:rPr>
          <w:lang w:eastAsia="ko-KR"/>
        </w:rPr>
      </w:pPr>
    </w:p>
    <w:p w:rsidR="00E5343F" w:rsidRPr="00F933AF" w:rsidRDefault="00E5343F" w:rsidP="00E5343F">
      <w:pPr>
        <w:pStyle w:val="Heading4"/>
        <w:rPr>
          <w:rFonts w:cs="Calibri"/>
          <w:lang w:eastAsia="ko-KR"/>
        </w:rPr>
      </w:pPr>
      <w:r w:rsidRPr="00F933AF">
        <w:rPr>
          <w:rFonts w:cs="Calibri"/>
          <w:lang w:eastAsia="ko-KR"/>
        </w:rPr>
        <w:t>The plan is not mutually exclusive with the alternative—state reform can be combined with a counter-framing of social justice that challenges market-driven definitions of desirability. Absent the plan, immigrants will still be subjected to the constant fear of deportation and social subordination which mark their bodies as undesirable</w:t>
      </w:r>
    </w:p>
    <w:p w:rsidR="00E5343F" w:rsidRPr="00F933AF" w:rsidRDefault="00E5343F" w:rsidP="00E5343F">
      <w:pPr>
        <w:rPr>
          <w:rFonts w:cs="Calibri"/>
        </w:rPr>
      </w:pPr>
      <w:r w:rsidRPr="00F933AF">
        <w:rPr>
          <w:rFonts w:cs="Calibri"/>
          <w:b/>
        </w:rPr>
        <w:t xml:space="preserve">Park 10 </w:t>
      </w:r>
      <w:r w:rsidRPr="00F933AF">
        <w:rPr>
          <w:rFonts w:cs="Calibri"/>
          <w:sz w:val="18"/>
          <w:szCs w:val="18"/>
        </w:rPr>
        <w:t>(Lisa Sun-Hee Park, “Challenging Public Charge Policy: Coalitional Immigrant Community Strategies, “Project Muse, Journal of Asian American Studies, Volume 13, Number 3, pg. 383--385, October 2010)//jy</w:t>
      </w:r>
    </w:p>
    <w:p w:rsidR="00E5343F" w:rsidRPr="00F933AF" w:rsidRDefault="00E5343F" w:rsidP="00E5343F">
      <w:pPr>
        <w:rPr>
          <w:rFonts w:cs="Calibri"/>
        </w:rPr>
      </w:pPr>
      <w:r w:rsidRPr="00F933AF">
        <w:rPr>
          <w:rFonts w:cs="Calibri"/>
          <w:sz w:val="14"/>
          <w:lang w:eastAsia="ko-KR"/>
        </w:rPr>
        <w:br/>
      </w:r>
      <w:r w:rsidRPr="00F933AF">
        <w:rPr>
          <w:rFonts w:cs="Calibri"/>
          <w:u w:val="single"/>
        </w:rPr>
        <w:t>Public charge is a political classification used to exclude or deport those immigrants perceived to be or to have the possibility of becoming a burden on the state. Pregnancy has long been categorized as a public burden with respect to low-income immigrant women</w:t>
      </w:r>
      <w:r w:rsidRPr="00F933AF">
        <w:rPr>
          <w:rFonts w:cs="Calibri"/>
          <w:sz w:val="14"/>
        </w:rPr>
        <w:t xml:space="preserve">. Scholars consider this designation as part of a continuing tradition of “selective immigration” that began in 1875. 18 Since then, public charge—in policy and sentiment— has existed just beneath the surface in U.S. immigration policy, and it has reared its head at key historical moments. Apparently, moments of high demand or desirability for immigrant labor is one such moment that al- lows for public charge determinations to become a feasible, formal state response. </w:t>
      </w:r>
      <w:r w:rsidRPr="00F933AF">
        <w:rPr>
          <w:rFonts w:cs="Calibri"/>
          <w:u w:val="single"/>
        </w:rPr>
        <w:t>Public charge tempers immigrant labor desirability by clearly positioning immigrants as dependent and undeserving/irresponsible burdens upon citizens and the state. In this way, “desirability” can be more broadly construed to include a sense of increasing “normality” of their presence and, consequently, a greater potential for political influence and social belonging</w:t>
      </w:r>
      <w:r w:rsidRPr="00F933AF">
        <w:rPr>
          <w:rFonts w:cs="Calibri"/>
          <w:sz w:val="14"/>
        </w:rPr>
        <w:t xml:space="preserve">. The mid-1990s, with the passage of major welfare, im- migration, and health legislative reforms at the state and federal levels, was one of these “corrective” moments in which labor and political desirability is counterbalanced with heightened public policy disavowal. 384 • JAAS • 13:3 </w:t>
      </w:r>
      <w:r w:rsidRPr="00F933AF">
        <w:rPr>
          <w:rFonts w:cs="Calibri"/>
          <w:u w:val="single"/>
        </w:rPr>
        <w:t>The PED programs assumed immigrant health care use was suspicious from the start and required surveillance to prove otherwise. In effect, these programs institutionalized greater restrictions on health care access for immigrants without initiating</w:t>
      </w:r>
      <w:r w:rsidRPr="00F933AF">
        <w:rPr>
          <w:rFonts w:cs="Calibri"/>
          <w:sz w:val="14"/>
        </w:rPr>
        <w:t xml:space="preserve"> the far more cumbersome (and democratic) process of </w:t>
      </w:r>
      <w:r w:rsidRPr="00F933AF">
        <w:rPr>
          <w:rFonts w:cs="Calibri"/>
          <w:u w:val="single"/>
        </w:rPr>
        <w:t>legislative reform. In addition, the state specifically targeted immigrant women’s use of prenatal care.</w:t>
      </w:r>
      <w:r w:rsidRPr="00F933AF">
        <w:rPr>
          <w:rFonts w:cs="Calibri"/>
          <w:sz w:val="14"/>
        </w:rPr>
        <w:t xml:space="preserve"> With the strong support of then governor Pete Wilson and the tidal wave of anti-immigrant sentiment that passed the landmark Proposition 187, DHS and INS viewed the PED pro- grams as an exciting collaborative effort that would lead to greater sharing of information across governmental agencies. With growing interest from neighboring states, PED increasingly pushed the boundaries of immigrant rights, health care access, and constitutional due process. Immigration policies like </w:t>
      </w:r>
      <w:r w:rsidRPr="00F933AF">
        <w:rPr>
          <w:rFonts w:cs="Calibri"/>
          <w:u w:val="single"/>
        </w:rPr>
        <w:t>public charge reinforce the social subordina- tion of immigrants</w:t>
      </w:r>
      <w:r w:rsidRPr="00F933AF">
        <w:rPr>
          <w:rFonts w:cs="Calibri"/>
          <w:sz w:val="14"/>
        </w:rPr>
        <w:t xml:space="preserve"> through programs such as PED, </w:t>
      </w:r>
      <w:r w:rsidRPr="00F933AF">
        <w:rPr>
          <w:rFonts w:cs="Calibri"/>
          <w:u w:val="single"/>
        </w:rPr>
        <w:t>which serve to mark immigrants as in need of surveillance and control</w:t>
      </w:r>
      <w:r w:rsidRPr="00F933AF">
        <w:rPr>
          <w:rFonts w:cs="Calibri"/>
          <w:sz w:val="14"/>
        </w:rPr>
        <w:t xml:space="preserve">. Pregnant immigrant women find themselves in the midst of an intense political debate over not only immigration control but also state control of women’s reproduc- tion. Within this predicament, the deeply racialized nature of immigrant women’s reproduction is evident. </w:t>
      </w:r>
      <w:r w:rsidRPr="00F933AF">
        <w:rPr>
          <w:rFonts w:cs="Calibri"/>
          <w:u w:val="single"/>
        </w:rPr>
        <w:t>For low-income immigrant women of color, having children is considered a selfish act given their national role as temporary workers. This is in stark contrast to understanding the in- fertility of middle-class white women as a “tragedy,” as expressed by many middle-class policy makers and politicians</w:t>
      </w:r>
      <w:r w:rsidRPr="00F933AF">
        <w:rPr>
          <w:rFonts w:cs="Calibri"/>
          <w:sz w:val="14"/>
        </w:rPr>
        <w:t xml:space="preserve">. 19 </w:t>
      </w:r>
      <w:r w:rsidRPr="00F933AF">
        <w:rPr>
          <w:rFonts w:cs="Calibri"/>
          <w:u w:val="single"/>
        </w:rPr>
        <w:t>Arguments that immigrant women “overuse” health care</w:t>
      </w:r>
      <w:r w:rsidRPr="00F933AF">
        <w:rPr>
          <w:rFonts w:cs="Calibri"/>
          <w:sz w:val="14"/>
        </w:rPr>
        <w:t xml:space="preserve"> (meaning they use it at all) </w:t>
      </w:r>
      <w:r w:rsidRPr="00F933AF">
        <w:rPr>
          <w:rFonts w:cs="Calibri"/>
          <w:u w:val="single"/>
        </w:rPr>
        <w:t>and have babies in order to obtain U.S. citizenship question the motive of low-income women in having children</w:t>
      </w:r>
      <w:r w:rsidRPr="00F933AF">
        <w:rPr>
          <w:rFonts w:cs="Calibri"/>
          <w:sz w:val="14"/>
        </w:rPr>
        <w:t xml:space="preserve">. Unfortunately, this latest surfacing of public charge tests will likely not be the last. </w:t>
      </w:r>
      <w:r w:rsidRPr="00F933AF">
        <w:rPr>
          <w:rFonts w:cs="Calibri"/>
          <w:u w:val="single"/>
        </w:rPr>
        <w:t>This legal provision is a powerful tool in its strategic ambiguity and quiet location on the outskirts of public notice.</w:t>
      </w:r>
      <w:r w:rsidRPr="00F933AF">
        <w:rPr>
          <w:rFonts w:cs="Calibri"/>
          <w:sz w:val="14"/>
        </w:rPr>
        <w:t xml:space="preserve"> As an administrative law, </w:t>
      </w:r>
      <w:r w:rsidRPr="00F933AF">
        <w:rPr>
          <w:rFonts w:cs="Calibri"/>
          <w:u w:val="single"/>
        </w:rPr>
        <w:t>public charge is</w:t>
      </w:r>
      <w:r w:rsidRPr="00F933AF">
        <w:rPr>
          <w:rFonts w:cs="Calibri"/>
          <w:sz w:val="14"/>
        </w:rPr>
        <w:t xml:space="preserve"> a statutory provision under the jurisdiction of nonju- dicial staff within government </w:t>
      </w:r>
      <w:r w:rsidRPr="00F933AF">
        <w:rPr>
          <w:rFonts w:cs="Calibri"/>
          <w:u w:val="single"/>
        </w:rPr>
        <w:t>and not subject to oversight by legislatures or courts.</w:t>
      </w:r>
      <w:r w:rsidRPr="00F933AF">
        <w:rPr>
          <w:rFonts w:cs="Calibri"/>
          <w:sz w:val="14"/>
        </w:rPr>
        <w:t xml:space="preserve"> Since its inception in the late 1880s, 20 this administrative law has undergone very little change. The ability to exclude or deport people on the basis of someone potentially becoming a public burden was established as a powerful tool for social engineering purposes. </w:t>
      </w:r>
      <w:r w:rsidRPr="00F933AF">
        <w:rPr>
          <w:rFonts w:cs="Calibri"/>
          <w:u w:val="single"/>
        </w:rPr>
        <w:t>Despite its disreputable history as a frequently used mechanism in the eugenics movement, it continues to exist. This is due in part because public charge provisions maintain the political and economic vulnerability of low-income immi- grants, thereby keeping their labor costs down. In this way, the accusation of public burden was particularly powerful in promoting the neoliberal ideology of personal responsibility.</w:t>
      </w:r>
      <w:r w:rsidRPr="00F933AF">
        <w:rPr>
          <w:rFonts w:cs="Calibri"/>
          <w:sz w:val="14"/>
        </w:rPr>
        <w:t xml:space="preserve"> For Asian and Latino/</w:t>
      </w:r>
      <w:proofErr w:type="gramStart"/>
      <w:r w:rsidRPr="00F933AF">
        <w:rPr>
          <w:rFonts w:cs="Calibri"/>
          <w:sz w:val="14"/>
        </w:rPr>
        <w:t>a</w:t>
      </w:r>
      <w:proofErr w:type="gramEnd"/>
      <w:r w:rsidRPr="00F933AF">
        <w:rPr>
          <w:rFonts w:cs="Calibri"/>
          <w:sz w:val="14"/>
        </w:rPr>
        <w:t xml:space="preserve"> immigrants in the 1990s, their criminalization as public burdens recast their legal behavior as “illegal,” regardless of their actual citizenship status. While Latinas were first targeted in the PED programs as a test case, the focus on Asian immigrants quickly followed. This is further evidence of their shared social location as “unassimilable aliens and permanent virtual immigrants.” 21 It seems the lessons learned from these health care advocates is appli- cable more broadly. In their fight for immigrant women’s access to health care, they learned that each method of expulsion requires constant, careful vigilance and monitoring. There needs to be a systemic analytical approach to these policies to understand the various layers and interconnections of one regulation to another with the goal of devising an effective chal- lenge that will bring together the appropriate people with the necessary information. This is essential to repair the trust that is required to ensure health care access. </w:t>
      </w:r>
      <w:r w:rsidRPr="00F933AF">
        <w:rPr>
          <w:rFonts w:cs="Calibri"/>
          <w:u w:val="single"/>
        </w:rPr>
        <w:t>In the midst of all the many methods of deportation, public charge remains, quietly waiting in the wings, with the potential to resurface in various incarnations—some more egregious than others.</w:t>
      </w:r>
      <w:r w:rsidRPr="00F933AF">
        <w:rPr>
          <w:rFonts w:cs="Calibri"/>
          <w:sz w:val="14"/>
        </w:rPr>
        <w:t xml:space="preserve"> In the end, the community advocates’ successful actions perform a crucial democratic function of governmental checks and balances. The story of public charge administration is one of state power defining who is or is not a burden based upon very narrow and seemingly capricious assessments of a human being’s costs and benefits. In the case of the PED program, the state made ineligible people who were eligible using pro- cedures that violated its own laws. </w:t>
      </w:r>
      <w:r w:rsidRPr="00F933AF">
        <w:rPr>
          <w:rFonts w:cs="Calibri"/>
          <w:b/>
          <w:u w:val="single"/>
        </w:rPr>
        <w:t xml:space="preserve">It is apparent that social justice work cannot focus solely on changing the state. There must be a counterframing of social justice that goes beyond a market-driven definition of responsibility whether of the state or individual. The bright side of this story is that there are people, as part of their everyday lives, who work behind the scenes to do just that. </w:t>
      </w:r>
    </w:p>
    <w:p w:rsidR="00E5343F" w:rsidRPr="00F933AF" w:rsidRDefault="00E5343F" w:rsidP="00E5343F">
      <w:pPr>
        <w:pStyle w:val="Heading4"/>
        <w:rPr>
          <w:rFonts w:cs="Calibri"/>
        </w:rPr>
      </w:pPr>
      <w:r w:rsidRPr="00F933AF">
        <w:rPr>
          <w:rFonts w:cs="Calibri"/>
        </w:rPr>
        <w:t>Removing public charge dismantles a vector of neoliberalism—neoliberal hegemony operates through the triumph of the market over citizenship and silent submission to productivist priorities—the plan disrupts this by pluralizing social need and removing restrictions</w:t>
      </w:r>
    </w:p>
    <w:p w:rsidR="00E5343F" w:rsidRPr="00F933AF" w:rsidRDefault="00E5343F" w:rsidP="00E5343F">
      <w:pPr>
        <w:rPr>
          <w:rFonts w:cs="Calibri"/>
        </w:rPr>
      </w:pPr>
      <w:r w:rsidRPr="00F933AF">
        <w:rPr>
          <w:rFonts w:cs="Calibri"/>
          <w:b/>
        </w:rPr>
        <w:t xml:space="preserve">Hughes 17 </w:t>
      </w:r>
      <w:r w:rsidRPr="00F933AF">
        <w:rPr>
          <w:rFonts w:cs="Calibri"/>
          <w:sz w:val="18"/>
          <w:szCs w:val="18"/>
        </w:rPr>
        <w:t>(Bill Hughes, professor at Glasgow Caledonian University who specializes in Disability Studies, Taylor &amp; Francis Online, “Impairment on the move: the disabled incomer and other invalidating intersections,” Neoliberalism and parasite identities, pg. 475-478, 3/13/17)//jy</w:t>
      </w:r>
    </w:p>
    <w:p w:rsidR="00E5343F" w:rsidRPr="00F933AF" w:rsidRDefault="00E5343F" w:rsidP="00E5343F">
      <w:pPr>
        <w:rPr>
          <w:rFonts w:cs="Calibri"/>
          <w:sz w:val="12"/>
        </w:rPr>
      </w:pPr>
      <w:r w:rsidRPr="00F933AF">
        <w:rPr>
          <w:rFonts w:cs="Calibri"/>
          <w:sz w:val="12"/>
        </w:rPr>
        <w:t xml:space="preserve">Neoliberalism and parasite identities </w:t>
      </w:r>
      <w:proofErr w:type="gramStart"/>
      <w:r w:rsidRPr="00F933AF">
        <w:rPr>
          <w:rFonts w:cs="Calibri"/>
          <w:sz w:val="12"/>
        </w:rPr>
        <w:t>In</w:t>
      </w:r>
      <w:proofErr w:type="gramEnd"/>
      <w:r w:rsidRPr="00F933AF">
        <w:rPr>
          <w:rFonts w:cs="Calibri"/>
          <w:sz w:val="12"/>
        </w:rPr>
        <w:t xml:space="preserve"> the neoliberal era, anxiety in relation to the incomer draws on the bank of negative, intersecting scripts that history has lodged in the archive of disability invalidation. </w:t>
      </w:r>
      <w:r w:rsidRPr="00F933AF">
        <w:rPr>
          <w:rFonts w:cs="Calibri"/>
          <w:u w:val="single"/>
        </w:rPr>
        <w:t>The moral majority, in the heartlands of neoliberalism, has come to resent</w:t>
      </w:r>
      <w:r w:rsidRPr="00F933AF">
        <w:rPr>
          <w:rFonts w:cs="Calibri"/>
          <w:sz w:val="12"/>
        </w:rPr>
        <w:t xml:space="preserve">, above all else, </w:t>
      </w:r>
      <w:r w:rsidRPr="00F933AF">
        <w:rPr>
          <w:rFonts w:cs="Calibri"/>
          <w:u w:val="single"/>
        </w:rPr>
        <w:t>those suspected of making little or no contribution to the commonwealth</w:t>
      </w:r>
      <w:r w:rsidRPr="00F933AF">
        <w:rPr>
          <w:rFonts w:cs="Calibri"/>
          <w:sz w:val="12"/>
        </w:rPr>
        <w:t>. Anti-migration populism (McTernan 2011), including the welfare chauvinism that accompanies it and the despoilment of the deserving status of the disabled claimant, can be located in the same frame of reference. As one commentator noted: ‘</w:t>
      </w:r>
      <w:proofErr w:type="gramStart"/>
      <w:r w:rsidRPr="00F933AF">
        <w:rPr>
          <w:rFonts w:cs="Calibri"/>
          <w:u w:val="single"/>
        </w:rPr>
        <w:t>The</w:t>
      </w:r>
      <w:proofErr w:type="gramEnd"/>
      <w:r w:rsidRPr="00F933AF">
        <w:rPr>
          <w:rFonts w:cs="Calibri"/>
          <w:u w:val="single"/>
        </w:rPr>
        <w:t xml:space="preserve"> illegal immigrant, the benefit scrounger and the criminal are not just parallels … they are intrinsically related both to each other and their shadows, the migrant and the claimant’</w:t>
      </w:r>
      <w:r w:rsidRPr="00F933AF">
        <w:rPr>
          <w:rFonts w:cs="Calibri"/>
          <w:sz w:val="12"/>
        </w:rPr>
        <w:t xml:space="preserve"> (Anderson 2015, 7). </w:t>
      </w:r>
      <w:r w:rsidRPr="00F933AF">
        <w:rPr>
          <w:rFonts w:cs="Calibri"/>
          <w:u w:val="single"/>
        </w:rPr>
        <w:t>The fear that follows these shadows prevails in the normative imaginary in the form of ‘bogus’ racialised refugees and disabled ‘counterfeit citizens’</w:t>
      </w:r>
      <w:r w:rsidRPr="00F933AF">
        <w:rPr>
          <w:rFonts w:cs="Calibri"/>
          <w:sz w:val="12"/>
        </w:rPr>
        <w:t xml:space="preserve"> (Hughes 2015). Both representations of identity embody deception. </w:t>
      </w:r>
      <w:r w:rsidRPr="00F933AF">
        <w:rPr>
          <w:rFonts w:cs="Calibri"/>
          <w:u w:val="single"/>
        </w:rPr>
        <w:t>One of the tensions in the experience of social flux associated with the mass migrations of the neoliberal era is the debate around access to welfare benefits and services:</w:t>
      </w:r>
      <w:r w:rsidRPr="00F933AF">
        <w:rPr>
          <w:rFonts w:cs="Calibri"/>
          <w:sz w:val="12"/>
        </w:rPr>
        <w:t xml:space="preserve"> ‘The growing presence of newcomers … is’, some argue, ‘eroding 476 B. HUGHES the sense of social solidarity on which welfare states are constructed’ (Johnston et al. 2010, 351). In this context</w:t>
      </w:r>
      <w:r w:rsidRPr="00F933AF">
        <w:rPr>
          <w:rFonts w:cs="Calibri"/>
          <w:u w:val="single"/>
        </w:rPr>
        <w:t>, the relationship of asylum seekers and refugees to welfare is represented as parasitic</w:t>
      </w:r>
      <w:r w:rsidRPr="00F933AF">
        <w:rPr>
          <w:rFonts w:cs="Calibri"/>
          <w:sz w:val="12"/>
        </w:rPr>
        <w:t xml:space="preserve"> (Philo, Briant, and Donald 2013). </w:t>
      </w:r>
      <w:r w:rsidRPr="00F933AF">
        <w:rPr>
          <w:rFonts w:cs="Calibri"/>
          <w:u w:val="single"/>
        </w:rPr>
        <w:t>The echo of Ellis Island</w:t>
      </w:r>
      <w:r w:rsidRPr="00F933AF">
        <w:rPr>
          <w:rFonts w:cs="Calibri"/>
          <w:sz w:val="12"/>
        </w:rPr>
        <w:t xml:space="preserve"> – of the likelihood of a ‘</w:t>
      </w:r>
      <w:r w:rsidRPr="00F933AF">
        <w:rPr>
          <w:rFonts w:cs="Calibri"/>
          <w:u w:val="single"/>
        </w:rPr>
        <w:t>public charge’ – is palpable.</w:t>
      </w:r>
      <w:r w:rsidRPr="00F933AF">
        <w:rPr>
          <w:rFonts w:cs="Calibri"/>
          <w:sz w:val="12"/>
        </w:rPr>
        <w:t xml:space="preserve"> Embedded in the popular imaginary in the United Kingdom is the view that the ‘generous’ welfare system is the reason why the country is attractive to those seeking a life of hand-outs and state-funded relaxation. </w:t>
      </w:r>
      <w:r w:rsidRPr="00F933AF">
        <w:rPr>
          <w:rFonts w:cs="Calibri"/>
          <w:u w:val="single"/>
        </w:rPr>
        <w:t>The portrayal of the</w:t>
      </w:r>
      <w:r w:rsidRPr="00F933AF">
        <w:rPr>
          <w:rFonts w:cs="Calibri"/>
          <w:sz w:val="12"/>
        </w:rPr>
        <w:t xml:space="preserve"> British </w:t>
      </w:r>
      <w:r w:rsidRPr="00F933AF">
        <w:rPr>
          <w:rFonts w:cs="Calibri"/>
          <w:u w:val="single"/>
        </w:rPr>
        <w:t>Welfare State as a nirvana of ease for the comfort of global waifs and strays</w:t>
      </w:r>
      <w:r w:rsidRPr="00F933AF">
        <w:rPr>
          <w:rFonts w:cs="Calibri"/>
          <w:sz w:val="12"/>
        </w:rPr>
        <w:t xml:space="preserve"> – what Philo, Briant, and Donald (2013, 35–39) call ‘soft touch Britain’ </w:t>
      </w:r>
      <w:r w:rsidRPr="00F933AF">
        <w:rPr>
          <w:rFonts w:cs="Calibri"/>
          <w:u w:val="single"/>
        </w:rPr>
        <w:t>– validates benefit cuts for disabled people who have been ‘tarred with the same brush’ as ‘alien scroungers’. Punishment for the poor masquerades under the populist, neoliberal euphemism of ‘welfare reform</w:t>
      </w:r>
      <w:r w:rsidRPr="00F933AF">
        <w:rPr>
          <w:rFonts w:cs="Calibri"/>
          <w:sz w:val="12"/>
        </w:rPr>
        <w:t xml:space="preserve">’. Access to welfare benefits and services for ‘incomers’ and </w:t>
      </w:r>
      <w:r w:rsidRPr="00F933AF">
        <w:rPr>
          <w:rFonts w:cs="Calibri"/>
          <w:u w:val="single"/>
        </w:rPr>
        <w:t>disabled locals has been subjected to progressive</w:t>
      </w:r>
      <w:r w:rsidRPr="00F933AF">
        <w:rPr>
          <w:rFonts w:cs="Calibri"/>
          <w:sz w:val="12"/>
        </w:rPr>
        <w:t xml:space="preserve"> (sic) </w:t>
      </w:r>
      <w:r w:rsidRPr="00F933AF">
        <w:rPr>
          <w:rFonts w:cs="Calibri"/>
          <w:u w:val="single"/>
        </w:rPr>
        <w:t>restriction, with both parties conflated in common scripts of undesirability in which they are represented as idle by lifestyle choice</w:t>
      </w:r>
      <w:r w:rsidRPr="00F933AF">
        <w:rPr>
          <w:rFonts w:cs="Calibri"/>
          <w:sz w:val="12"/>
        </w:rPr>
        <w:t xml:space="preserve">. In Boswell’s (2003) view </w:t>
      </w:r>
      <w:r w:rsidRPr="00F933AF">
        <w:rPr>
          <w:rFonts w:cs="Calibri"/>
          <w:u w:val="single"/>
        </w:rPr>
        <w:t>it has become the convention</w:t>
      </w:r>
      <w:r w:rsidRPr="00F933AF">
        <w:rPr>
          <w:rFonts w:cs="Calibri"/>
          <w:sz w:val="12"/>
        </w:rPr>
        <w:t>, not just in Britain but throughout Europe</w:t>
      </w:r>
      <w:r w:rsidRPr="00F933AF">
        <w:rPr>
          <w:rFonts w:cs="Calibri"/>
          <w:u w:val="single"/>
        </w:rPr>
        <w:t>, to interpret the immigrant as a burden who comes uninvited, to drain resources by either seeking an idle life on benefits or through making demands on housing, education and assistance which local communities can ill afford</w:t>
      </w:r>
      <w:r w:rsidRPr="00F933AF">
        <w:rPr>
          <w:rFonts w:cs="Calibri"/>
          <w:sz w:val="12"/>
        </w:rPr>
        <w:t xml:space="preserve">. As well as home-grown layabouts, there are ‘hordes’ of ‘alien’ beggars, we hear, waiting at the border. Neoliberal Britain has made significant headway in dismantling the ‘safety net’ of welfare support that once helped to protect disabled people from the discrimination and exclusion built into the social fabric. One calculation suggests that from 2010 to 2012 ‘disabled people and their carer’s have seen their income collectively cut by £500 million’ (Butler 2012). Changes to 13 benefits available to disabled people prior to the welfare ‘reforms’ of 2011 will result, by 2018, in a loss of income of £28.3 billion for the 3.7 million disabled people who live in the United Kingdom (Demos 2013). </w:t>
      </w:r>
      <w:r w:rsidRPr="00F933AF">
        <w:rPr>
          <w:rFonts w:cs="Calibri"/>
          <w:u w:val="single"/>
        </w:rPr>
        <w:t>The use of insidious representation of disabled people as benefit cheats and mendicants without begging bowls has been widely deployed to discredit disabled claimants</w:t>
      </w:r>
      <w:r w:rsidRPr="00F933AF">
        <w:rPr>
          <w:rFonts w:cs="Calibri"/>
          <w:sz w:val="12"/>
        </w:rPr>
        <w:t xml:space="preserve"> (Briant, Watson, and Philo 2013</w:t>
      </w:r>
      <w:r w:rsidRPr="00F933AF">
        <w:rPr>
          <w:rFonts w:cs="Calibri"/>
          <w:sz w:val="14"/>
          <w:szCs w:val="14"/>
        </w:rPr>
        <w:t>)</w:t>
      </w:r>
      <w:r w:rsidRPr="00F933AF">
        <w:rPr>
          <w:rFonts w:cs="Calibri"/>
          <w:u w:val="single"/>
        </w:rPr>
        <w:t xml:space="preserve"> and to legitimate the swingeing cuts. A normative reconstruction of disability is a priority for the neoliberal state.</w:t>
      </w:r>
      <w:r w:rsidRPr="00F933AF">
        <w:rPr>
          <w:rFonts w:cs="Calibri"/>
          <w:sz w:val="12"/>
        </w:rPr>
        <w:t xml:space="preserve"> Repertoires of invalidation undermining the ‘deserving’ status of those who make claims on the public purse have been mobilised. </w:t>
      </w:r>
      <w:r w:rsidRPr="00F933AF">
        <w:rPr>
          <w:rFonts w:cs="Calibri"/>
          <w:u w:val="single"/>
        </w:rPr>
        <w:t>The privatisation and deregulation of the ethics and politics of care is largely dependent on discrediting the character of disabled people</w:t>
      </w:r>
      <w:r w:rsidRPr="00F933AF">
        <w:rPr>
          <w:rFonts w:cs="Calibri"/>
          <w:sz w:val="12"/>
        </w:rPr>
        <w:t xml:space="preserve">; a task for which there are many historical examples, for advocates of neoliberal policies, to draw upon (Hughes 2015). The beggar, w DISABILITY &amp; SOCIETY 477 territory beyond. Folk devils congregate outside the virtuous circle of citizenship, looking for opportunities to break through the walls and disturb its decency. </w:t>
      </w:r>
      <w:r w:rsidRPr="00F933AF">
        <w:rPr>
          <w:rFonts w:cs="Calibri"/>
          <w:u w:val="single"/>
        </w:rPr>
        <w:t>The moral calculi that keeps ‘them’ out focuses on the ‘crookedness’ of disability</w:t>
      </w:r>
      <w:r w:rsidRPr="00F933AF">
        <w:rPr>
          <w:rFonts w:cs="Calibri"/>
          <w:sz w:val="12"/>
        </w:rPr>
        <w:t xml:space="preserve"> (Briant, Watson, and Philo 2013; Garthwaite 2011) and the criminality of the incomer (see, for example, Banks 2008; Webber 2008). </w:t>
      </w:r>
      <w:r w:rsidRPr="00F933AF">
        <w:rPr>
          <w:rFonts w:cs="Calibri"/>
          <w:u w:val="single"/>
        </w:rPr>
        <w:t>Meanwhile, the ‘virtuous citizen’ feels the economic pain; growing resentful at having to dig deep into threadbare pockets to save foreigners from destitution and to subsidise the idleness of disabled benefit fraudsters. The moral calculus that kept migrating disabled bodies on the wrong side of the pearly gates is</w:t>
      </w:r>
      <w:r w:rsidRPr="00F933AF">
        <w:rPr>
          <w:rFonts w:cs="Calibri"/>
          <w:sz w:val="12"/>
        </w:rPr>
        <w:t xml:space="preserve">, in the Ellis Island and contemporary UK examples, repositioned as, primarily, </w:t>
      </w:r>
      <w:r w:rsidRPr="00F933AF">
        <w:rPr>
          <w:rFonts w:cs="Calibri"/>
          <w:u w:val="single"/>
        </w:rPr>
        <w:t>a matter of economic parsimony.</w:t>
      </w:r>
      <w:r w:rsidRPr="00F933AF">
        <w:rPr>
          <w:rFonts w:cs="Calibri"/>
          <w:sz w:val="12"/>
        </w:rPr>
        <w:t xml:space="preserve"> Yet </w:t>
      </w:r>
      <w:r w:rsidRPr="00F933AF">
        <w:rPr>
          <w:rFonts w:cs="Calibri"/>
          <w:u w:val="single"/>
        </w:rPr>
        <w:t>the same scripts of moral degeneracy</w:t>
      </w:r>
      <w:r w:rsidRPr="00F933AF">
        <w:rPr>
          <w:rFonts w:cs="Calibri"/>
          <w:sz w:val="12"/>
        </w:rPr>
        <w:t xml:space="preserve"> – applied at the intersection between disabled people and incoming foreigners – </w:t>
      </w:r>
      <w:r w:rsidRPr="00F933AF">
        <w:rPr>
          <w:rFonts w:cs="Calibri"/>
          <w:u w:val="single"/>
        </w:rPr>
        <w:t>are used to legitimate the tightening of the purse strings to the ‘crippling’ material disadvantage of those least able to afford it</w:t>
      </w:r>
      <w:r w:rsidRPr="00F933AF">
        <w:rPr>
          <w:rFonts w:cs="Calibri"/>
          <w:sz w:val="12"/>
        </w:rPr>
        <w:t xml:space="preserve">. Michael Keith (2013, 27) calls the contemporary ‘campaign’ of nefarious representation against, and criminalisation of, asylum seekers and refugees a manifestation of the ‘bigot’s calculus at the cost of arrivals’. He strips back the anti-immigrant narrative to its locus in greed. On a parallel note one might speak of the ‘miser’s calculus’; the cost that ‘virtuous citizens’ feel they pay for ‘bogus incapacity’, for people ‘pretending to be disabled’, ‘swinging-the-lead’, playing-up their impairments in order to dupe the custodians of the public purse into doling out billions to counterfeit claims for disability benefits. </w:t>
      </w:r>
      <w:r w:rsidRPr="00F933AF">
        <w:rPr>
          <w:rFonts w:cs="Calibri"/>
          <w:u w:val="single"/>
        </w:rPr>
        <w:t>The bigot’s calculus epitomises the neoliberal mind-set. It equates not to the hard currency costs of ‘looking after immigrants’</w:t>
      </w:r>
      <w:r w:rsidRPr="00F933AF">
        <w:rPr>
          <w:rFonts w:cs="Calibri"/>
          <w:sz w:val="12"/>
        </w:rPr>
        <w:t xml:space="preserve"> – a complaint that has never been translated into a believable bottom line – </w:t>
      </w:r>
      <w:r w:rsidRPr="00F933AF">
        <w:rPr>
          <w:rFonts w:cs="Calibri"/>
          <w:u w:val="single"/>
        </w:rPr>
        <w:t>but to the wrath, invective and hostility that it musters in press and</w:t>
      </w:r>
      <w:r w:rsidRPr="00F933AF">
        <w:rPr>
          <w:rFonts w:cs="Calibri"/>
          <w:sz w:val="12"/>
        </w:rPr>
        <w:t xml:space="preserve"> population (Leudar et al. 2008). Likewise, the miser’s calculus, mobilised by those who like to ‘bash’ disabled benefits claimants, is measured out in accusations of laziness and fraudulent conduct (Briant, Watson, and Philo 2013; Garthwaite 2011). </w:t>
      </w:r>
      <w:r w:rsidRPr="00F933AF">
        <w:rPr>
          <w:rFonts w:cs="Calibri"/>
          <w:u w:val="single"/>
        </w:rPr>
        <w:t>These repertoires of invalidation, focused on the so-called abuse of the welfare system by the marginalised and disadvantaged, are strikingly commensurate, with the lynchpins of neoliberal economics and social politics which has brought about the ‘triumph of the market over citizenship</w:t>
      </w:r>
      <w:r w:rsidRPr="00F933AF">
        <w:rPr>
          <w:rFonts w:cs="Calibri"/>
          <w:sz w:val="12"/>
        </w:rPr>
        <w:t xml:space="preserve"> ‘(Crouch, Eder, and Tambini 2001, 11</w:t>
      </w:r>
      <w:r w:rsidRPr="00F933AF">
        <w:rPr>
          <w:rFonts w:cs="Calibri"/>
          <w:u w:val="single"/>
        </w:rPr>
        <w:t>) and the ‘the silent surrender of public responsibility’</w:t>
      </w:r>
      <w:r w:rsidRPr="00F933AF">
        <w:rPr>
          <w:rFonts w:cs="Calibri"/>
          <w:sz w:val="12"/>
        </w:rPr>
        <w:t xml:space="preserve"> (Gilbert 2004). </w:t>
      </w:r>
      <w:r w:rsidRPr="00F933AF">
        <w:rPr>
          <w:rFonts w:cs="Calibri"/>
          <w:u w:val="single"/>
        </w:rPr>
        <w:t xml:space="preserve">Both </w:t>
      </w:r>
      <w:r w:rsidRPr="00F933AF">
        <w:rPr>
          <w:rFonts w:cs="Calibri"/>
          <w:b/>
          <w:u w:val="single"/>
        </w:rPr>
        <w:t>the triumph and the surrender ensure that a politics of hospitality and care is de-legitimated. The neoliberal hegemony is working hard to ensure that social need is individualised, the moral economy privatised and national borders water-tight</w:t>
      </w:r>
      <w:r w:rsidRPr="00F933AF">
        <w:rPr>
          <w:rFonts w:cs="Calibri"/>
          <w:u w:val="single"/>
        </w:rPr>
        <w:t>. ‘</w:t>
      </w:r>
      <w:r w:rsidRPr="00F933AF">
        <w:rPr>
          <w:rFonts w:cs="Calibri"/>
          <w:sz w:val="12"/>
        </w:rPr>
        <w:t xml:space="preserve">Brexit’ – a political phenomenon that has invested heavily in cultural racism and ableism – is its latest manifestation. The migrant as foreign welfare burden is a theme that replays the emotional and economic sentiments that shape the contemporary disability/non-disability relationship. It is a key test of tolerance and a quandary around which the social relations of hospitality and care are stretched. The growth of intolerance to mass migration and multiculturalism in the United Kingdom and more widely in Europe and the Global North is aligned – fittingly for neoliberals – with intolerance for 478 B. HUGHES home-grown ‘dependency’. The ranks of the deserving are redefined by administrative fiat. The shutters at the borders are battened down. The ‘scroungers within’ have new allies in idleness who are at the gates and keen to swell their ranks. </w:t>
      </w:r>
      <w:r w:rsidRPr="00F933AF">
        <w:rPr>
          <w:rFonts w:cs="Calibri"/>
          <w:u w:val="single"/>
        </w:rPr>
        <w:t>Neoliberalism closes down the social state to the detriment of disabled people. Simultaneously, it re-imagines migration in terms of productivist priorities to the detriment of people trapped in situations of violence and persecution</w:t>
      </w:r>
      <w:r w:rsidRPr="00F933AF">
        <w:rPr>
          <w:rFonts w:cs="Calibri"/>
          <w:sz w:val="12"/>
        </w:rPr>
        <w:t xml:space="preserve">. Both </w:t>
      </w:r>
      <w:r w:rsidRPr="00F933AF">
        <w:rPr>
          <w:rFonts w:cs="Calibri"/>
          <w:u w:val="single"/>
        </w:rPr>
        <w:t>disabled people and immigrants</w:t>
      </w:r>
      <w:r w:rsidRPr="00F933AF">
        <w:rPr>
          <w:rFonts w:cs="Calibri"/>
          <w:sz w:val="12"/>
        </w:rPr>
        <w:t xml:space="preserve"> are subjected to similar ‘scripts’ or repertoires of invalidation; to the same sneering language of abjection. ‘They’ </w:t>
      </w:r>
      <w:r w:rsidRPr="00F933AF">
        <w:rPr>
          <w:rFonts w:cs="Calibri"/>
          <w:u w:val="single"/>
        </w:rPr>
        <w:t>are the ubiquitous other</w:t>
      </w:r>
      <w:r w:rsidRPr="00F933AF">
        <w:rPr>
          <w:rFonts w:cs="Calibri"/>
          <w:sz w:val="12"/>
        </w:rPr>
        <w:t xml:space="preserve">. They take but do not give. The United Kingdom provides a case study of a society witnessing not only the collapse of hospitality and compassion but worse; the stigmatisation of those very people – non-white, disabled, impoverished – who are the exemplary products of ‘negative globalisation’ and the injustice it generates (Bauman 2007). The demonisation of disabled people and of ethnic immigrants, who make any kind of claim on the community, has become commonplace. </w:t>
      </w:r>
      <w:r w:rsidRPr="00F933AF">
        <w:rPr>
          <w:rFonts w:cs="Calibri"/>
          <w:u w:val="single"/>
        </w:rPr>
        <w:t>They are portrayed</w:t>
      </w:r>
      <w:r w:rsidRPr="00F933AF">
        <w:rPr>
          <w:rFonts w:cs="Calibri"/>
          <w:sz w:val="12"/>
        </w:rPr>
        <w:t xml:space="preserve"> (interchangeably) </w:t>
      </w:r>
      <w:r w:rsidRPr="00F933AF">
        <w:rPr>
          <w:rFonts w:cs="Calibri"/>
          <w:u w:val="single"/>
        </w:rPr>
        <w:t>as stalwarts of contemporary mendicancy; part of the abject underclass of contemporary neoliberalism</w:t>
      </w:r>
      <w:r w:rsidRPr="00F933AF">
        <w:rPr>
          <w:rFonts w:cs="Calibri"/>
          <w:sz w:val="12"/>
        </w:rPr>
        <w:t xml:space="preserve"> (Tyler 2013).</w:t>
      </w:r>
    </w:p>
    <w:p w:rsidR="00CE6D10" w:rsidRPr="00F933AF" w:rsidRDefault="00CE6D10" w:rsidP="00CE6D10">
      <w:pPr>
        <w:pStyle w:val="Heading4"/>
        <w:rPr>
          <w:rFonts w:cs="Calibri"/>
        </w:rPr>
      </w:pPr>
      <w:r w:rsidRPr="00F933AF">
        <w:rPr>
          <w:rFonts w:cs="Calibri"/>
        </w:rPr>
        <w:t xml:space="preserve">The aff is necessary to challenge notions of citizenship and unravel the government’s denial and exclusion that relegate those deemed disabled to third-class citizenship </w:t>
      </w:r>
    </w:p>
    <w:p w:rsidR="00CE6D10" w:rsidRPr="00F933AF" w:rsidRDefault="00CE6D10" w:rsidP="00CE6D10">
      <w:pPr>
        <w:rPr>
          <w:rFonts w:cs="Calibri"/>
        </w:rPr>
      </w:pPr>
      <w:r w:rsidRPr="00F933AF">
        <w:rPr>
          <w:rStyle w:val="Style13ptBold"/>
          <w:rFonts w:cs="Calibri"/>
        </w:rPr>
        <w:t>Hirschman and Linker 15</w:t>
      </w:r>
      <w:r w:rsidRPr="00F933AF">
        <w:rPr>
          <w:rStyle w:val="Style13ptBold"/>
          <w:rFonts w:cs="Calibri"/>
          <w:b w:val="0"/>
          <w:color w:val="000000" w:themeColor="text1"/>
          <w:sz w:val="16"/>
          <w:szCs w:val="16"/>
        </w:rPr>
        <w:t xml:space="preserve"> (Nancy</w:t>
      </w:r>
      <w:r w:rsidRPr="00F933AF">
        <w:rPr>
          <w:rStyle w:val="Style13ptBold"/>
          <w:rFonts w:cs="Calibri"/>
          <w:color w:val="000000" w:themeColor="text1"/>
          <w:sz w:val="16"/>
          <w:szCs w:val="16"/>
        </w:rPr>
        <w:t xml:space="preserve"> - </w:t>
      </w:r>
      <w:r w:rsidRPr="00F933AF">
        <w:rPr>
          <w:rFonts w:cs="Calibri"/>
          <w:color w:val="000000" w:themeColor="text1"/>
          <w:sz w:val="16"/>
          <w:szCs w:val="16"/>
          <w:shd w:val="clear" w:color="auto" w:fill="FFFFFF"/>
        </w:rPr>
        <w:t>Professor of Politics at the University of Pennsylvania; her specialties are the history of political thought, analytical philosophy, feminist theory, disability theory</w:t>
      </w:r>
      <w:r w:rsidRPr="00F933AF">
        <w:rPr>
          <w:rFonts w:cs="Calibri"/>
          <w:color w:val="000000" w:themeColor="text1"/>
          <w:sz w:val="16"/>
          <w:szCs w:val="16"/>
        </w:rPr>
        <w:t xml:space="preserve"> </w:t>
      </w:r>
      <w:r w:rsidRPr="00F933AF">
        <w:rPr>
          <w:rStyle w:val="Style13ptBold"/>
          <w:rFonts w:cs="Calibri"/>
          <w:b w:val="0"/>
          <w:color w:val="000000" w:themeColor="text1"/>
          <w:sz w:val="16"/>
          <w:szCs w:val="16"/>
        </w:rPr>
        <w:t>and Beth -</w:t>
      </w:r>
      <w:r w:rsidRPr="00F933AF">
        <w:rPr>
          <w:rStyle w:val="Style13ptBold"/>
          <w:rFonts w:cs="Calibri"/>
          <w:color w:val="000000" w:themeColor="text1"/>
          <w:sz w:val="16"/>
          <w:szCs w:val="16"/>
        </w:rPr>
        <w:t xml:space="preserve"> </w:t>
      </w:r>
      <w:r w:rsidRPr="00F933AF">
        <w:rPr>
          <w:rFonts w:cs="Calibri"/>
          <w:color w:val="000000" w:themeColor="text1"/>
          <w:sz w:val="16"/>
          <w:szCs w:val="16"/>
          <w:shd w:val="clear" w:color="auto" w:fill="FFFFFF"/>
        </w:rPr>
        <w:t>Associate Professor at the University of Pennsylvania in the Department of the History and Sociology of Science “Civil Disabilities” Disability, Citizenship, and Belonging: A Critical Introduction pp. 4-5)mr</w:t>
      </w:r>
      <w:r w:rsidRPr="00F933AF">
        <w:rPr>
          <w:rFonts w:cs="Calibri"/>
          <w:color w:val="000000" w:themeColor="text1"/>
          <w:shd w:val="clear" w:color="auto" w:fill="FFFFFF"/>
        </w:rPr>
        <w:t xml:space="preserve"> </w:t>
      </w:r>
    </w:p>
    <w:p w:rsidR="00CE6D10" w:rsidRDefault="00CE6D10" w:rsidP="00CE6D10">
      <w:pPr>
        <w:rPr>
          <w:rFonts w:cs="Calibri"/>
          <w:sz w:val="16"/>
        </w:rPr>
      </w:pPr>
      <w:r w:rsidRPr="00F933AF">
        <w:rPr>
          <w:rFonts w:cs="Calibri"/>
          <w:sz w:val="16"/>
        </w:rPr>
        <w:t xml:space="preserve">Similar variability characterizes the concept of citizenship. This might seem counterintuitive, for </w:t>
      </w:r>
      <w:r w:rsidRPr="00F933AF">
        <w:rPr>
          <w:rFonts w:cs="Calibri"/>
          <w:u w:val="single"/>
        </w:rPr>
        <w:t>the concept of citizenship might seem</w:t>
      </w:r>
      <w:r w:rsidRPr="00F933AF">
        <w:rPr>
          <w:rFonts w:cs="Calibri"/>
          <w:sz w:val="16"/>
        </w:rPr>
        <w:t xml:space="preserve"> </w:t>
      </w:r>
      <w:proofErr w:type="gramStart"/>
      <w:r w:rsidRPr="00F933AF">
        <w:rPr>
          <w:rFonts w:cs="Calibri"/>
          <w:sz w:val="16"/>
        </w:rPr>
        <w:t>to</w:t>
      </w:r>
      <w:proofErr w:type="gramEnd"/>
      <w:r w:rsidRPr="00F933AF">
        <w:rPr>
          <w:rFonts w:cs="Calibri"/>
          <w:sz w:val="16"/>
        </w:rPr>
        <w:t xml:space="preserve"> many, particularly from the United States and Western Eu rope, </w:t>
      </w:r>
      <w:r w:rsidRPr="00F933AF">
        <w:rPr>
          <w:rFonts w:cs="Calibri"/>
          <w:u w:val="single"/>
        </w:rPr>
        <w:t>a fairly straightforward matter of deciding who is and who is not one. Many of us think of citizenship as individual rights conferred on us by a certain nation-state.</w:t>
      </w:r>
      <w:r w:rsidRPr="00F933AF">
        <w:rPr>
          <w:rFonts w:cs="Calibri"/>
          <w:sz w:val="16"/>
        </w:rPr>
        <w:t xml:space="preserve"> Or, as sociologist T. H. Marshall put it, citizenship is “composed of the rights necessary for individual freedom— liberty of the person, freedom of speech, thought and faith, the right to own property and to conclude valid contracts, and the right to justice.”20 </w:t>
      </w:r>
      <w:r w:rsidRPr="00F933AF">
        <w:rPr>
          <w:rFonts w:cs="Calibri"/>
          <w:u w:val="single"/>
        </w:rPr>
        <w:t>Because we often take citizenship to be defined by a circumscribed nation-state, the notion becomes almost indistinguishable from national identity.</w:t>
      </w:r>
      <w:r w:rsidRPr="00F933AF">
        <w:rPr>
          <w:rFonts w:cs="Calibri"/>
          <w:sz w:val="16"/>
        </w:rPr>
        <w:t xml:space="preserve"> Citizenship thus usually entails an attachment to a specific locality; we are citizens of something, generally a nation, but alternatively (or at the same time) of states, cities, towns, or even organizations.21 But as Willem Maas observes, </w:t>
      </w:r>
      <w:r w:rsidRPr="00F933AF">
        <w:rPr>
          <w:rFonts w:cs="Calibri"/>
          <w:u w:val="single"/>
        </w:rPr>
        <w:t>we live a “multilevel citizenship” on “nested and overlapping geographical levels: citizenship not only of the state but also of substate, suprastate, or nonstate political communities</w:t>
      </w:r>
      <w:r w:rsidRPr="00F933AF">
        <w:rPr>
          <w:rFonts w:cs="Calibri"/>
          <w:sz w:val="16"/>
        </w:rPr>
        <w:t xml:space="preserve">.”22 Indeed, </w:t>
      </w:r>
      <w:r w:rsidRPr="00F933AF">
        <w:rPr>
          <w:rFonts w:cs="Calibri"/>
          <w:u w:val="single"/>
        </w:rPr>
        <w:t>citizenship is often applied to communities that are arguably apolitical.</w:t>
      </w:r>
      <w:r w:rsidRPr="00F933AF">
        <w:rPr>
          <w:rFonts w:cs="Calibri"/>
          <w:sz w:val="16"/>
        </w:rPr>
        <w:t xml:space="preserve"> People who are considered “good citizens” include colleagues who are conscientious about ser vice on university committees, neighbors involved in civic boosterism and civic pride in our local town or borough, and parents who help out in the local public schools and coach local sports teams. </w:t>
      </w:r>
      <w:r w:rsidRPr="00F933AF">
        <w:rPr>
          <w:rFonts w:cs="Calibri"/>
          <w:u w:val="single"/>
        </w:rPr>
        <w:t>Citizenship implies belonging to a group, society, and culture:</w:t>
      </w:r>
      <w:r w:rsidRPr="00F933AF">
        <w:rPr>
          <w:rFonts w:cs="Calibri"/>
          <w:sz w:val="16"/>
        </w:rPr>
        <w:t xml:space="preserve"> our neighbors, the parents of our children’s classmates, the congregants of our churches, or the residents of our towns, our counties, our states, and our nation. Such varieties of belonging already suggest that citizenship is not as simple and straightforward as some might think. And even the mainstream definition is complicated by the fact that people can be citizens of more than one state at a time, or of states and federations, such as the European Union or, indeed, the United States, where we are citizens of states and of the nation. Legal theorist Linda Bosniak calls citizenship “multivalent,” containing “a basic ethical ambiguity” between aspirations of inclusion and realities of exclusion.23 Lauren Berlant maintains that “citizenship is a status whose definitions are always in process.”24 Legal theorists Linda McClain and Joanna Grossman similarly view “citizenship as a non-unitary and evolving concept.”25 This can lead to a great deal of vagueness in how the term is used— sometimes as a synonym for “human being,” sometimes as a stand- in for “local resident,” and sometimes as a more specific legal category. Disability scholars Marcia Rioux and Fraser Valentine note that </w:t>
      </w:r>
      <w:r w:rsidRPr="00F933AF">
        <w:rPr>
          <w:rFonts w:cs="Calibri"/>
          <w:b/>
          <w:u w:val="single"/>
        </w:rPr>
        <w:t>citizenship is</w:t>
      </w:r>
      <w:r w:rsidRPr="00F933AF">
        <w:rPr>
          <w:rFonts w:cs="Calibri"/>
          <w:u w:val="single"/>
        </w:rPr>
        <w:t xml:space="preserve"> “a messy concept” that “constructs a system of inclusion and exclusion, defining boundaries </w:t>
      </w:r>
      <w:r w:rsidRPr="00F933AF">
        <w:rPr>
          <w:rFonts w:cs="Calibri"/>
          <w:b/>
          <w:u w:val="single"/>
        </w:rPr>
        <w:t>between who belongs and who does not, who enjoys the privileges (and duties) associated with membership and who is denied such privileges</w:t>
      </w:r>
      <w:r w:rsidRPr="00F933AF">
        <w:rPr>
          <w:rFonts w:cs="Calibri"/>
          <w:u w:val="single"/>
        </w:rPr>
        <w:t>.</w:t>
      </w:r>
      <w:r w:rsidRPr="00F933AF">
        <w:rPr>
          <w:rFonts w:cs="Calibri"/>
          <w:sz w:val="16"/>
        </w:rPr>
        <w:t xml:space="preserve">”26 Hence </w:t>
      </w:r>
      <w:r w:rsidRPr="00F933AF">
        <w:rPr>
          <w:rFonts w:cs="Calibri"/>
          <w:u w:val="single"/>
        </w:rPr>
        <w:t>“citizenship” as a term in both everyday language and scholarly discourse often holds a much broader meaning than the narrow confines of voting, military service, paying taxes, or even jury service</w:t>
      </w:r>
      <w:r w:rsidRPr="00F933AF">
        <w:rPr>
          <w:rFonts w:cs="Calibri"/>
          <w:sz w:val="16"/>
        </w:rPr>
        <w:t>. As philosopher Marilyn Friedman notes, “Citizenship is multiple and various. It can be an identity; a set of rights, privileges, and duties; an elevated and exclusionary political status; a relationship between individuals and their states; a set of practices that can unify— or divide— the members of a political community; and an ideal of political agency.”27 Supreme Court justice Ruth Bader Ginsburg noted in United States v. Virginia that “</w:t>
      </w:r>
      <w:r w:rsidRPr="00F933AF">
        <w:rPr>
          <w:rFonts w:cs="Calibri"/>
          <w:u w:val="single"/>
        </w:rPr>
        <w:t>full citizenship stature” for all people entails “equal opportunity to aspire, achieve, participate in and contribute to society based on their individual talents and capacities.</w:t>
      </w:r>
      <w:r w:rsidRPr="00F933AF">
        <w:rPr>
          <w:rFonts w:cs="Calibri"/>
          <w:sz w:val="16"/>
        </w:rPr>
        <w:t>”28 These views are echoed by disability scholar Michael Prince, who maintains that “</w:t>
      </w:r>
      <w:r w:rsidRPr="00F933AF">
        <w:rPr>
          <w:rFonts w:cs="Calibri"/>
          <w:u w:val="single"/>
        </w:rPr>
        <w:t>citizenship goes well beyond legal and governmental</w:t>
      </w:r>
      <w:r w:rsidRPr="00F933AF">
        <w:rPr>
          <w:rFonts w:cs="Calibri"/>
          <w:sz w:val="16"/>
        </w:rPr>
        <w:t xml:space="preserve"> </w:t>
      </w:r>
      <w:r w:rsidRPr="00F933AF">
        <w:rPr>
          <w:rFonts w:cs="Calibri"/>
          <w:u w:val="single"/>
        </w:rPr>
        <w:t>conceptions to embrace economic and sociological notions of participation, reciprocity, and autonomy”; it is constituted by “full membership in communities.</w:t>
      </w:r>
      <w:r w:rsidRPr="00F933AF">
        <w:rPr>
          <w:rFonts w:cs="Calibri"/>
          <w:sz w:val="16"/>
        </w:rPr>
        <w:t xml:space="preserve">”29 Indeed, community is vitally important to citizenship, particularly from a disability perspective. As T. H. Marshall notes, “There is a kind of basic human equality associated with the concept of full membership of a community— or . . . citizenship… Citizenship requires . . . a direct sense of community membership based on loyalty to a civilization which is a common possession.”30 But </w:t>
      </w:r>
      <w:r w:rsidRPr="00F933AF">
        <w:rPr>
          <w:rFonts w:cs="Calibri"/>
          <w:u w:val="single"/>
        </w:rPr>
        <w:t>citizenship can also be a force that marginalizes some members</w:t>
      </w:r>
      <w:r w:rsidRPr="00F933AF">
        <w:rPr>
          <w:rFonts w:cs="Calibri"/>
          <w:sz w:val="16"/>
        </w:rPr>
        <w:t xml:space="preserve"> and thus damages a genuine sense of community, </w:t>
      </w:r>
      <w:r w:rsidRPr="00F933AF">
        <w:rPr>
          <w:rFonts w:cs="Calibri"/>
          <w:b/>
          <w:u w:val="single"/>
        </w:rPr>
        <w:t>setting up a dichotomy between a privileged class that grants citizenship and a subservient class on which this status may or may not be conferred.</w:t>
      </w:r>
      <w:r w:rsidRPr="00F933AF">
        <w:rPr>
          <w:rFonts w:cs="Calibri"/>
          <w:sz w:val="16"/>
        </w:rPr>
        <w:t xml:space="preserve"> </w:t>
      </w:r>
      <w:r w:rsidRPr="00F933AF">
        <w:rPr>
          <w:rFonts w:cs="Calibri"/>
          <w:u w:val="single"/>
        </w:rPr>
        <w:t>In the United States</w:t>
      </w:r>
      <w:r w:rsidRPr="00F933AF">
        <w:rPr>
          <w:rFonts w:cs="Calibri"/>
          <w:sz w:val="16"/>
        </w:rPr>
        <w:t xml:space="preserve">, as in many Western nations, </w:t>
      </w:r>
      <w:r w:rsidRPr="00F933AF">
        <w:rPr>
          <w:rFonts w:cs="Calibri"/>
          <w:u w:val="single"/>
        </w:rPr>
        <w:t>white, Anglo-Saxon, property-owning men have often considered themselves the ones in charge of granting such status.</w:t>
      </w:r>
      <w:r w:rsidRPr="00F933AF">
        <w:rPr>
          <w:rFonts w:cs="Calibri"/>
          <w:sz w:val="16"/>
        </w:rPr>
        <w:t xml:space="preserve"> Men bearing full rights of citizenship have been generally nondisabled as well, with the ambiguous exception of disabled war veterans, who are at once lauded as heroes and simultaneously pushed aside by an unaccommodating society.31 </w:t>
      </w:r>
      <w:proofErr w:type="gramStart"/>
      <w:r w:rsidRPr="00F933AF">
        <w:rPr>
          <w:rFonts w:cs="Calibri"/>
          <w:b/>
          <w:u w:val="single"/>
        </w:rPr>
        <w:t>Even</w:t>
      </w:r>
      <w:proofErr w:type="gramEnd"/>
      <w:r w:rsidRPr="00F933AF">
        <w:rPr>
          <w:rFonts w:cs="Calibri"/>
          <w:b/>
          <w:u w:val="single"/>
        </w:rPr>
        <w:t xml:space="preserve"> under a purely legalistic definition of citizenship, however, many of these de facto exclusions are not legitimate</w:t>
      </w:r>
      <w:r w:rsidRPr="00F933AF">
        <w:rPr>
          <w:rFonts w:cs="Calibri"/>
          <w:sz w:val="16"/>
        </w:rPr>
        <w:t xml:space="preserve">. Consider, for instance, that </w:t>
      </w:r>
      <w:r w:rsidRPr="00F933AF">
        <w:rPr>
          <w:rFonts w:cs="Calibri"/>
          <w:u w:val="single"/>
        </w:rPr>
        <w:t>under the Fourteenth Amendment of the U.S. Constitution, “All persons born or naturalized in the United States, and subject to the jurisdiction thereof, are citizens of the United States and of the State wherein they reside</w:t>
      </w:r>
      <w:r w:rsidRPr="00F933AF">
        <w:rPr>
          <w:rFonts w:cs="Calibri"/>
          <w:sz w:val="16"/>
        </w:rPr>
        <w:t xml:space="preserve">.”32 Yet as the history of women’s citizenship and the citizenship of racial minorities in the United States and Eu rope have shown, the legal doctrine of citizenship is often not enough to secure rights, and being “born” within certain geographic boundaries also is often not enough. (We set aside the naturalization clause because certain racial minorities were often excluded from naturalization, and </w:t>
      </w:r>
      <w:r w:rsidRPr="00F933AF">
        <w:rPr>
          <w:rFonts w:cs="Calibri"/>
          <w:u w:val="single"/>
        </w:rPr>
        <w:t>disabled persons have been denied the right even to enter the United States, much less naturalize</w:t>
      </w:r>
      <w:r w:rsidRPr="00F933AF">
        <w:rPr>
          <w:rFonts w:cs="Calibri"/>
          <w:sz w:val="16"/>
        </w:rPr>
        <w:t xml:space="preserve">, as Douglas Baynton’s essay in this volume shows.) Scholars in women’s and African American studies have demonstrated that the technical designation “citizen” has done little to protect minority groups from having certain privileges inherent in their citizenship status denied. For instance, the Fourteenth Amendment legally designated women citizens as long as they were born in the United States, but it was another sixty- one years before they could vote, and even longer before they could universally serve on juries or in the military. They could even lose their citizenship by marrying non- American men, although men marrying foreign women did not lose theirs.33 Similarly, although the Thirteenth and Fifteenth Amendments ended slavery and granted black men the franchise, gross discrimination continued under Reconstruction, and “separate but equal” became the law of the land in 1896, along with various pragmatic restrictions on black suffrage, such as “literacy tests,” which began in the 1890s and continued through the 1960s, given disproportionately to blacks.34 Recent voter identification laws in various states similarly may hinder racial minorities from voting. </w:t>
      </w:r>
      <w:r w:rsidRPr="00F933AF">
        <w:rPr>
          <w:rFonts w:cs="Calibri"/>
          <w:u w:val="single"/>
        </w:rPr>
        <w:t xml:space="preserve">Scholars who study the history and theory of citizenship among these minority groups often refer to their status as that of “second-class citizenship,” a term that refers to the </w:t>
      </w:r>
      <w:r w:rsidRPr="00F933AF">
        <w:rPr>
          <w:rFonts w:cs="Calibri"/>
          <w:b/>
          <w:u w:val="single"/>
        </w:rPr>
        <w:t>discrepancy between theory and practice, as well as law and right</w:t>
      </w:r>
      <w:r w:rsidRPr="00F933AF">
        <w:rPr>
          <w:rFonts w:cs="Calibri"/>
          <w:u w:val="single"/>
        </w:rPr>
        <w:t>.</w:t>
      </w:r>
      <w:r w:rsidRPr="00F933AF">
        <w:rPr>
          <w:rFonts w:cs="Calibri"/>
          <w:sz w:val="16"/>
        </w:rPr>
        <w:t xml:space="preserve"> Women and African Americans had long been citizens “on the books,” but for over a century they were not really treated as such. Their citizenship was— and arguably still is— ineffectual, for their political power and action always paled in comparison with those of the ideal Anglo- Saxon, male citizen.35 </w:t>
      </w:r>
      <w:r w:rsidRPr="00F933AF">
        <w:rPr>
          <w:rFonts w:cs="Calibri"/>
          <w:u w:val="single"/>
        </w:rPr>
        <w:t>Throughout most of Western history, disabled people have also been treated as second-class citizens.</w:t>
      </w:r>
      <w:r w:rsidRPr="00F933AF">
        <w:rPr>
          <w:rFonts w:cs="Calibri"/>
          <w:sz w:val="16"/>
        </w:rPr>
        <w:t xml:space="preserve"> Going further, </w:t>
      </w:r>
      <w:r w:rsidRPr="00F933AF">
        <w:rPr>
          <w:rFonts w:cs="Calibri"/>
          <w:b/>
          <w:u w:val="single"/>
        </w:rPr>
        <w:t>we might suggest that disabled persons are perhaps even third-class citizens, for disability has historically served as a justification to deny the privileges of citizenship to both African Americans and women</w:t>
      </w:r>
      <w:r w:rsidRPr="00F933AF">
        <w:rPr>
          <w:rFonts w:cs="Calibri"/>
          <w:sz w:val="16"/>
        </w:rPr>
        <w:t>. Helen Meekosha and Leanne Dowse maintain that “</w:t>
      </w:r>
      <w:r w:rsidRPr="00F933AF">
        <w:rPr>
          <w:rFonts w:cs="Calibri"/>
          <w:b/>
          <w:u w:val="single"/>
        </w:rPr>
        <w:t>the concept of a disabled citizen could be described as a contradiction in terms</w:t>
      </w:r>
      <w:r w:rsidRPr="00F933AF">
        <w:rPr>
          <w:rFonts w:cs="Calibri"/>
          <w:u w:val="single"/>
        </w:rPr>
        <w:t>”</w:t>
      </w:r>
      <w:r w:rsidRPr="00F933AF">
        <w:rPr>
          <w:rFonts w:cs="Calibri"/>
          <w:sz w:val="16"/>
        </w:rPr>
        <w:t xml:space="preserve"> because, as historian Douglas Baynton writes, “</w:t>
      </w:r>
      <w:proofErr w:type="gramStart"/>
      <w:r w:rsidRPr="00F933AF">
        <w:rPr>
          <w:rFonts w:cs="Calibri"/>
          <w:u w:val="single"/>
        </w:rPr>
        <w:t>the</w:t>
      </w:r>
      <w:proofErr w:type="gramEnd"/>
      <w:r w:rsidRPr="00F933AF">
        <w:rPr>
          <w:rFonts w:cs="Calibri"/>
          <w:u w:val="single"/>
        </w:rPr>
        <w:t xml:space="preserve"> concept of disability has been used to justify discrimination against other groups by attributing disability to them</w:t>
      </w:r>
      <w:r w:rsidRPr="00F933AF">
        <w:rPr>
          <w:rFonts w:cs="Calibri"/>
          <w:sz w:val="16"/>
        </w:rPr>
        <w:t xml:space="preserve">.”36 For example, antisuff ragists prohibited women from voting because of the supposed innate “defects” of the female mind. Similarly, from slavery to Jim Crow laws to Hernstein and Murray’s infamous book Th e Bell Curve, which was taken to suggest a possible genetic racial difference in intelligence, people have insisted that African Americans were inferior to whites, and that by virtue of their race, blacks were intellectually and morally disabled.37 But </w:t>
      </w:r>
      <w:r w:rsidRPr="00F933AF">
        <w:rPr>
          <w:rFonts w:cs="Calibri"/>
          <w:u w:val="single"/>
        </w:rPr>
        <w:t>suffragists and abolitionists rarely “challenged the notion that disability justified political inequality.</w:t>
      </w:r>
      <w:r w:rsidRPr="00F933AF">
        <w:rPr>
          <w:rFonts w:cs="Calibri"/>
          <w:sz w:val="16"/>
        </w:rPr>
        <w:t xml:space="preserve">”38 Instead, </w:t>
      </w:r>
      <w:r w:rsidRPr="00F933AF">
        <w:rPr>
          <w:rFonts w:cs="Calibri"/>
          <w:u w:val="single"/>
        </w:rPr>
        <w:t>they put most of their political effort into disassociating themselves from the disabled, those they termed “defective,” and “crippled.”</w:t>
      </w:r>
      <w:r w:rsidRPr="00F933AF">
        <w:rPr>
          <w:rFonts w:cs="Calibri"/>
          <w:sz w:val="16"/>
        </w:rPr>
        <w:t xml:space="preserve"> For much of American history, </w:t>
      </w:r>
      <w:r w:rsidRPr="00F933AF">
        <w:rPr>
          <w:rFonts w:cs="Calibri"/>
          <w:u w:val="single"/>
        </w:rPr>
        <w:t>both the socially advantaged and the socially disadvantaged ostracized disabled people, making them the most marginalized of all minority groups.</w:t>
      </w:r>
      <w:r w:rsidRPr="00F933AF">
        <w:rPr>
          <w:rFonts w:cs="Calibri"/>
          <w:sz w:val="16"/>
        </w:rPr>
        <w:t xml:space="preserve"> 10 Nancy J. Hirschmann and Beth Linker This may be why disability was not covered in the 1964 Civil Rights Act; as Michael Bérubé reminds us, </w:t>
      </w:r>
      <w:r w:rsidRPr="00F933AF">
        <w:rPr>
          <w:rFonts w:cs="Calibri"/>
          <w:u w:val="single"/>
        </w:rPr>
        <w:t>disability rights were seen as a “dilution of civil rights, on the grounds that people with disabilities were constitutively incompetent, whereas women and [racial] minorities faced discrimination merely on the basis of social prejudice.</w:t>
      </w:r>
      <w:r w:rsidRPr="00F933AF">
        <w:rPr>
          <w:rFonts w:cs="Calibri"/>
          <w:sz w:val="16"/>
        </w:rPr>
        <w:t xml:space="preserve">”39 Anita Silvers explains it the following way: “To make disability a category that activates a heightened legal shield against exclusion, it was argued, would alter the purpose of legal protection for civil rights by transforming the goal from protecting opportunity for socially exploited people to providing assistance to naturally unfit people.” 40 </w:t>
      </w:r>
      <w:r w:rsidRPr="00F933AF">
        <w:rPr>
          <w:rFonts w:cs="Calibri"/>
          <w:b/>
          <w:u w:val="single"/>
        </w:rPr>
        <w:t>This history of exclusion has meant that disability has had a complicated and ambiguous status within the concept of citizenship</w:t>
      </w:r>
      <w:r w:rsidRPr="00F933AF">
        <w:rPr>
          <w:rFonts w:cs="Calibri"/>
          <w:sz w:val="16"/>
        </w:rPr>
        <w:t xml:space="preserve">. </w:t>
      </w:r>
      <w:r w:rsidRPr="00F933AF">
        <w:rPr>
          <w:rFonts w:cs="Calibri"/>
          <w:b/>
          <w:u w:val="single"/>
        </w:rPr>
        <w:t>We seek an enlarged conception of citizenship to address this</w:t>
      </w:r>
      <w:r w:rsidRPr="00F933AF">
        <w:rPr>
          <w:rFonts w:cs="Calibri"/>
          <w:sz w:val="16"/>
        </w:rPr>
        <w:t xml:space="preserve">. </w:t>
      </w:r>
      <w:r w:rsidRPr="00F933AF">
        <w:rPr>
          <w:rFonts w:cs="Calibri"/>
          <w:u w:val="single"/>
        </w:rPr>
        <w:t>Citizenship is a matter of entitlement, obligation, and belonging.</w:t>
      </w:r>
      <w:r w:rsidRPr="00F933AF">
        <w:rPr>
          <w:rFonts w:cs="Calibri"/>
          <w:sz w:val="16"/>
        </w:rPr>
        <w:t xml:space="preserve"> Domenico Losurdo argues that the struggle to enlarge the notion of citizenship in the modern era has been tied up with the struggle to recognize the humanity of property-less men, women, and racial minorities.41 </w:t>
      </w:r>
      <w:r w:rsidRPr="00F933AF">
        <w:rPr>
          <w:rFonts w:cs="Calibri"/>
          <w:u w:val="single"/>
        </w:rPr>
        <w:t>We share that aspiration for disabled persons and believe that this enlarged notion of citizenship intertwines the political and the social, legal status and human status</w:t>
      </w:r>
      <w:r w:rsidRPr="00F933AF">
        <w:rPr>
          <w:rFonts w:cs="Calibri"/>
          <w:sz w:val="16"/>
        </w:rPr>
        <w:t xml:space="preserve">. </w:t>
      </w:r>
      <w:r w:rsidRPr="00F933AF">
        <w:rPr>
          <w:rFonts w:cs="Calibri"/>
          <w:u w:val="single"/>
        </w:rPr>
        <w:t xml:space="preserve">A citizen is someone who belongs to a particular group— whether a nation or other polity, organization, or community— and has certain entitlements </w:t>
      </w:r>
      <w:r w:rsidRPr="00F933AF">
        <w:rPr>
          <w:rFonts w:cs="Calibri"/>
          <w:sz w:val="16"/>
        </w:rPr>
        <w:t xml:space="preserve">and obligations thereby. Th e entitlements, though, are both a function and a means of the belonging. Thus </w:t>
      </w:r>
      <w:r w:rsidRPr="00F933AF">
        <w:rPr>
          <w:rFonts w:cs="Calibri"/>
          <w:b/>
          <w:u w:val="single"/>
        </w:rPr>
        <w:t>denying those entitlements</w:t>
      </w:r>
      <w:r w:rsidRPr="00F933AF">
        <w:rPr>
          <w:rFonts w:cs="Calibri"/>
          <w:u w:val="single"/>
        </w:rPr>
        <w:t xml:space="preserve"> does more than take away an immediate good that the entitlement provides, such as income, education, or suffrage; it also </w:t>
      </w:r>
      <w:r w:rsidRPr="00F933AF">
        <w:rPr>
          <w:rFonts w:cs="Calibri"/>
          <w:b/>
          <w:u w:val="single"/>
        </w:rPr>
        <w:t>takes away the belonging itself</w:t>
      </w:r>
      <w:r w:rsidRPr="00F933AF">
        <w:rPr>
          <w:rFonts w:cs="Calibri"/>
          <w:u w:val="single"/>
        </w:rPr>
        <w:t xml:space="preserve">. </w:t>
      </w:r>
      <w:r w:rsidRPr="00F933AF">
        <w:rPr>
          <w:rFonts w:cs="Calibri"/>
          <w:b/>
          <w:u w:val="single"/>
        </w:rPr>
        <w:t xml:space="preserve">Such denial is a signal of exclusion, an indication that you are not just different from others but an outsider, inferior, less than a citizen, even less than human. </w:t>
      </w:r>
      <w:r w:rsidRPr="00F933AF">
        <w:rPr>
          <w:rFonts w:cs="Calibri"/>
          <w:u w:val="single"/>
        </w:rPr>
        <w:t>It is this denial and exclusion that disability scholars and activists seek to reject. We believe that this rejection entails an enlarged understanding of citizenship</w:t>
      </w:r>
      <w:r w:rsidRPr="00F933AF">
        <w:rPr>
          <w:rFonts w:cs="Calibri"/>
          <w:sz w:val="16"/>
        </w:rPr>
        <w:t>.</w:t>
      </w:r>
    </w:p>
    <w:p w:rsidR="00B059DC" w:rsidRPr="00020FC7" w:rsidRDefault="00B059DC" w:rsidP="00B059DC">
      <w:pPr>
        <w:pStyle w:val="Heading4"/>
      </w:pPr>
      <w:r w:rsidRPr="00020FC7">
        <w:t>Public charge determinations are endemic of attempts at capitalist sustainability in the U.S- removing is is a step in the move to disassemble capitalist logic in immigration and proves the perm</w:t>
      </w:r>
    </w:p>
    <w:p w:rsidR="00B059DC" w:rsidRPr="00020FC7" w:rsidRDefault="00B059DC" w:rsidP="00B059DC">
      <w:pPr>
        <w:pStyle w:val="NoSpacing"/>
      </w:pPr>
      <w:r w:rsidRPr="00020FC7">
        <w:rPr>
          <w:rStyle w:val="Style13ptBold"/>
        </w:rPr>
        <w:t>O’Brien, 11</w:t>
      </w:r>
      <w:proofErr w:type="gramStart"/>
      <w:r w:rsidRPr="00020FC7">
        <w:t>,  (</w:t>
      </w:r>
      <w:proofErr w:type="gramEnd"/>
      <w:r w:rsidRPr="00020FC7">
        <w:t xml:space="preserve">Mariana O’Brien, Proficient researcher in professional and academic environments. Knowledgeable of planning policies and programs, as well as their regulations and administrative procedures at federal and state level. As a private consultant, developed plans for the Peruvian government and non-profit organizations. September 2011, “From ‘Welcome to America’ to ‘Public Enemy Number One’: The Evolution of Immigration Policy Narrative and the Case of Legal Immigrants in America”, Florida Atlantic University, </w:t>
      </w:r>
      <w:hyperlink r:id="rId221" w:history="1">
        <w:r w:rsidRPr="00B746F8">
          <w:rPr>
            <w:rStyle w:val="Hyperlink"/>
          </w:rPr>
          <w:t>https://patnet2012.files.wordpress.com/2011/09/mariana_obrien-pat_net_20121.pdf</w:t>
        </w:r>
      </w:hyperlink>
      <w:r w:rsidRPr="00020FC7">
        <w:t>)//AO</w:t>
      </w:r>
    </w:p>
    <w:p w:rsidR="00B059DC" w:rsidRPr="00020FC7" w:rsidRDefault="00B059DC" w:rsidP="00B059DC">
      <w:pPr>
        <w:rPr>
          <w:sz w:val="14"/>
        </w:rPr>
      </w:pPr>
      <w:r w:rsidRPr="00020FC7">
        <w:rPr>
          <w:sz w:val="14"/>
        </w:rPr>
        <w:t xml:space="preserve">Ineligible alien story lines. In substance, </w:t>
      </w:r>
      <w:r w:rsidRPr="00020FC7">
        <w:rPr>
          <w:u w:val="single"/>
        </w:rPr>
        <w:t xml:space="preserve">story lines about “ineligible aliens” aim to exclude the feeble-minded, the pauper, the criminal, the contract-laborer and the defective </w:t>
      </w:r>
      <w:r w:rsidRPr="00020FC7">
        <w:rPr>
          <w:sz w:val="14"/>
        </w:rPr>
        <w:t xml:space="preserve">(Speranza, 1914). </w:t>
      </w:r>
      <w:r w:rsidRPr="00020FC7">
        <w:rPr>
          <w:u w:val="single"/>
        </w:rPr>
        <w:t>Ideographs, such as public charge,</w:t>
      </w:r>
      <w:r w:rsidRPr="00020FC7">
        <w:rPr>
          <w:sz w:val="14"/>
        </w:rPr>
        <w:t xml:space="preserve"> criminal alien, and anchor baby </w:t>
      </w:r>
      <w:r w:rsidRPr="00020FC7">
        <w:rPr>
          <w:u w:val="single"/>
        </w:rPr>
        <w:t xml:space="preserve">create story lines about those who are a danger for the American culture and progress, originating a set of policies aimed to stop and punish those who do differently. </w:t>
      </w:r>
      <w:r w:rsidRPr="00020FC7">
        <w:rPr>
          <w:sz w:val="14"/>
        </w:rPr>
        <w:t xml:space="preserve">Public Charge. </w:t>
      </w:r>
      <w:r w:rsidRPr="00020FC7">
        <w:rPr>
          <w:u w:val="single"/>
        </w:rPr>
        <w:t>The public charge ideograph symbolizes societies burden from those not entitled toward the good citizens. Liable to become a Public Charge (LPC) is the term used in the United States to classify prospective immigrants who are denied entry due to their lack of sustainable living means</w:t>
      </w:r>
      <w:r w:rsidRPr="00020FC7">
        <w:rPr>
          <w:sz w:val="14"/>
        </w:rPr>
        <w:t xml:space="preserve"> (Rogers, 2002) since the Immigration Act of 1882. After the first definition of public charge, subsequent </w:t>
      </w:r>
      <w:r w:rsidRPr="00020FC7">
        <w:rPr>
          <w:u w:val="single"/>
        </w:rPr>
        <w:t xml:space="preserve">legislations have impinged on these ideographs negative characterizations such as convict, lunatic, idiot, or any person unable to take care of </w:t>
      </w:r>
      <w:r w:rsidRPr="00020FC7">
        <w:rPr>
          <w:strike/>
          <w:sz w:val="14"/>
        </w:rPr>
        <w:t>himself or herself</w:t>
      </w:r>
      <w:r w:rsidRPr="00020FC7">
        <w:rPr>
          <w:u w:val="single"/>
        </w:rPr>
        <w:t xml:space="preserve"> [themselves]. Act of 1917, section 3, adds to this definition: 'undesirables' from other countries, including "idiots, imbeciles, epileptics, alcoholics, poor, criminals, beggars, any person suffering attacks of insanity, those with tuberculosis, and those who have any form of dangerous contagious disease, aliens who have a physical disability that will restrict them from earning a living in the United States...”.</w:t>
      </w:r>
      <w:r w:rsidRPr="00020FC7">
        <w:rPr>
          <w:sz w:val="14"/>
        </w:rPr>
        <w:t xml:space="preserve"> </w:t>
      </w:r>
      <w:r w:rsidRPr="00020FC7">
        <w:rPr>
          <w:sz w:val="11"/>
        </w:rPr>
        <w:t xml:space="preserve">The Personal Responsibility and Work Opportunity Reconciliation Act of 1996 constitutes that the policy response to prevent those ‘undesirables’ from landing or immigrating to America. It sets income requirements for immigrant sponsors at 125 percent of federal poverty level; which is enforceable until the immigrant has worked 40 qualifying quarters of coverage as defined under title II of the Social Security Act or until the date the alien is naturalized as a citizen of the United States. Criminal Alien. Illegal immigrants have, by definition, broken the law; however, legislators have attributed criminal qualities and behaviors to groups of people that enter the country unlawfully. This ideograph criminal alien extends this element of criminality beyond their immigration status (Newton, 2005). The Act of 1996 epitomizes the actions against criminal aliens. The Illegal Immigration Reform and Immigrant Responsibility Act, as indicated in its name, targets the problems associated with the criminal alien and the public charge ideographs. This Act outlines provisions, such as the criminal alien identification system, and criminal alien tracking center. It increases penalties against alien smuggling, employers of illegal aliens; outlines procedures for detention and removal of inadmissible aliens; and increases restrictions on benefits for aliens and requirements for family sponsors. Anchor baby. This ideograph sets apart from the previous ideographs analyzed in previous sections, because it has not been incorporated in current policies yet; however, it is already part of the immigration policy discourse. Based on the original term of “anchor children”, which referred to Southeast Asian teens who arrived in the United States between the ages of 13 and 20 and have already formed an identity of themselves as wily and street-wise (Ima and Nidorf, 1987; Ima, Khommarath, and Nidorf, 1991). The anchor baby ideograph, which shapes public motives as part of the immigration political rhetoric, will be studied through the analysis of newspapers. The sample data corresponds to The New York Times issues from March 2006 to September 2011 (See Appendix I). The American Heritage Dictionary definition of anchor baby is: “offensive. Used as a disparaging term for a child born to a noncitizen mother in a country that grants automatic citizenship to children born on its soil, especially when the child’s birthplace is thought to have been chosen in order to improve the mother’s or other relatives’ chances of securing eventual citizenship”. In 2006, The New York Times acknowledged the existence of a new term: “Anchor baby: a derogatory term for a child born in the United States to an immigrant. Since these children automatically qualify as American citizens, they can later act as a sponsor for other family members.” The anchor baby ideograph gains powerful meaning through its association with other ideographs. The majority of stories reported by this mean, linked baby anchor with ideographs, such as illegal alien mother, illegal immigrants, illegal alien invader, horde of devious Mexican mothers, and birth citizen abuse. The story lines as the result of this network of meanings are filled with negative connotations. Baby anchors are used to cheat the system; they encourage illegal entry, and are blamed for America’s failure to write immigration laws that work. As a consequence, these story lines raise the ire of anti-immigration advocates, who propose ‘amendments to the 14th Amendment’ to deprive these children of their citizenship. As observed, and based on the deconstruction of the dominant narratives of the current immigration policy discourse, the ideographs are so powerful and negatively constructed, that the ineligible alien story lines shape the alien narrative in detriment of the eligible one. As a result, legal immigrants suffer restrictions of their civil rights due to immigration policies that reflect the current policy discourse. Dominant narratives depict “[a]liens were lazy, bloated welfare bums who worked so hard and for such modest wages that they crowded upstanding red-blooded Americans out of the workplace” (Bilderback, 1989). The dominant narratives describe immigrants as freeloaders reaping the benefits of hardworking citizens who paid taxes. They constructed immigration as a problem and constructed immigrants as parasitic and deviants (Newton, 2005). This situation causes the design and implementation of policies that focus more in punitive and restrictive measure. The alien narrative divides the public between citizens and immigrants, where citizens are portrayed as victims of immigrants (Newton, 2005); therefore, the public sentiment towards immigration is increasingly negative. The Roper poll of June 1980 found that 91 percent of Americans support an "all-out effort" to stop illegal immigration and 80 percent want to reduce the number of legal immigrants and refugees (Martin, 1982). The next section explains the ways legal immigrants civil rights are affected by the current policy discourse. Following, this paper delineates a counternarrative, which will serve as a base for the development of an immigration policy metanarrative. III. Circular Stories in the Immigration Policy Discourse that Restrict Legal Immigrants Rights Legal immigrants are referred to as people who have entered and live in the United States following lawful procedures. This category considers both legal permanent residents (LPRs), and foreign-born citizens that have acquired citizenship status through the process of naturalization. By definition, a LPR is a person who has been granted lawful permanent residence in the United States. He/she may live and work permanently anywhere in the United States, own property, and attend public schools, colleges, and universities, and apply to become U.S. citizens if certain eligibility requirements are met. An important eligibility requirement for naturalization is “good moral character”. The U.S. Citizenship and Immigration Services (USCIS) consider such things as honesty and criminal records to determine applicants’ good moral character. Analyzing the immigration policy discourse through the deconstruction of its dominant policy narratives, it was observed that legal immigrants’ ideographic representation is so weak that is overwhelmed by those created under the ineligible alien story lines. As a result, immigration policies mainly targeted to combat illegal immigration, also impact legal immigrants negatively. From this analysis some circular story lines were identified: 1. “Immigrants are welfare abusers that take away jobs from Americans”. Below, three story lines are deconstructed in their arguments. A: “Legal immigrants are lazy and abuse welfare”. B: “Legal immigrants work hard and for low wages that take away jobs from Americans” Thus: They are either lazy or hard workers, they cannot be both. 2. “Immigrants are a burden for society”. This story line has two characters, LPRs and native citizens and can be read as follows: A: “LPRs are public charge” B: “LPRs are banned to access to welfare benefit for five years”. Thus: LPRs are not public charge and/or </w:t>
      </w:r>
      <w:proofErr w:type="gramStart"/>
      <w:r w:rsidRPr="00020FC7">
        <w:rPr>
          <w:sz w:val="11"/>
        </w:rPr>
        <w:t>A</w:t>
      </w:r>
      <w:proofErr w:type="gramEnd"/>
      <w:r w:rsidRPr="00020FC7">
        <w:rPr>
          <w:sz w:val="11"/>
        </w:rPr>
        <w:t xml:space="preserve">: Naturalized citizens are public charge B: In order to become citizens, LPRs have to prove they have not received welfare benefits. Thus: LPRs who become naturalized citizens are not public charge. 3. “Immigrants are criminals”. A: Legal immigrants are criminals B: Legal immigrants have to exhibit good moral character in order to apply for citizenship. Thus: while being LPRs or naturalized citizens, legal immigrants are not criminals. Counter stories of eligible aliens are not strong enough to prevent unequal participation in the democratic processes. Difference of Immigrants Treatment before the Law LPRs are impede from working for the Federal government and have disadvantageous access to </w:t>
      </w:r>
      <w:proofErr w:type="gramStart"/>
      <w:r w:rsidRPr="00020FC7">
        <w:rPr>
          <w:sz w:val="11"/>
        </w:rPr>
        <w:t>welfare .</w:t>
      </w:r>
      <w:proofErr w:type="gramEnd"/>
      <w:r w:rsidRPr="00020FC7">
        <w:rPr>
          <w:sz w:val="11"/>
        </w:rPr>
        <w:t xml:space="preserve"> Immigrants who entered the United States after August 22, 1996, were prohibited from receiving most types of public assistance. The ban is to be lifted once they become American citizens. Also, those who were in the country on August 22, 1996, were to be removed from the Social Security Income (SSI) and food stamp rolls within a year (Borjas, 1999; Borjas and Hilton, 1996; Falcón, Bermudez, and Tucker, 1996; Primus, 1996). Taxation without representation was one of the major causes of the American Revolution. LPRs pay taxes and are not allowed to vote. Naturalized citizens have limited political participation. When cultural characterizations of persons or groups depict them as powerless and/or are negatively constructed, they fail to mobilize or to object to the distribution of benefits and burdens because they have been stigmatized and labeled by the policy process (Schneider &amp; Ingram, 1993). Conducting an analysis of the House of Representatives web pages, to study the level of participation of naturalized citizens, it was observed that only four (0.9%) members are naturalized citizens. It is interesting to highlight the importance given to the place of birth in the American culture. Even native citizens serving a representatives of states where they were not born, omitted or disguised this information. On the other hand, those who were born in the state they represent expressed it as a badge of honor.</w:t>
      </w:r>
      <w:r w:rsidRPr="00020FC7">
        <w:rPr>
          <w:sz w:val="14"/>
        </w:rPr>
        <w:t xml:space="preserve"> </w:t>
      </w:r>
      <w:r w:rsidRPr="00020FC7">
        <w:rPr>
          <w:u w:val="single"/>
        </w:rPr>
        <w:t xml:space="preserve">In sum, despite being legally admitted to live and work in the United States, LPRs and naturalized citizens have different treatment than native-born citizens before the law. </w:t>
      </w:r>
      <w:r w:rsidRPr="00020FC7">
        <w:rPr>
          <w:sz w:val="14"/>
        </w:rPr>
        <w:t xml:space="preserve">In case of political conflict between the United States and their country of origin (or heritage), history showed violation of liberty rights of foreign-born citizens and their descendants. LPRs, despite paying taxes, are banned for five years from receiving federal and state aid. Additionally, they cannot apply for federal job positions. Naturalized citizens have limited political participation. Through the narrative analysis of the Immigration policy discourse it has been shown that </w:t>
      </w:r>
      <w:r w:rsidRPr="00020FC7">
        <w:rPr>
          <w:u w:val="single"/>
        </w:rPr>
        <w:t>the ideographs of public charge</w:t>
      </w:r>
      <w:r w:rsidRPr="00020FC7">
        <w:rPr>
          <w:sz w:val="14"/>
        </w:rPr>
        <w:t xml:space="preserve">, illegal alien, and anchor baby </w:t>
      </w:r>
      <w:r w:rsidRPr="00020FC7">
        <w:rPr>
          <w:u w:val="single"/>
        </w:rPr>
        <w:t>are stronger than the naturalized citizen and the almost forgotten enemy alien. This fact causes the supremacy of ineligible alien story lines that impinges the alien narrative of negative connotations.</w:t>
      </w:r>
      <w:r w:rsidRPr="00020FC7">
        <w:rPr>
          <w:sz w:val="14"/>
        </w:rPr>
        <w:t xml:space="preserve"> As a result, the convergence of the dominant narratives creates an Immigration policy discourse loaded of regulations focus to restrict and penalize illegal immigration in detriment of legal immigrants’ rights.</w:t>
      </w:r>
    </w:p>
    <w:p w:rsidR="00B059DC" w:rsidRPr="00F933AF" w:rsidRDefault="00946D8A" w:rsidP="00B059DC">
      <w:pPr>
        <w:pStyle w:val="Heading4"/>
        <w:rPr>
          <w:rFonts w:cs="Calibri"/>
        </w:rPr>
      </w:pPr>
      <w:r>
        <w:rPr>
          <w:rFonts w:cs="Calibri"/>
        </w:rPr>
        <w:t>Immigration</w:t>
      </w:r>
      <w:r w:rsidR="00B059DC" w:rsidRPr="00F933AF">
        <w:rPr>
          <w:rFonts w:cs="Calibri"/>
        </w:rPr>
        <w:t xml:space="preserve"> laws have liberalized</w:t>
      </w:r>
      <w:r>
        <w:rPr>
          <w:rFonts w:cs="Calibri"/>
        </w:rPr>
        <w:t xml:space="preserve"> through legal action and</w:t>
      </w:r>
      <w:r w:rsidR="00B059DC" w:rsidRPr="00F933AF">
        <w:rPr>
          <w:rFonts w:cs="Calibri"/>
        </w:rPr>
        <w:t xml:space="preserve"> the plan eliminates a facet of ableist violence in immigration law</w:t>
      </w:r>
    </w:p>
    <w:p w:rsidR="00B059DC" w:rsidRPr="00F933AF" w:rsidRDefault="00B059DC" w:rsidP="00B059DC">
      <w:pPr>
        <w:rPr>
          <w:rStyle w:val="Style13ptBold"/>
          <w:rFonts w:cs="Calibri"/>
          <w:b w:val="0"/>
          <w:sz w:val="18"/>
          <w:szCs w:val="18"/>
        </w:rPr>
      </w:pPr>
      <w:r w:rsidRPr="00F933AF">
        <w:rPr>
          <w:rStyle w:val="Style13ptBold"/>
          <w:rFonts w:cs="Calibri"/>
        </w:rPr>
        <w:t>Picciuto 17</w:t>
      </w:r>
      <w:r w:rsidRPr="00F933AF">
        <w:rPr>
          <w:rStyle w:val="Style13ptBold"/>
          <w:rFonts w:cs="Calibri"/>
          <w:b w:val="0"/>
          <w:sz w:val="18"/>
          <w:szCs w:val="18"/>
        </w:rPr>
        <w:t xml:space="preserve"> (Elizabeth – philosophy phD – writes for the LA Times, Daily Beast, and the Eastablishment “What We Get Wrong When We Talk About the Value of Immigrants and Refugees” 31st January 2017 The Establishment https://theestablishment.co/what-we-get-wrong-when-we-talk-about-the-value-of-immigrants-and-refugees-61de68f715d0)mr</w:t>
      </w:r>
    </w:p>
    <w:p w:rsidR="00B059DC" w:rsidRPr="00F933AF" w:rsidRDefault="00B059DC" w:rsidP="00B059DC">
      <w:pPr>
        <w:rPr>
          <w:rFonts w:cs="Calibri"/>
          <w:sz w:val="16"/>
        </w:rPr>
      </w:pPr>
      <w:r w:rsidRPr="00F933AF">
        <w:rPr>
          <w:rFonts w:cs="Calibri"/>
          <w:spacing w:val="-1"/>
          <w:sz w:val="16"/>
        </w:rPr>
        <w:t xml:space="preserve">The sledgehammer of the White House’s executive order restricting immigration from majority-Muslim countries has fallen. Since then, those opposed have been fighting hard to bring us out from under it. </w:t>
      </w:r>
      <w:r w:rsidRPr="00F933AF">
        <w:rPr>
          <w:rFonts w:cs="Calibri"/>
          <w:spacing w:val="-1"/>
          <w:u w:val="single"/>
        </w:rPr>
        <w:t>There have been rallies at airports, legal challenges — and, of course, rightful and righteous outrage on social media. Many who oppose the yes-it-totally-is-a-Muslim-ban have made strong arguments against it:</w:t>
      </w:r>
      <w:r w:rsidRPr="00F933AF">
        <w:rPr>
          <w:rFonts w:cs="Calibri"/>
          <w:spacing w:val="-1"/>
          <w:sz w:val="16"/>
        </w:rPr>
        <w:t xml:space="preserve"> It violates freedom of religion, a cherished promise of the Constitution. America’s very identity is founded on it being a haven for refuge-seekers. Legal residents are now forbidden from entering the country. I, too, am implacably opposed to the ban. However, </w:t>
      </w:r>
      <w:r w:rsidRPr="00F933AF">
        <w:rPr>
          <w:rFonts w:cs="Calibri"/>
          <w:spacing w:val="-1"/>
          <w:u w:val="single"/>
        </w:rPr>
        <w:t>I’ve repeatedly seen two arguments against the ban that we shouldn’t be making</w:t>
      </w:r>
      <w:r w:rsidRPr="00F933AF">
        <w:rPr>
          <w:rFonts w:cs="Calibri"/>
          <w:spacing w:val="-1"/>
          <w:sz w:val="16"/>
        </w:rPr>
        <w:t>. One lists financially successful immigrants and their descendants. The other pines for the Canadian immigration system. Praise for the Canadian system swelled after Canadian Prime Minister Justin Trudeau’s pointed tweet welcoming refugees. Listing successful immigrants and valorizing Canada’s open arms seem, on the surface, entirely unrelated. They have one thing in common, though</w:t>
      </w:r>
      <w:r w:rsidRPr="00F933AF">
        <w:rPr>
          <w:rFonts w:cs="Calibri"/>
          <w:spacing w:val="-1"/>
          <w:u w:val="single"/>
        </w:rPr>
        <w:t>: Both calculate the worthiness of immigrants in terms of their skills and economic productivity. They not only prioritize the already-educated or already-wealthy, they prioritize non-disabled people. They are classist and ableist</w:t>
      </w:r>
      <w:r w:rsidRPr="00F933AF">
        <w:rPr>
          <w:rFonts w:cs="Calibri"/>
          <w:spacing w:val="-1"/>
          <w:sz w:val="16"/>
        </w:rPr>
        <w:t xml:space="preserve">. Of course, disabled people do not necessarily lack skills and economic productivity. There are countless disabled people who are far more skilled and economically productive than I could ever hope to be. But </w:t>
      </w:r>
      <w:r w:rsidRPr="00F933AF">
        <w:rPr>
          <w:rFonts w:cs="Calibri"/>
          <w:spacing w:val="-1"/>
          <w:u w:val="single"/>
        </w:rPr>
        <w:t>the desire to exclude disabled people and unskilled people spring from a similar source. It’s a ranking of people based on the expected return on money invested in them.</w:t>
      </w:r>
      <w:r w:rsidRPr="00F933AF">
        <w:rPr>
          <w:rFonts w:cs="Calibri"/>
          <w:spacing w:val="-1"/>
          <w:sz w:val="16"/>
        </w:rPr>
        <w:t xml:space="preserve"> Unskilled people, it is presumed, are less likely to generate jobs and tax revenue. </w:t>
      </w:r>
      <w:r w:rsidRPr="00F933AF">
        <w:rPr>
          <w:rFonts w:cs="Calibri"/>
          <w:spacing w:val="-1"/>
          <w:u w:val="single"/>
        </w:rPr>
        <w:t>Disabled people are less likely to have jobs and are more likely to consume expensive health care. Yet an immigrant’s value to our country cannot solely be calculated in spreadsheet form.</w:t>
      </w:r>
      <w:r w:rsidRPr="00F933AF">
        <w:rPr>
          <w:rFonts w:cs="Calibri"/>
          <w:spacing w:val="-1"/>
          <w:sz w:val="16"/>
        </w:rPr>
        <w:t xml:space="preserve"> In the late-19th and early 20th centuries, eugenics was widely popular. </w:t>
      </w:r>
      <w:hyperlink r:id="rId222" w:tgtFrame="_blank" w:history="1">
        <w:r w:rsidRPr="00F933AF">
          <w:rPr>
            <w:rStyle w:val="Hyperlink"/>
            <w:rFonts w:cs="Calibri"/>
            <w:spacing w:val="-1"/>
            <w:sz w:val="16"/>
          </w:rPr>
          <w:t>Eugenics</w:t>
        </w:r>
      </w:hyperlink>
      <w:r w:rsidRPr="00F933AF">
        <w:rPr>
          <w:rFonts w:cs="Calibri"/>
          <w:spacing w:val="-1"/>
          <w:sz w:val="16"/>
        </w:rPr>
        <w:t xml:space="preserve"> is a pseudo-science that posits society should cultivate those breeders who will supposedly improve the evolution of the human race. Simultaneously, “undesirables” thought to render future generations less fit should be weeded. The presence of disabled people among the population meant that they might pass their disability to future generations, thereby supposedly reducing the overall fitness of the human race. They were also believed to be unbearable economic weights. As a result, </w:t>
      </w:r>
      <w:hyperlink r:id="rId223" w:tgtFrame="_blank" w:history="1">
        <w:r w:rsidRPr="00F933AF">
          <w:rPr>
            <w:rStyle w:val="Hyperlink"/>
            <w:rFonts w:cs="Calibri"/>
            <w:spacing w:val="-1"/>
            <w:u w:val="single"/>
          </w:rPr>
          <w:t>immigration of disabled people</w:t>
        </w:r>
      </w:hyperlink>
      <w:r w:rsidRPr="00F933AF">
        <w:rPr>
          <w:rFonts w:cs="Calibri"/>
          <w:spacing w:val="-1"/>
          <w:u w:val="single"/>
        </w:rPr>
        <w:t xml:space="preserve"> to the U.S. was severely </w:t>
      </w:r>
      <w:hyperlink r:id="rId224" w:tgtFrame="_blank" w:history="1">
        <w:r w:rsidRPr="00F933AF">
          <w:rPr>
            <w:rStyle w:val="Hyperlink"/>
            <w:rFonts w:cs="Calibri"/>
            <w:spacing w:val="-1"/>
            <w:u w:val="single"/>
          </w:rPr>
          <w:t>restricted</w:t>
        </w:r>
      </w:hyperlink>
      <w:r w:rsidRPr="00F933AF">
        <w:rPr>
          <w:rFonts w:cs="Calibri"/>
          <w:spacing w:val="-1"/>
          <w:u w:val="single"/>
        </w:rPr>
        <w:t>. Eugenics as a guiding force reached a peak of terrifying and deadly power during the Holocaust</w:t>
      </w:r>
      <w:r w:rsidRPr="00F933AF">
        <w:rPr>
          <w:rFonts w:cs="Calibri"/>
          <w:spacing w:val="-1"/>
          <w:sz w:val="16"/>
        </w:rPr>
        <w:t xml:space="preserve">, when Nazis attempted to kill all those they considered genetically inferior, </w:t>
      </w:r>
      <w:r w:rsidRPr="00F933AF">
        <w:rPr>
          <w:rFonts w:cs="Calibri"/>
          <w:spacing w:val="-1"/>
          <w:u w:val="single"/>
        </w:rPr>
        <w:t>causing</w:t>
      </w:r>
      <w:r w:rsidRPr="00F933AF">
        <w:rPr>
          <w:rFonts w:cs="Calibri"/>
          <w:spacing w:val="-1"/>
          <w:sz w:val="16"/>
        </w:rPr>
        <w:t xml:space="preserve"> the </w:t>
      </w:r>
      <w:r w:rsidRPr="00F933AF">
        <w:rPr>
          <w:rFonts w:cs="Calibri"/>
          <w:spacing w:val="-1"/>
          <w:u w:val="single"/>
        </w:rPr>
        <w:t>genocide</w:t>
      </w:r>
      <w:r w:rsidRPr="00F933AF">
        <w:rPr>
          <w:rFonts w:cs="Calibri"/>
          <w:spacing w:val="-1"/>
          <w:sz w:val="16"/>
        </w:rPr>
        <w:t xml:space="preserve"> of 6 million Jews, as well as the murder of Romany, LGBT, and disabled people. </w:t>
      </w:r>
      <w:r w:rsidRPr="00F933AF">
        <w:rPr>
          <w:rFonts w:cs="Calibri"/>
          <w:spacing w:val="-1"/>
          <w:u w:val="single"/>
        </w:rPr>
        <w:t>In succeeding decades</w:t>
      </w:r>
      <w:r w:rsidRPr="00F933AF">
        <w:rPr>
          <w:rFonts w:cs="Calibri"/>
          <w:spacing w:val="-1"/>
          <w:sz w:val="16"/>
        </w:rPr>
        <w:t xml:space="preserve">, eugenics was, thankfully, gradually more discredited, although </w:t>
      </w:r>
      <w:r w:rsidRPr="00F933AF">
        <w:rPr>
          <w:rFonts w:cs="Calibri"/>
          <w:spacing w:val="-1"/>
          <w:u w:val="single"/>
        </w:rPr>
        <w:t xml:space="preserve">certain shameful manifestations remained, such as forced sterilization of </w:t>
      </w:r>
      <w:hyperlink r:id="rId225" w:tgtFrame="_blank" w:history="1">
        <w:r w:rsidRPr="00F933AF">
          <w:rPr>
            <w:rStyle w:val="Hyperlink"/>
            <w:rFonts w:cs="Calibri"/>
            <w:spacing w:val="-1"/>
            <w:u w:val="single"/>
          </w:rPr>
          <w:t>disabled people</w:t>
        </w:r>
      </w:hyperlink>
      <w:r w:rsidRPr="00F933AF">
        <w:rPr>
          <w:rFonts w:cs="Calibri"/>
          <w:spacing w:val="-1"/>
          <w:u w:val="single"/>
        </w:rPr>
        <w:t xml:space="preserve"> and </w:t>
      </w:r>
      <w:hyperlink r:id="rId226" w:tgtFrame="_blank" w:history="1">
        <w:r w:rsidRPr="00F933AF">
          <w:rPr>
            <w:rStyle w:val="Hyperlink"/>
            <w:rFonts w:cs="Calibri"/>
            <w:spacing w:val="-1"/>
            <w:u w:val="single"/>
          </w:rPr>
          <w:t>poor women of color</w:t>
        </w:r>
      </w:hyperlink>
      <w:r w:rsidRPr="00F933AF">
        <w:rPr>
          <w:rFonts w:cs="Calibri"/>
          <w:spacing w:val="-1"/>
          <w:u w:val="single"/>
        </w:rPr>
        <w:t>.</w:t>
      </w:r>
      <w:r w:rsidRPr="00F933AF">
        <w:rPr>
          <w:rFonts w:cs="Calibri"/>
          <w:spacing w:val="-1"/>
          <w:sz w:val="16"/>
        </w:rPr>
        <w:t xml:space="preserve"> Currently, while ableism continues to be unquestionably rampant, and many people may privately hold eugenic beliefs, bald statements supporting actual eugenics are rarer in the U.S. There are very notable exceptions — such as neo-Nazis and, well,</w:t>
      </w:r>
      <w:hyperlink r:id="rId227" w:tgtFrame="_blank" w:history="1">
        <w:r w:rsidRPr="00F933AF">
          <w:rPr>
            <w:rStyle w:val="Hyperlink"/>
            <w:rFonts w:eastAsiaTheme="majorEastAsia" w:cs="Calibri"/>
            <w:spacing w:val="-1"/>
            <w:sz w:val="16"/>
          </w:rPr>
          <w:t xml:space="preserve"> </w:t>
        </w:r>
        <w:r w:rsidRPr="00F933AF">
          <w:rPr>
            <w:rStyle w:val="Hyperlink"/>
            <w:rFonts w:cs="Calibri"/>
            <w:spacing w:val="-1"/>
            <w:sz w:val="16"/>
          </w:rPr>
          <w:t>Donald Trump</w:t>
        </w:r>
      </w:hyperlink>
      <w:r w:rsidRPr="00F933AF">
        <w:rPr>
          <w:rFonts w:cs="Calibri"/>
          <w:spacing w:val="-1"/>
          <w:sz w:val="16"/>
        </w:rPr>
        <w:t xml:space="preserve"> himself. At least one famous neo-Nazi sees in the current Muslim ban a hope for the future when eugenics may again be openly be part of U.S. immigration policy. </w:t>
      </w:r>
      <w:hyperlink r:id="rId228" w:tgtFrame="_blank" w:history="1">
        <w:r w:rsidRPr="00F933AF">
          <w:rPr>
            <w:rStyle w:val="Hyperlink"/>
            <w:rFonts w:cs="Calibri"/>
            <w:spacing w:val="-1"/>
            <w:sz w:val="16"/>
          </w:rPr>
          <w:t>Racism and eugenics</w:t>
        </w:r>
      </w:hyperlink>
      <w:r w:rsidRPr="00F933AF">
        <w:rPr>
          <w:rFonts w:cs="Calibri"/>
          <w:spacing w:val="-1"/>
          <w:sz w:val="16"/>
        </w:rPr>
        <w:t xml:space="preserve"> have always been fellow-travelers. Since the mid 20th century, </w:t>
      </w:r>
      <w:r w:rsidRPr="00F933AF">
        <w:rPr>
          <w:rFonts w:cs="Calibri"/>
          <w:spacing w:val="-1"/>
          <w:u w:val="single"/>
        </w:rPr>
        <w:t>ableist U.S. immigration laws slowly liberalized.</w:t>
      </w:r>
      <w:r w:rsidRPr="00F933AF">
        <w:rPr>
          <w:rFonts w:cs="Calibri"/>
          <w:spacing w:val="-1"/>
          <w:sz w:val="16"/>
        </w:rPr>
        <w:t xml:space="preserve"> A law that emphasized re-uniting families and to a lesser degree skilled workers — as well as removing requirements regarding national origin — </w:t>
      </w:r>
      <w:hyperlink r:id="rId229" w:tgtFrame="_blank" w:history="1">
        <w:r w:rsidRPr="00F933AF">
          <w:rPr>
            <w:rStyle w:val="Hyperlink"/>
            <w:rFonts w:cs="Calibri"/>
            <w:spacing w:val="-1"/>
            <w:sz w:val="16"/>
          </w:rPr>
          <w:t>was enacted</w:t>
        </w:r>
      </w:hyperlink>
      <w:r w:rsidRPr="00F933AF">
        <w:rPr>
          <w:rFonts w:cs="Calibri"/>
          <w:spacing w:val="-1"/>
          <w:sz w:val="16"/>
        </w:rPr>
        <w:t xml:space="preserve"> in 1965. </w:t>
      </w:r>
      <w:hyperlink r:id="rId230" w:tgtFrame="_blank" w:history="1">
        <w:r w:rsidRPr="00F933AF">
          <w:rPr>
            <w:rStyle w:val="Hyperlink"/>
            <w:rFonts w:cs="Calibri"/>
            <w:spacing w:val="-1"/>
            <w:sz w:val="16"/>
          </w:rPr>
          <w:t>Huge steps forward</w:t>
        </w:r>
      </w:hyperlink>
      <w:r w:rsidRPr="00F933AF">
        <w:rPr>
          <w:rFonts w:cs="Calibri"/>
          <w:spacing w:val="-1"/>
          <w:sz w:val="16"/>
        </w:rPr>
        <w:t xml:space="preserve"> occurred in 1986, when it was determined that disabled undocumented immigrants could legally remain in the country, and 1990, when specific disabilities were no longer named as justification to bar entry. </w:t>
      </w:r>
      <w:r w:rsidRPr="00F933AF">
        <w:rPr>
          <w:rFonts w:cs="Calibri"/>
          <w:spacing w:val="-1"/>
          <w:u w:val="single"/>
        </w:rPr>
        <w:t xml:space="preserve">The American immigration system is not free from ableism. It </w:t>
      </w:r>
      <w:hyperlink r:id="rId231" w:tgtFrame="_blank" w:history="1">
        <w:r w:rsidRPr="00F933AF">
          <w:rPr>
            <w:rStyle w:val="Hyperlink"/>
            <w:rFonts w:cs="Calibri"/>
            <w:spacing w:val="-1"/>
            <w:u w:val="single"/>
          </w:rPr>
          <w:t>still bars</w:t>
        </w:r>
      </w:hyperlink>
      <w:r w:rsidRPr="00F933AF">
        <w:rPr>
          <w:rFonts w:cs="Calibri"/>
          <w:spacing w:val="-1"/>
          <w:u w:val="single"/>
        </w:rPr>
        <w:t xml:space="preserve"> people who are likely to be “a public charge,” that is, require government benefits</w:t>
      </w:r>
      <w:r w:rsidRPr="00F933AF">
        <w:rPr>
          <w:rFonts w:cs="Calibri"/>
          <w:spacing w:val="-1"/>
          <w:sz w:val="16"/>
        </w:rPr>
        <w:t xml:space="preserve"> (a clause which doesn’t specifically target disabled people, but a higher percentage of whom are likely to be disabled). People with </w:t>
      </w:r>
      <w:hyperlink r:id="rId232" w:tgtFrame="_blank" w:history="1">
        <w:r w:rsidRPr="00F933AF">
          <w:rPr>
            <w:rStyle w:val="Hyperlink"/>
            <w:rFonts w:cs="Calibri"/>
            <w:spacing w:val="-1"/>
            <w:sz w:val="16"/>
          </w:rPr>
          <w:t>certain mental illnesses</w:t>
        </w:r>
      </w:hyperlink>
      <w:r w:rsidRPr="00F933AF">
        <w:rPr>
          <w:rFonts w:cs="Calibri"/>
          <w:spacing w:val="-1"/>
          <w:sz w:val="16"/>
        </w:rPr>
        <w:t xml:space="preserve"> thought to predispose people to criminality and certain </w:t>
      </w:r>
      <w:hyperlink r:id="rId233" w:tgtFrame="_blank" w:history="1">
        <w:r w:rsidRPr="00F933AF">
          <w:rPr>
            <w:rStyle w:val="Hyperlink"/>
            <w:rFonts w:cs="Calibri"/>
            <w:spacing w:val="-1"/>
            <w:sz w:val="16"/>
          </w:rPr>
          <w:t>communicable diseases</w:t>
        </w:r>
      </w:hyperlink>
      <w:r w:rsidRPr="00F933AF">
        <w:rPr>
          <w:rFonts w:cs="Calibri"/>
          <w:spacing w:val="-1"/>
          <w:sz w:val="16"/>
        </w:rPr>
        <w:t xml:space="preserve"> are also denied entry. These are not to be waved away — but overall, the U.S. has undeniably made strides in its immigration policies. During the recent senate hearings on his nomination to the office of Attorney General, Jeff Sessions commented, “Immigration flow from almost all of our countries is based on family connections and other visas rather than a skill-based program more like Canada has today.” He later reiterated, “Looking at the Canadian system, some of those policies ought to be considered by the United States.” (</w:t>
      </w:r>
      <w:hyperlink r:id="rId234" w:tgtFrame="_blank" w:history="1">
        <w:r w:rsidRPr="00F933AF">
          <w:rPr>
            <w:rStyle w:val="Hyperlink"/>
            <w:rFonts w:cs="Calibri"/>
            <w:spacing w:val="-1"/>
            <w:sz w:val="16"/>
          </w:rPr>
          <w:t>See</w:t>
        </w:r>
      </w:hyperlink>
      <w:r w:rsidRPr="00F933AF">
        <w:rPr>
          <w:rFonts w:cs="Calibri"/>
          <w:spacing w:val="-1"/>
          <w:sz w:val="16"/>
        </w:rPr>
        <w:t xml:space="preserve"> from 2:43:10 and 3:05:26.) This is the same Jeff Sessions who is believed to be</w:t>
      </w:r>
      <w:hyperlink r:id="rId235" w:tgtFrame="_blank" w:history="1">
        <w:r w:rsidRPr="00F933AF">
          <w:rPr>
            <w:rStyle w:val="Hyperlink"/>
            <w:rFonts w:eastAsiaTheme="majorEastAsia" w:cs="Calibri"/>
            <w:spacing w:val="-1"/>
            <w:sz w:val="16"/>
          </w:rPr>
          <w:t xml:space="preserve"> </w:t>
        </w:r>
        <w:r w:rsidRPr="00F933AF">
          <w:rPr>
            <w:rStyle w:val="Hyperlink"/>
            <w:rFonts w:cs="Calibri"/>
            <w:spacing w:val="-1"/>
            <w:sz w:val="16"/>
          </w:rPr>
          <w:t>one of the architects of the Muslim ban</w:t>
        </w:r>
      </w:hyperlink>
      <w:r w:rsidRPr="00F933AF">
        <w:rPr>
          <w:rFonts w:cs="Calibri"/>
          <w:spacing w:val="-1"/>
          <w:sz w:val="16"/>
        </w:rPr>
        <w:t xml:space="preserve">. Why would he be in concert with so many decrying the ban, calling for a system more like Canada’s? Since November 2015, Canada has indeed </w:t>
      </w:r>
      <w:hyperlink r:id="rId236" w:tgtFrame="_blank" w:history="1">
        <w:r w:rsidRPr="00F933AF">
          <w:rPr>
            <w:rStyle w:val="Hyperlink"/>
            <w:rFonts w:cs="Calibri"/>
            <w:spacing w:val="-1"/>
            <w:sz w:val="16"/>
          </w:rPr>
          <w:t>permitted</w:t>
        </w:r>
      </w:hyperlink>
      <w:r w:rsidRPr="00F933AF">
        <w:rPr>
          <w:rFonts w:cs="Calibri"/>
          <w:spacing w:val="-1"/>
          <w:sz w:val="16"/>
        </w:rPr>
        <w:t xml:space="preserve"> more than twice as many refugees from Syria to enter their country as the U.S. What Sessions admires about the Canadian system, aside from its refugee policy, is its relative de-emphasis on family unity. Instead, Canada emphasizes skilled immigrants likely to generate more tax revenue than they cost. Canada restricts immigration by those who are likely to cause “excessive demand” on public services. This sounds like the U.S. restriction on those likely to be a “public charge,” but it functions quite differently. Though there’s no </w:t>
      </w:r>
      <w:r w:rsidRPr="00F933AF">
        <w:rPr>
          <w:rFonts w:cs="Calibri"/>
          <w:sz w:val="16"/>
        </w:rPr>
        <w:t>explicit</w:t>
      </w:r>
      <w:r w:rsidRPr="00F933AF">
        <w:rPr>
          <w:rFonts w:cs="Calibri"/>
          <w:spacing w:val="-1"/>
          <w:sz w:val="16"/>
        </w:rPr>
        <w:t xml:space="preserve"> restriction on immigration by disabled people, Canada factors in the cost of special education and health care as part of public services. So in practice, almost all disabled people cannot immigrate to Canada, unless they are wealthy enough to cover the costs of the services they require. Importantly, though, exceptions are made for disabled refugees.</w:t>
      </w:r>
      <w:hyperlink r:id="rId237" w:tgtFrame="_blank" w:history="1">
        <w:r w:rsidRPr="00F933AF">
          <w:rPr>
            <w:rStyle w:val="Hyperlink"/>
            <w:rFonts w:eastAsiaTheme="majorEastAsia" w:cs="Calibri"/>
            <w:spacing w:val="-1"/>
            <w:sz w:val="16"/>
          </w:rPr>
          <w:t xml:space="preserve"> </w:t>
        </w:r>
        <w:r w:rsidRPr="00F933AF">
          <w:rPr>
            <w:rStyle w:val="Hyperlink"/>
            <w:rFonts w:cs="Calibri"/>
            <w:spacing w:val="-1"/>
            <w:sz w:val="16"/>
          </w:rPr>
          <w:t>Here</w:t>
        </w:r>
      </w:hyperlink>
      <w:r w:rsidRPr="00F933AF">
        <w:rPr>
          <w:rFonts w:cs="Calibri"/>
          <w:spacing w:val="-1"/>
          <w:sz w:val="16"/>
        </w:rPr>
        <w:t xml:space="preserve"> is an insightful blog post on the topic by disabled scholar Kim Sauder. In the U.S., health care is of course not publicly funded. Requiring special education doesn’t render an immigrant a public charge. People residing in the U.S. may have disabled family members, who would then receive priority for immigration. It is in fact significantly easier (for now) for disabled people to immigrate to the U.S. than to Canada. This fact gained some brief notoriety recently when a professor in Canada was denied residency because his son has Down syndrome (I</w:t>
      </w:r>
      <w:hyperlink r:id="rId238" w:tgtFrame="_blank" w:history="1">
        <w:r w:rsidRPr="00F933AF">
          <w:rPr>
            <w:rStyle w:val="Hyperlink"/>
            <w:rFonts w:eastAsiaTheme="majorEastAsia" w:cs="Calibri"/>
            <w:spacing w:val="-1"/>
            <w:sz w:val="16"/>
          </w:rPr>
          <w:t xml:space="preserve"> </w:t>
        </w:r>
        <w:r w:rsidRPr="00F933AF">
          <w:rPr>
            <w:rStyle w:val="Hyperlink"/>
            <w:rFonts w:cs="Calibri"/>
            <w:spacing w:val="-1"/>
            <w:sz w:val="16"/>
          </w:rPr>
          <w:t>wrote about the case</w:t>
        </w:r>
      </w:hyperlink>
      <w:r w:rsidRPr="00F933AF">
        <w:rPr>
          <w:rFonts w:cs="Calibri"/>
          <w:spacing w:val="-1"/>
          <w:sz w:val="16"/>
        </w:rPr>
        <w:t xml:space="preserve">at the time). Canada prioritizes immigrants who already have education and skills. </w:t>
      </w:r>
      <w:r w:rsidRPr="00F933AF">
        <w:rPr>
          <w:rFonts w:cs="Calibri"/>
          <w:spacing w:val="-1"/>
          <w:u w:val="single"/>
        </w:rPr>
        <w:t>This immigration system is what Sessions wants to import to the U.S. When we enact laws that prioritize skills, that discourage disabled people from immigrating, we are stating a collective value: What makes a human being worthwhile is a low cost/benefit ratio.</w:t>
      </w:r>
      <w:r w:rsidRPr="00F933AF">
        <w:rPr>
          <w:rFonts w:cs="Calibri"/>
          <w:spacing w:val="-1"/>
          <w:sz w:val="16"/>
        </w:rPr>
        <w:t xml:space="preserve"> It’s not surprising that Trump, a businessman who campaigned on a promise to run the country like a business, might view citizens in terms of their effect on the bottom line. Similarly, when we argue that we should permit Syrian refugees because Steve Jobs’s father was Syrian, or when we list all the economically successful people who are immigrants or children of immigrants, we are suggesting that we should permit immigrants because one of them is likely to be successful too. What does this say about the immigrants who don’t found a disruptive tech startup? Who are dishwashers and cab drivers and janitors? Who may not earn much money, but are valued members of their families and their communities, and who no less lack the dignity and worth we all share? The words of The New Colossus have been much quoted these past few days: There is no caveat here that we welcome only those yearning to breathe free if they already know how to code C#. Let’s welcome refugees as Canada does, without making all our immigration priorities more like Canada’s immigration priorities. </w:t>
      </w:r>
      <w:r w:rsidRPr="00F933AF">
        <w:rPr>
          <w:rFonts w:cs="Calibri"/>
          <w:spacing w:val="-1"/>
          <w:u w:val="single"/>
        </w:rPr>
        <w:t>Let’s recognize that the value inherent in each person is not reducible to dollar signs. Let’s provide refuge for those in danger no matter their religion, bring families together, and ensure opportunity for all — including disabled people.</w:t>
      </w:r>
      <w:r w:rsidRPr="00F933AF">
        <w:rPr>
          <w:rFonts w:cs="Calibri"/>
          <w:spacing w:val="-1"/>
          <w:sz w:val="16"/>
        </w:rPr>
        <w:t xml:space="preserve"> Those are the values I hope America may one day embody. </w:t>
      </w:r>
    </w:p>
    <w:p w:rsidR="00B059DC" w:rsidRPr="00F933AF" w:rsidRDefault="00B059DC" w:rsidP="00B059DC">
      <w:pPr>
        <w:rPr>
          <w:rStyle w:val="s1"/>
          <w:rFonts w:cs="Calibri"/>
          <w:color w:val="000000" w:themeColor="text1"/>
          <w:sz w:val="16"/>
        </w:rPr>
      </w:pPr>
    </w:p>
    <w:p w:rsidR="00B059DC" w:rsidRPr="00F933AF" w:rsidRDefault="00B059DC" w:rsidP="00B059DC">
      <w:pPr>
        <w:pStyle w:val="Heading4"/>
        <w:rPr>
          <w:rFonts w:cs="Calibri"/>
        </w:rPr>
      </w:pPr>
      <w:r w:rsidRPr="00F933AF">
        <w:rPr>
          <w:rFonts w:cs="Calibri"/>
        </w:rPr>
        <w:t xml:space="preserve">And - addressing disability policy at every turn is a prerequisite to understanding and combating the pathologization of certain identities </w:t>
      </w:r>
    </w:p>
    <w:p w:rsidR="00B059DC" w:rsidRPr="00F933AF" w:rsidRDefault="00B059DC" w:rsidP="00B059DC">
      <w:pPr>
        <w:rPr>
          <w:rStyle w:val="Style13ptBold"/>
          <w:rFonts w:cs="Calibri"/>
          <w:b w:val="0"/>
          <w:sz w:val="24"/>
        </w:rPr>
      </w:pPr>
      <w:r w:rsidRPr="00F933AF">
        <w:rPr>
          <w:rStyle w:val="Style13ptBold"/>
          <w:rFonts w:cs="Calibri"/>
        </w:rPr>
        <w:t>Taylor 17</w:t>
      </w:r>
      <w:r w:rsidRPr="00F933AF">
        <w:rPr>
          <w:rStyle w:val="Style13ptBold"/>
          <w:rFonts w:cs="Calibri"/>
          <w:b w:val="0"/>
          <w:sz w:val="18"/>
          <w:szCs w:val="18"/>
        </w:rPr>
        <w:t xml:space="preserve"> (Sunaura - </w:t>
      </w:r>
      <w:r w:rsidRPr="00F933AF">
        <w:rPr>
          <w:rFonts w:cs="Calibri"/>
          <w:color w:val="222222"/>
          <w:sz w:val="18"/>
          <w:szCs w:val="18"/>
          <w:shd w:val="clear" w:color="auto" w:fill="FFFFFF"/>
        </w:rPr>
        <w:t>American activist for disability and animal rights. She has taught classes at the University of California, Berkeley. “Beasts of Burden: Animal and Disability Liberation” 2017 ch. 2</w:t>
      </w:r>
      <w:proofErr w:type="gramStart"/>
      <w:r w:rsidRPr="00F933AF">
        <w:rPr>
          <w:rFonts w:cs="Calibri"/>
          <w:color w:val="222222"/>
          <w:sz w:val="18"/>
          <w:szCs w:val="18"/>
          <w:shd w:val="clear" w:color="auto" w:fill="FFFFFF"/>
        </w:rPr>
        <w:t>)mr</w:t>
      </w:r>
      <w:proofErr w:type="gramEnd"/>
      <w:r w:rsidRPr="00F933AF">
        <w:rPr>
          <w:rFonts w:cs="Calibri"/>
          <w:color w:val="222222"/>
          <w:sz w:val="18"/>
          <w:szCs w:val="18"/>
          <w:shd w:val="clear" w:color="auto" w:fill="FFFFFF"/>
        </w:rPr>
        <w:t xml:space="preserve"> </w:t>
      </w:r>
    </w:p>
    <w:p w:rsidR="00B059DC" w:rsidRDefault="00B059DC" w:rsidP="00B059DC">
      <w:pPr>
        <w:rPr>
          <w:rFonts w:cs="Calibri"/>
          <w:sz w:val="16"/>
        </w:rPr>
      </w:pPr>
      <w:r w:rsidRPr="00F933AF">
        <w:rPr>
          <w:rFonts w:cs="Calibri"/>
          <w:u w:val="single"/>
        </w:rPr>
        <w:t>The profound systemic prejudice and discrimination faced by disabled people pervades nearly all aspects of society</w:t>
      </w:r>
      <w:r w:rsidRPr="00F933AF">
        <w:rPr>
          <w:rFonts w:cs="Calibri"/>
          <w:sz w:val="16"/>
        </w:rPr>
        <w:t xml:space="preserve">. Yet this prejudice changes with location, race, gender, class, and the nature of a person’s specific disability. My own privilege as a white, middle-class, physically disabled American woman with no communication impairments and the means to live in my own home with assistants whom I choose and hire has often shielded me from the reality of many of these oppressions—realities that are inescapable for other people with disabilities. Disability oppression and disability activism play out differently depending on place and experience. Individual populations face specific challenges particular to them. Further complicating matters is the fact that, as is becoming evident, the barrier between able- bodiedness and disability is far from clear-cut or permanent. </w:t>
      </w:r>
      <w:r w:rsidRPr="00F933AF">
        <w:rPr>
          <w:rFonts w:cs="Calibri"/>
          <w:u w:val="single"/>
        </w:rPr>
        <w:t>Disability can be an identity one embraces, a condition one struggles with, a space one finds liberation in, or a concept that can be leveraged to marginalize and oppress. It can also be all of these things at once</w:t>
      </w:r>
      <w:r w:rsidRPr="00F933AF">
        <w:rPr>
          <w:rFonts w:cs="Calibri"/>
          <w:sz w:val="16"/>
        </w:rPr>
        <w:t xml:space="preserve">. It becomes increasingly clear that </w:t>
      </w:r>
      <w:r w:rsidRPr="00F933AF">
        <w:rPr>
          <w:rFonts w:cs="Calibri"/>
          <w:u w:val="single"/>
        </w:rPr>
        <w:t>disability is not only a lived experience that shapes individual human lives—it is also an ideology that plays a central role in forming our histories, politics, and cultures</w:t>
      </w:r>
      <w:r w:rsidRPr="00F933AF">
        <w:rPr>
          <w:rFonts w:cs="Calibri"/>
          <w:sz w:val="16"/>
        </w:rPr>
        <w:t xml:space="preserve">. Disability doesn’t belong simply to the margins, or to medicine, or to a few specific historical events; instead, disability—like gender, class, and race—is a social force that affects the world in a pervasive manner.30 As historian Douglas C. Baynton notes, “Disability is everywhere in history, once you begin looking for it, but conspicuously absent in the history we write.”31 </w:t>
      </w:r>
      <w:r w:rsidRPr="00F933AF">
        <w:rPr>
          <w:rFonts w:cs="Calibri"/>
          <w:u w:val="single"/>
        </w:rPr>
        <w:t>This becomes starkly evident when we consider that ideologies of disability have been central to the development of the modern world</w:t>
      </w:r>
      <w:r w:rsidRPr="00F933AF">
        <w:rPr>
          <w:rFonts w:cs="Calibri"/>
          <w:sz w:val="16"/>
        </w:rPr>
        <w:t xml:space="preserve">. For example, scholars have exposed the role of disability in the creation of capitalism and labor relations, particularly in contributing to definitions of a “work-based” system versus a “needs-based” system of distribution, as well as in deﬁnitions of concepts such as independence, efﬁciency, and productivity.32 </w:t>
      </w:r>
      <w:proofErr w:type="gramStart"/>
      <w:r w:rsidRPr="00F933AF">
        <w:rPr>
          <w:rFonts w:cs="Calibri"/>
          <w:sz w:val="16"/>
        </w:rPr>
        <w:t>Others</w:t>
      </w:r>
      <w:proofErr w:type="gramEnd"/>
      <w:r w:rsidRPr="00F933AF">
        <w:rPr>
          <w:rFonts w:cs="Calibri"/>
          <w:sz w:val="16"/>
        </w:rPr>
        <w:t xml:space="preserve"> have shown how </w:t>
      </w:r>
      <w:r w:rsidRPr="00F933AF">
        <w:rPr>
          <w:rFonts w:cs="Calibri"/>
          <w:u w:val="single"/>
        </w:rPr>
        <w:t xml:space="preserve">ideologies of disability have been key to formulating US. </w:t>
      </w:r>
      <w:proofErr w:type="gramStart"/>
      <w:r w:rsidRPr="00F933AF">
        <w:rPr>
          <w:rFonts w:cs="Calibri"/>
          <w:u w:val="single"/>
        </w:rPr>
        <w:t>immigration</w:t>
      </w:r>
      <w:proofErr w:type="gramEnd"/>
      <w:r w:rsidRPr="00F933AF">
        <w:rPr>
          <w:rFonts w:cs="Calibri"/>
          <w:u w:val="single"/>
        </w:rPr>
        <w:t xml:space="preserve"> policies, as justiﬁcations for the exclusion of various racialized and classed populations have often stereotyped certain populations as “likely to become a public charge" or pose a public health threat.</w:t>
      </w:r>
      <w:r w:rsidRPr="00F933AF">
        <w:rPr>
          <w:rFonts w:cs="Calibri"/>
          <w:sz w:val="16"/>
        </w:rPr>
        <w:t xml:space="preserve">33 </w:t>
      </w:r>
      <w:r w:rsidRPr="00F933AF">
        <w:rPr>
          <w:rFonts w:cs="Calibri"/>
          <w:u w:val="single"/>
        </w:rPr>
        <w:t>Such examples of the importance of disability in shaping our society abound. Perhaps most telling, though, is the role concepts of disability have historically played in reinforcing and defining categories or difference</w:t>
      </w:r>
      <w:r w:rsidRPr="00F933AF">
        <w:rPr>
          <w:rFonts w:cs="Calibri"/>
          <w:sz w:val="16"/>
        </w:rPr>
        <w:t xml:space="preserve">.” Ideologies of disability have contributed to the pathologization of various populations by infantilizing them, declaring them weak, vulnerable, unintelligent, prone to disease, less advanced, in need of care, and so forth. </w:t>
      </w:r>
      <w:r w:rsidRPr="00F933AF">
        <w:rPr>
          <w:rFonts w:cs="Calibri"/>
          <w:u w:val="single"/>
        </w:rPr>
        <w:t>This pathologization is intricately tied up with ableism, which asserts that markers of disability,</w:t>
      </w:r>
      <w:r w:rsidRPr="00F933AF">
        <w:rPr>
          <w:rFonts w:cs="Calibri"/>
          <w:sz w:val="16"/>
        </w:rPr>
        <w:t xml:space="preserve"> such as vulnerability, weakness, physical and mental abnormality, and dependency are undesirable. Consequently, any physical or mental attributes that can then be associated (falsely or accurately) with these conditions are seen as biological, natural deﬁciencies that need to be regulated and controlled. </w:t>
      </w:r>
    </w:p>
    <w:p w:rsidR="00B059DC" w:rsidRPr="00020FC7" w:rsidRDefault="00B059DC" w:rsidP="00B059DC">
      <w:pPr>
        <w:pStyle w:val="Heading4"/>
      </w:pPr>
      <w:r>
        <w:t>P</w:t>
      </w:r>
      <w:r w:rsidRPr="00020FC7">
        <w:t>olicy feedback can spill over and is a first step in dismantling current restrictive immigration policy that justifies the perm on the k</w:t>
      </w:r>
    </w:p>
    <w:p w:rsidR="00B059DC" w:rsidRPr="00020FC7" w:rsidRDefault="00B059DC" w:rsidP="00B059DC">
      <w:r w:rsidRPr="00020FC7">
        <w:rPr>
          <w:rStyle w:val="Style13ptBold"/>
        </w:rPr>
        <w:t>Pedraza et al 17</w:t>
      </w:r>
      <w:r w:rsidRPr="00020FC7">
        <w:t xml:space="preserve">, Pedraza's research was supported by the RWJF, Scholars in Health Policy Research Program. LeBrón's research was supported by University of Michigan National Center for Institutional Diversity.  (Franciso I. Pedraza, Vanessa Cruz Nichols, Alana M. W. Lebrón, “Cautious Citizenship: The Deterring Effect of Immigration Issue Salience on Health Care Use and Bureaucratic Interactions among </w:t>
      </w:r>
      <w:r w:rsidRPr="00020FC7">
        <w:rPr>
          <w:strike/>
        </w:rPr>
        <w:t>Latino</w:t>
      </w:r>
      <w:r w:rsidRPr="00020FC7">
        <w:t xml:space="preserve"> [Latinx] US Citizens”, 10-1-2017, The Politics and Challenges of Achieving Health Equity, </w:t>
      </w:r>
      <w:hyperlink r:id="rId239" w:history="1">
        <w:r w:rsidRPr="00020FC7">
          <w:rPr>
            <w:rStyle w:val="Hyperlink"/>
          </w:rPr>
          <w:t>https://read.dukeupress.edu/jhppl/article/42/5/925/131418/Cautious-Citizenship-The-Deterring-Effect-of)//AO</w:t>
        </w:r>
      </w:hyperlink>
      <w:r w:rsidRPr="00020FC7">
        <w:t xml:space="preserve"> [edited for language]</w:t>
      </w:r>
    </w:p>
    <w:p w:rsidR="00B059DC" w:rsidRPr="00020FC7" w:rsidRDefault="00B059DC" w:rsidP="00B059DC">
      <w:pPr>
        <w:rPr>
          <w:sz w:val="8"/>
        </w:rPr>
      </w:pPr>
      <w:r w:rsidRPr="00020FC7">
        <w:rPr>
          <w:sz w:val="8"/>
        </w:rPr>
        <w:t xml:space="preserve">Research shows that </w:t>
      </w:r>
      <w:r w:rsidRPr="00020FC7">
        <w:rPr>
          <w:sz w:val="8"/>
          <w:szCs w:val="8"/>
        </w:rPr>
        <w:t xml:space="preserve">health care use among </w:t>
      </w:r>
      <w:r w:rsidRPr="00020FC7">
        <w:rPr>
          <w:strike/>
          <w:sz w:val="8"/>
          <w:szCs w:val="8"/>
        </w:rPr>
        <w:t>Latino</w:t>
      </w:r>
      <w:r w:rsidRPr="00020FC7">
        <w:rPr>
          <w:sz w:val="8"/>
          <w:szCs w:val="8"/>
        </w:rPr>
        <w:t xml:space="preserve"> [Latinx] immigrants is adversely affected by restrictive immigration policy. A core concern is that immigrants shy away from sharing personal information in response to policies that expand bureaucratic monitoring of citizenship status across service-providing organizations. This investigation addresses the concern that immigration politics also negatively influences health care utilization among </w:t>
      </w:r>
      <w:r w:rsidRPr="00020FC7">
        <w:rPr>
          <w:strike/>
          <w:sz w:val="8"/>
          <w:szCs w:val="8"/>
        </w:rPr>
        <w:t xml:space="preserve">Latino </w:t>
      </w:r>
      <w:r w:rsidRPr="00020FC7">
        <w:rPr>
          <w:sz w:val="8"/>
          <w:szCs w:val="8"/>
        </w:rPr>
        <w:t xml:space="preserve">[Latinx] US citizens. One implication is that health insurance expansions may not reduce health care inequities among </w:t>
      </w:r>
      <w:r w:rsidRPr="00020FC7">
        <w:rPr>
          <w:strike/>
          <w:sz w:val="8"/>
          <w:szCs w:val="8"/>
        </w:rPr>
        <w:t>Latinos</w:t>
      </w:r>
      <w:r w:rsidRPr="00020FC7">
        <w:rPr>
          <w:sz w:val="8"/>
          <w:szCs w:val="8"/>
        </w:rPr>
        <w:t xml:space="preserve"> [Latinxs] due to concern about exposure to immigration law enforcement authorities. Using data from the 2015 </w:t>
      </w:r>
      <w:r w:rsidRPr="00020FC7">
        <w:rPr>
          <w:strike/>
          <w:sz w:val="8"/>
          <w:szCs w:val="8"/>
        </w:rPr>
        <w:t xml:space="preserve">Latino </w:t>
      </w:r>
      <w:r w:rsidRPr="00020FC7">
        <w:rPr>
          <w:sz w:val="8"/>
          <w:szCs w:val="8"/>
        </w:rPr>
        <w:t xml:space="preserve">[Latinx] National Health and Immigration Survey, we examine the extent to which the politics of immigration deters individuals from going to health care providers and service-providing institutions. Results indicate that </w:t>
      </w:r>
      <w:r w:rsidRPr="00020FC7">
        <w:rPr>
          <w:strike/>
          <w:sz w:val="8"/>
          <w:szCs w:val="8"/>
        </w:rPr>
        <w:t>Latino</w:t>
      </w:r>
      <w:r w:rsidRPr="00020FC7">
        <w:rPr>
          <w:sz w:val="8"/>
          <w:szCs w:val="8"/>
        </w:rPr>
        <w:t xml:space="preserve"> [Latinx] US citizens are less likely to make an appointment to see a health care provider when the issue of immigration is mentioned. Additionally, </w:t>
      </w:r>
      <w:r w:rsidRPr="00020FC7">
        <w:rPr>
          <w:strike/>
          <w:sz w:val="8"/>
          <w:szCs w:val="8"/>
        </w:rPr>
        <w:t xml:space="preserve">Latino </w:t>
      </w:r>
      <w:r w:rsidRPr="00020FC7">
        <w:rPr>
          <w:sz w:val="8"/>
          <w:szCs w:val="8"/>
        </w:rPr>
        <w:t>[Latinx] US citizens</w:t>
      </w:r>
      <w:r w:rsidRPr="00020FC7">
        <w:rPr>
          <w:sz w:val="8"/>
        </w:rPr>
        <w:t xml:space="preserve"> who know someone who has been deported are more inclined to perceive that information shared with health care providers is not secure. We discuss how cautious citizenship, or risk-avoidance behaviors toward public institutions</w:t>
      </w:r>
      <w:r w:rsidRPr="00020FC7">
        <w:rPr>
          <w:sz w:val="8"/>
          <w:szCs w:val="8"/>
        </w:rPr>
        <w:t xml:space="preserve"> in order to avoid scrutiny of citizenship status, informs debates about reducing health care inequities. Introduction </w:t>
      </w:r>
      <w:proofErr w:type="gramStart"/>
      <w:r w:rsidRPr="00020FC7">
        <w:rPr>
          <w:sz w:val="8"/>
          <w:szCs w:val="8"/>
        </w:rPr>
        <w:t>A</w:t>
      </w:r>
      <w:proofErr w:type="gramEnd"/>
      <w:r w:rsidRPr="00020FC7">
        <w:rPr>
          <w:sz w:val="8"/>
          <w:szCs w:val="8"/>
        </w:rPr>
        <w:t xml:space="preserve"> major challenge to reducing health care inequities is that the costs of health insurance and health care deter people from using health care services for which they are eligible.</w:t>
      </w:r>
      <w:r w:rsidRPr="00020FC7">
        <w:rPr>
          <w:u w:val="single"/>
        </w:rPr>
        <w:t xml:space="preserve"> Policy designed to subsidize coverage and expand eligibility, such as the 2010 Patient Protection and Affordable Care Act (ACA), helps address this challenge.</w:t>
      </w:r>
      <w:r w:rsidRPr="00020FC7">
        <w:rPr>
          <w:sz w:val="8"/>
        </w:rPr>
        <w:t xml:space="preserve"> For example, by September 2015, two years since key coverage provisions of ACA were implemented, Karpman and Long (2015) report a 41 percent decrease in uninsured rates among non-elderly adults. However, they also report that inequities in uninsurance rates remain disproportionately high for </w:t>
      </w:r>
      <w:r w:rsidRPr="00020FC7">
        <w:rPr>
          <w:strike/>
          <w:sz w:val="8"/>
        </w:rPr>
        <w:t>Latino [</w:t>
      </w:r>
      <w:r w:rsidRPr="00020FC7">
        <w:rPr>
          <w:sz w:val="8"/>
        </w:rPr>
        <w:t>Latinx] s [Latinxs] (23 percent) relative to non-</w:t>
      </w:r>
      <w:r w:rsidRPr="00020FC7">
        <w:rPr>
          <w:strike/>
          <w:sz w:val="8"/>
        </w:rPr>
        <w:t>Latino [</w:t>
      </w:r>
      <w:r w:rsidRPr="00020FC7">
        <w:rPr>
          <w:sz w:val="8"/>
        </w:rPr>
        <w:t xml:space="preserve">Latinx] s [Latinxs] (7 percent), even in Medicaid expansion states (Karpman and Long 2015). Expansions and subsidies may fall short if implemented without adequately accounting for various social, economic, and political forces (Chin et al. 2007; Kilbourne et al. 2008; Minkler 2010). One line of research that attends to such complexity focuses on the relationship between immigration policy and health (Hacker et al. 2011; Rhodes et al. 2015). </w:t>
      </w:r>
      <w:r w:rsidRPr="00020FC7">
        <w:rPr>
          <w:u w:val="single"/>
        </w:rPr>
        <w:t xml:space="preserve">Disparate paths of research addressing inequities in health care </w:t>
      </w:r>
      <w:r w:rsidRPr="00020FC7">
        <w:rPr>
          <w:sz w:val="8"/>
          <w:szCs w:val="8"/>
        </w:rPr>
        <w:t>coverage (Castañeda and Melo 2014; DeRose, Escarce, and Lurie 2007; Joseph 2016), health care access and utilization (Beniflah et al. 2013; DeRose, Escarce, and Lurie 2007; Donelson 2015; Toomey et al. 2014), and health outcomes</w:t>
      </w:r>
      <w:r w:rsidRPr="00020FC7">
        <w:rPr>
          <w:sz w:val="8"/>
        </w:rPr>
        <w:t xml:space="preserve"> (Cavazos-Rehg, Zayas, and Spitznagel 2007; Miranda et al. 2011; Rhodes et al. 2015) </w:t>
      </w:r>
      <w:r w:rsidRPr="00020FC7">
        <w:rPr>
          <w:u w:val="single"/>
        </w:rPr>
        <w:t>conclude that immigration policy is health care policy.</w:t>
      </w:r>
      <w:r w:rsidRPr="00020FC7">
        <w:rPr>
          <w:sz w:val="8"/>
        </w:rPr>
        <w:t xml:space="preserve"> Studies pointing to this conclusion begin by noting that immigration politics structures health-related outcomes because nativity and citizenship criteria determine program eligibility (Gee and Ford 2011; Zimmermann and Fix 1998). A related claim is that policy exclusions lead immigrants to worry that using welfare programs, including public programs related to health, increases the risk that they or those they are close to will be detected or classified as an unauthorized immigrant, which may spoil efforts to adjust citizenship status, or result in deportation (Fix and Passel 1999; Park 2011). Scholars also contend that </w:t>
      </w:r>
      <w:r w:rsidRPr="00020FC7">
        <w:rPr>
          <w:u w:val="single"/>
        </w:rPr>
        <w:t>immigration and immigrant policies reinforce definitions of national belonging that conflate citizenship status and ethnicity, which then transfers stigma associated with unauthorized immigration to entire groups of people, regardless of their citizenship status</w:t>
      </w:r>
      <w:r w:rsidRPr="00020FC7">
        <w:rPr>
          <w:sz w:val="8"/>
        </w:rPr>
        <w:t xml:space="preserve"> (Chavez 2008; Fox 2016; Viruell-Fuentes, Miranda, and Abdulrahim 2012). These studies highlight the salience of immigration issues and suggest why some people might be cautious about sharing personal identifying information, even with health </w:t>
      </w:r>
      <w:r w:rsidRPr="00020FC7">
        <w:rPr>
          <w:sz w:val="8"/>
          <w:szCs w:val="8"/>
        </w:rPr>
        <w:t xml:space="preserve">care providers. These strands of research corroborate a narrative that immigrant advocates use in describing </w:t>
      </w:r>
      <w:r w:rsidRPr="00020FC7">
        <w:rPr>
          <w:u w:val="single"/>
        </w:rPr>
        <w:t>withdrawal from full engagement in public life among immigrants and their United States-born co-ethnics in response to anti-immigrant policies</w:t>
      </w:r>
      <w:r w:rsidRPr="00020FC7">
        <w:rPr>
          <w:sz w:val="8"/>
        </w:rPr>
        <w:t xml:space="preserve"> (Kalet 2009; National Council of La Raza 2014; Vallejo 2010). However, evidence is sparse on the extent to which restrictive immigrant policy spills over to US citizens and their propensity to access health care services. The presumption has been that US citizens are not personally at risk in an environment of more exclusionary immigrant policies; therefore, their behavior surrounding health care services that they are eligible for should not be shaped by such policies. We also know very little about whether the concerns outlined above extend broadly to other service-providing bureaucracies, or deeply to the perceptions that citizens have about the integrity of health care professionals to guard their personal information. Reducing health care inequities may require the trust of patients at various steps in the provision of services, including the collection of basic demographic information that helps determine appropriate diagnosis, treatment, and access to needed social and health care resources. To what extent does the salience of immigration issues deter US citizens from using health care services? Who expresses skepticism about sharing personal identifying information in health care settings? In the sections that follow, we answer these questions theoretically and </w:t>
      </w:r>
      <w:r w:rsidRPr="00020FC7">
        <w:rPr>
          <w:sz w:val="8"/>
          <w:szCs w:val="8"/>
        </w:rPr>
        <w:t xml:space="preserve">empirically. We argue that one consequence of contemporary restrictive immigrant policies is that it psychologically conditions </w:t>
      </w:r>
      <w:r w:rsidRPr="00020FC7">
        <w:rPr>
          <w:strike/>
          <w:sz w:val="8"/>
          <w:szCs w:val="8"/>
        </w:rPr>
        <w:t>Latino</w:t>
      </w:r>
      <w:r w:rsidRPr="00020FC7">
        <w:rPr>
          <w:sz w:val="8"/>
          <w:szCs w:val="8"/>
        </w:rPr>
        <w:t xml:space="preserve"> [Latinx</w:t>
      </w:r>
      <w:proofErr w:type="gramStart"/>
      <w:r w:rsidRPr="00020FC7">
        <w:rPr>
          <w:sz w:val="8"/>
          <w:szCs w:val="8"/>
        </w:rPr>
        <w:t>]s</w:t>
      </w:r>
      <w:proofErr w:type="gramEnd"/>
      <w:r w:rsidRPr="00020FC7">
        <w:rPr>
          <w:sz w:val="8"/>
          <w:szCs w:val="8"/>
        </w:rPr>
        <w:t xml:space="preserve"> to navigate daily life around considerations of immigration policy for themselves, for those they are close to, and for members of their social networks. The growth in immigration enforcement bureaucracies charged with identifying and detaining people in the interior of the United States (Koulish 2010; Meissner et al. 2013), as well as efforts to police citizenship by officials outside of law enforcement (Sampaio 2015), facilitates a psychological aversion to immigration-related issues. We contend that the rise of a restrictive immigrant climate has taught even </w:t>
      </w:r>
      <w:r w:rsidRPr="00020FC7">
        <w:rPr>
          <w:strike/>
          <w:sz w:val="8"/>
          <w:szCs w:val="8"/>
        </w:rPr>
        <w:t>Latino</w:t>
      </w:r>
      <w:r w:rsidRPr="00020FC7">
        <w:rPr>
          <w:sz w:val="8"/>
          <w:szCs w:val="8"/>
        </w:rPr>
        <w:t xml:space="preserve"> [Latinx] US citizens to adopt strategies that minimize their risk of experiencing harassment associated with questions about their citizenship status. Using</w:t>
      </w:r>
      <w:r w:rsidRPr="00020FC7">
        <w:rPr>
          <w:sz w:val="8"/>
        </w:rPr>
        <w:t xml:space="preserve"> a population-based survey experiment, we test the claim that immigration issue concerns structure one's willingness to seek medical attention. By priming concerns over “immigration issues,” as opposed to “health insurance” policy concerns, we expect respondents to be less willing to engage with health care providers. When we refer to priming, we refer to raising the relevance and recency with which certain considerations become activated in one's working memory (Fiske and Taylor 1991; Taylor and Fiske 1978). As a broader analysis, we also compare the effects of priming “immigration issues” to other facets of quotidian life. Despite their US citizenship, we find </w:t>
      </w:r>
      <w:r w:rsidRPr="00020FC7">
        <w:rPr>
          <w:strike/>
          <w:sz w:val="8"/>
        </w:rPr>
        <w:t>Latino</w:t>
      </w:r>
      <w:r w:rsidRPr="00020FC7">
        <w:rPr>
          <w:sz w:val="8"/>
        </w:rPr>
        <w:t xml:space="preserve"> [Latinx] s exposed to the “immigration issues” cue shy away from engaging with doctors, police, and, to a lesser extent, educators. We also find that a personal connection to someone who has been deported is associated with the belief that personal information shared with health care providers is not secure. In the final section, we discuss implications of our study for addressing health care inequities. Issue Publics, Policy Feedback, and the Immigration-to-Health-Care Link Our core theoretical argument is that </w:t>
      </w:r>
      <w:r w:rsidRPr="00020FC7">
        <w:rPr>
          <w:rStyle w:val="StyleUnderline"/>
        </w:rPr>
        <w:t>the issue of immigration guides the way</w:t>
      </w:r>
      <w:r w:rsidRPr="00020FC7">
        <w:rPr>
          <w:sz w:val="8"/>
        </w:rPr>
        <w:t xml:space="preserve"> that many </w:t>
      </w:r>
      <w:r w:rsidRPr="00020FC7">
        <w:rPr>
          <w:strike/>
          <w:sz w:val="8"/>
        </w:rPr>
        <w:t>Latino</w:t>
      </w:r>
      <w:r w:rsidRPr="00020FC7">
        <w:rPr>
          <w:sz w:val="8"/>
        </w:rPr>
        <w:t xml:space="preserve"> [</w:t>
      </w:r>
      <w:r w:rsidRPr="00020FC7">
        <w:rPr>
          <w:rStyle w:val="StyleUnderline"/>
        </w:rPr>
        <w:t>Latinx</w:t>
      </w:r>
      <w:proofErr w:type="gramStart"/>
      <w:r w:rsidRPr="00020FC7">
        <w:rPr>
          <w:rStyle w:val="StyleUnderline"/>
        </w:rPr>
        <w:t>]s</w:t>
      </w:r>
      <w:proofErr w:type="gramEnd"/>
      <w:r w:rsidRPr="00020FC7">
        <w:rPr>
          <w:rStyle w:val="StyleUnderline"/>
        </w:rPr>
        <w:t xml:space="preserve"> think about and engage with health care resources</w:t>
      </w:r>
      <w:r w:rsidRPr="00020FC7">
        <w:rPr>
          <w:sz w:val="8"/>
        </w:rPr>
        <w:t xml:space="preserve">. We contend that both </w:t>
      </w:r>
      <w:r w:rsidRPr="00020FC7">
        <w:rPr>
          <w:strike/>
          <w:sz w:val="8"/>
        </w:rPr>
        <w:t>Latino</w:t>
      </w:r>
      <w:r w:rsidRPr="00020FC7">
        <w:rPr>
          <w:sz w:val="8"/>
        </w:rPr>
        <w:t xml:space="preserve"> [</w:t>
      </w:r>
      <w:r w:rsidRPr="00020FC7">
        <w:rPr>
          <w:rStyle w:val="StyleUnderline"/>
        </w:rPr>
        <w:t>Latinx</w:t>
      </w:r>
      <w:r w:rsidRPr="00020FC7">
        <w:rPr>
          <w:sz w:val="8"/>
        </w:rPr>
        <w:t xml:space="preserve">] </w:t>
      </w:r>
      <w:r w:rsidRPr="00020FC7">
        <w:rPr>
          <w:rStyle w:val="StyleUnderline"/>
        </w:rPr>
        <w:t>health care inequities and evaluation efforts aimed at addressing such inequities require an understanding of how immigration and health care policy overlap.</w:t>
      </w:r>
      <w:r w:rsidRPr="00020FC7">
        <w:rPr>
          <w:sz w:val="8"/>
        </w:rPr>
        <w:t xml:space="preserve"> Connections between restrictive immigration and health care policy in the US relay messages to </w:t>
      </w:r>
      <w:r w:rsidRPr="00020FC7">
        <w:rPr>
          <w:strike/>
          <w:sz w:val="8"/>
        </w:rPr>
        <w:t>Latino</w:t>
      </w:r>
      <w:r w:rsidRPr="00020FC7">
        <w:rPr>
          <w:sz w:val="8"/>
        </w:rPr>
        <w:t xml:space="preserve"> [</w:t>
      </w:r>
      <w:r w:rsidRPr="00020FC7">
        <w:rPr>
          <w:rStyle w:val="StyleUnderline"/>
        </w:rPr>
        <w:t>Latinx] s that</w:t>
      </w:r>
      <w:r w:rsidRPr="00020FC7">
        <w:rPr>
          <w:sz w:val="8"/>
        </w:rPr>
        <w:t xml:space="preserve"> they </w:t>
      </w:r>
      <w:r w:rsidRPr="00020FC7">
        <w:rPr>
          <w:rStyle w:val="Emphasis"/>
          <w:b w:val="0"/>
        </w:rPr>
        <w:t>are unwelcome in America</w:t>
      </w:r>
      <w:r w:rsidRPr="00020FC7">
        <w:rPr>
          <w:sz w:val="8"/>
        </w:rPr>
        <w:t xml:space="preserve">, and </w:t>
      </w:r>
      <w:r w:rsidRPr="00020FC7">
        <w:rPr>
          <w:rStyle w:val="StyleUnderline"/>
        </w:rPr>
        <w:t>this connection is sustained by a decades-long protracted salience of immigration politics</w:t>
      </w:r>
      <w:r w:rsidRPr="00020FC7">
        <w:rPr>
          <w:sz w:val="8"/>
        </w:rPr>
        <w:t xml:space="preserve"> for </w:t>
      </w:r>
      <w:r w:rsidRPr="00020FC7">
        <w:rPr>
          <w:strike/>
          <w:sz w:val="8"/>
        </w:rPr>
        <w:t>Latino</w:t>
      </w:r>
      <w:r w:rsidRPr="00020FC7">
        <w:rPr>
          <w:sz w:val="8"/>
        </w:rPr>
        <w:t xml:space="preserve"> [Latinx] s. In this section, we draw on the concept of issue publics, priming, and the framework of policy feedback to motivate hypotheses about the relationship between immigration and engagement with health care providers. Immigration Issue Salience and </w:t>
      </w:r>
      <w:r w:rsidRPr="00020FC7">
        <w:rPr>
          <w:strike/>
          <w:sz w:val="8"/>
        </w:rPr>
        <w:t>Latino</w:t>
      </w:r>
      <w:r w:rsidRPr="00020FC7">
        <w:rPr>
          <w:sz w:val="8"/>
        </w:rPr>
        <w:t xml:space="preserve"> [Latinx</w:t>
      </w:r>
      <w:proofErr w:type="gramStart"/>
      <w:r w:rsidRPr="00020FC7">
        <w:rPr>
          <w:sz w:val="8"/>
        </w:rPr>
        <w:t>]s</w:t>
      </w:r>
      <w:proofErr w:type="gramEnd"/>
      <w:r w:rsidRPr="00020FC7">
        <w:rPr>
          <w:sz w:val="8"/>
        </w:rPr>
        <w:t xml:space="preserve"> Rather than one public that is highly informed about politics in general, societies consist of smaller issue publics (Converse 1964; Key 1966). Demands on our time from other aspects of life are too onerous to afford attention to a wide range of politics (Rosenstone and Hansen 1993; Verba, Schlozman, and Brady 1995). But most people pay attention to one or two issues. Groups of individuals who pay close attention to an issue, such as health care or immigration, are attentive to these political issues because of their salience in day-to-day life. Compared to nonmembers, members of issue publics form strong attitudes about their issue and use that issue to orient their political behavior (Krosnick 1990). Moreover, information in the political environment that raises the salience and accessibility of particular considerations—what social psychologists call priming (Fiske and Taylor 1991; Taylor and Fiske 1978)—can stimulate information collection for those with intense interest in that issue (Hutchings 2003). Priming effects can also influence political judgments broadly. For example, Nicholson (2005) found that issues primed by statewide ballot initiatives frame the way people think about and choose candidates for federal offices, even when those issues are not featured in those contests or extend beyond the scope of responsibilities associated with those offices. These studies uncover the power of priming effects to transcend institutional boundaries, and suggest that members of issue publics may use their issue priorities to guide how they think about other issue areas. For </w:t>
      </w:r>
      <w:r w:rsidRPr="00020FC7">
        <w:rPr>
          <w:strike/>
          <w:sz w:val="8"/>
        </w:rPr>
        <w:t>Latino</w:t>
      </w:r>
      <w:r w:rsidRPr="00020FC7">
        <w:rPr>
          <w:sz w:val="8"/>
        </w:rPr>
        <w:t xml:space="preserve"> [</w:t>
      </w:r>
      <w:r w:rsidRPr="00020FC7">
        <w:rPr>
          <w:sz w:val="8"/>
          <w:szCs w:val="8"/>
        </w:rPr>
        <w:t>Latinx] s, the link between matters of immigration and matters of health care begins with the importance of immigration as an issue. Gallup's famed question that asks what is the “most important problem” facing the country indicates that from 1994 to 2016, a multiracial nationally representative sample of Americans infrequently mention “immigration” as the most challenging issue, with most years registering less than 10 percent.1 Unlike the perennial worry over jobs and the economy, only at key moments such as the 2006 immigration rallies (19 percent), the 2007 congressional debates over national immigration reform (15 percent), and the 2014 surge</w:t>
      </w:r>
      <w:r w:rsidRPr="00020FC7">
        <w:rPr>
          <w:sz w:val="8"/>
        </w:rPr>
        <w:t xml:space="preserve"> in refugees from Central America seeking asylum in the United States (17 percent), did more than one in ten Americans point to immigration as most important. In contrast, at six different points from 2004 to 2012, the Pew Hispanic Center observed no fewer than 27 percent of US </w:t>
      </w:r>
      <w:r w:rsidRPr="00020FC7">
        <w:rPr>
          <w:strike/>
          <w:sz w:val="8"/>
        </w:rPr>
        <w:t>Latino</w:t>
      </w:r>
      <w:r w:rsidRPr="00020FC7">
        <w:rPr>
          <w:sz w:val="8"/>
        </w:rPr>
        <w:t xml:space="preserve"> [Latinx] s citing immigration as the top issue, with peaks of 37 percent in 2007 and 34 percent in 2012.2 For about one in three </w:t>
      </w:r>
      <w:r w:rsidRPr="00020FC7">
        <w:rPr>
          <w:strike/>
          <w:sz w:val="8"/>
        </w:rPr>
        <w:t>Latino</w:t>
      </w:r>
      <w:r w:rsidRPr="00020FC7">
        <w:rPr>
          <w:sz w:val="8"/>
        </w:rPr>
        <w:t xml:space="preserve"> [Latinx] s, or three times as many compared to the general public, immigration is a chronically salient policy </w:t>
      </w:r>
      <w:r w:rsidRPr="00020FC7">
        <w:rPr>
          <w:sz w:val="8"/>
          <w:szCs w:val="8"/>
        </w:rPr>
        <w:t xml:space="preserve">issue. </w:t>
      </w:r>
      <w:r w:rsidRPr="00020FC7">
        <w:rPr>
          <w:strike/>
          <w:sz w:val="8"/>
          <w:szCs w:val="8"/>
        </w:rPr>
        <w:t>Latino</w:t>
      </w:r>
      <w:r w:rsidRPr="00020FC7">
        <w:rPr>
          <w:sz w:val="8"/>
          <w:szCs w:val="8"/>
        </w:rPr>
        <w:t xml:space="preserve"> [Latinx] s are a key constituency of the immigration issue public for a more basic reason. Fifty-two percent of </w:t>
      </w:r>
      <w:r w:rsidRPr="00020FC7">
        <w:rPr>
          <w:strike/>
          <w:sz w:val="8"/>
          <w:szCs w:val="8"/>
        </w:rPr>
        <w:t>Latino</w:t>
      </w:r>
      <w:r w:rsidRPr="00020FC7">
        <w:rPr>
          <w:sz w:val="8"/>
          <w:szCs w:val="8"/>
        </w:rPr>
        <w:t xml:space="preserve"> [Latinx] adults are foreign born, and 85 percent of all </w:t>
      </w:r>
      <w:r w:rsidRPr="00020FC7">
        <w:rPr>
          <w:strike/>
          <w:sz w:val="8"/>
          <w:szCs w:val="8"/>
        </w:rPr>
        <w:t>Latino</w:t>
      </w:r>
      <w:r w:rsidRPr="00020FC7">
        <w:rPr>
          <w:sz w:val="8"/>
          <w:szCs w:val="8"/>
        </w:rPr>
        <w:t xml:space="preserve"> [Latinx] s have at least one immigrant grandparent (Fraga et al. 2011). Migration into </w:t>
      </w:r>
      <w:r w:rsidRPr="00020FC7">
        <w:rPr>
          <w:strike/>
          <w:sz w:val="8"/>
          <w:szCs w:val="8"/>
        </w:rPr>
        <w:t>Latino</w:t>
      </w:r>
      <w:r w:rsidRPr="00020FC7">
        <w:rPr>
          <w:sz w:val="8"/>
          <w:szCs w:val="8"/>
        </w:rPr>
        <w:t xml:space="preserve"> [Latinx] communities in the United States has been sustained over a century, replenishing </w:t>
      </w:r>
      <w:r w:rsidRPr="00020FC7">
        <w:rPr>
          <w:strike/>
          <w:sz w:val="8"/>
          <w:szCs w:val="8"/>
        </w:rPr>
        <w:t>Latino</w:t>
      </w:r>
      <w:r w:rsidRPr="00020FC7">
        <w:rPr>
          <w:sz w:val="8"/>
          <w:szCs w:val="8"/>
        </w:rPr>
        <w:t xml:space="preserve"> [Latinx] ethnic identity and</w:t>
      </w:r>
      <w:r w:rsidRPr="00020FC7">
        <w:rPr>
          <w:sz w:val="8"/>
        </w:rPr>
        <w:t xml:space="preserve"> reviving anti-</w:t>
      </w:r>
      <w:r w:rsidRPr="00020FC7">
        <w:rPr>
          <w:strike/>
          <w:sz w:val="8"/>
        </w:rPr>
        <w:t>Latino</w:t>
      </w:r>
      <w:r w:rsidRPr="00020FC7">
        <w:rPr>
          <w:sz w:val="8"/>
        </w:rPr>
        <w:t xml:space="preserve"> [Latinx] nativist impulses (Gratton and Merchant 2015; Jiménez 2008). Unlike immigrants from various European countries, </w:t>
      </w:r>
      <w:r w:rsidRPr="00020FC7">
        <w:rPr>
          <w:strike/>
          <w:sz w:val="8"/>
        </w:rPr>
        <w:t>Latino</w:t>
      </w:r>
      <w:r w:rsidRPr="00020FC7">
        <w:rPr>
          <w:sz w:val="8"/>
        </w:rPr>
        <w:t xml:space="preserve"> [Latinx] incorporation traces through conquest in the 1800s, through migration preceding the Great Depression, to newcomers sponsored through the Bracero guest-worker program that operated from 1942 to 1964, and to present-day workers from Mexico and other Latin American countries responding to the demand for cheap labor in the United States since the 1970s (Gutiérrez 2004; Massey 2002). The salience of immigration for </w:t>
      </w:r>
      <w:r w:rsidRPr="00020FC7">
        <w:rPr>
          <w:strike/>
          <w:sz w:val="8"/>
        </w:rPr>
        <w:t>Latino</w:t>
      </w:r>
      <w:r w:rsidRPr="00020FC7">
        <w:rPr>
          <w:sz w:val="8"/>
        </w:rPr>
        <w:t xml:space="preserve"> [Latinx] US citizens today also stems from their personal proximity to undocumented immigrants, who are the focus of the most intense debates in immigration politics. A 2014 survey of </w:t>
      </w:r>
      <w:r w:rsidRPr="00020FC7">
        <w:rPr>
          <w:strike/>
          <w:sz w:val="8"/>
        </w:rPr>
        <w:t>Latino</w:t>
      </w:r>
      <w:r w:rsidRPr="00020FC7">
        <w:rPr>
          <w:sz w:val="8"/>
        </w:rPr>
        <w:t xml:space="preserve"> [Latinx] s (Lopez, Gonzalez-Barrera, and Krogstad 2014) by the Pew Hispanic Center found that 23 percent of US-born </w:t>
      </w:r>
      <w:r w:rsidRPr="00020FC7">
        <w:rPr>
          <w:strike/>
          <w:sz w:val="8"/>
        </w:rPr>
        <w:t>Latino</w:t>
      </w:r>
      <w:r w:rsidRPr="00020FC7">
        <w:rPr>
          <w:sz w:val="8"/>
        </w:rPr>
        <w:t xml:space="preserve"> [Latinx] s, and 31 percent of US-born children of at least one immigrant parent, reported personally knowing someone who had been detained for immigration-related reasons or deported in the past year. Responses collected one year later in the 2015 </w:t>
      </w:r>
      <w:r w:rsidRPr="00020FC7">
        <w:rPr>
          <w:strike/>
          <w:sz w:val="8"/>
        </w:rPr>
        <w:t>Latino</w:t>
      </w:r>
      <w:r w:rsidRPr="00020FC7">
        <w:rPr>
          <w:sz w:val="8"/>
        </w:rPr>
        <w:t xml:space="preserve"> [Latinx] National Health and Immigration Survey (LNHIS), a survey that the authors of this study helped to design and field, suggest a similar figure: 39 percent of </w:t>
      </w:r>
      <w:r w:rsidRPr="00020FC7">
        <w:rPr>
          <w:strike/>
          <w:sz w:val="8"/>
        </w:rPr>
        <w:t>Latino</w:t>
      </w:r>
      <w:r w:rsidRPr="00020FC7">
        <w:rPr>
          <w:sz w:val="8"/>
        </w:rPr>
        <w:t xml:space="preserve"> [Latinx] US citizens, inclusive of immigrants who are naturalized citizens, personally know someone who has been deported. A major implication of deep and widespread personal connections to the immigration experience is that </w:t>
      </w:r>
      <w:r w:rsidRPr="00020FC7">
        <w:rPr>
          <w:strike/>
          <w:sz w:val="8"/>
        </w:rPr>
        <w:t>Latino</w:t>
      </w:r>
      <w:r w:rsidRPr="00020FC7">
        <w:rPr>
          <w:sz w:val="8"/>
        </w:rPr>
        <w:t xml:space="preserve"> [Latinx] US citizens are chronically primed by immigration matters in everyday life, including matters related to health care. The concepts of issue priming and issue publics help clarify the salience of immigration issues to </w:t>
      </w:r>
      <w:r w:rsidRPr="00020FC7">
        <w:rPr>
          <w:strike/>
          <w:sz w:val="8"/>
        </w:rPr>
        <w:t>Latino</w:t>
      </w:r>
      <w:r w:rsidRPr="00020FC7">
        <w:rPr>
          <w:sz w:val="8"/>
        </w:rPr>
        <w:t xml:space="preserve"> [Latinx] s and the potential connection to other issues. The key to understanding why immigration politics is an obstacle to reducing health care inequities is the historical overlap between immigration and welfare-state policies. The overlap between immigration and welfare policies reveals crucial lessons to </w:t>
      </w:r>
      <w:r w:rsidRPr="00020FC7">
        <w:rPr>
          <w:strike/>
          <w:sz w:val="8"/>
        </w:rPr>
        <w:t>Latino</w:t>
      </w:r>
      <w:r w:rsidRPr="00020FC7">
        <w:rPr>
          <w:sz w:val="8"/>
        </w:rPr>
        <w:t xml:space="preserve"> [Latinx] s about their place in America, both as suspect clients of the welfare-state, as well as default targets of immigration enforcement. Next, we draw on the concept of policy feedback to explain why immigration provokes a psychological aversion to engagement with health care-providing resources among </w:t>
      </w:r>
      <w:r w:rsidRPr="00020FC7">
        <w:rPr>
          <w:strike/>
          <w:sz w:val="8"/>
        </w:rPr>
        <w:t>Latino</w:t>
      </w:r>
      <w:r w:rsidRPr="00020FC7">
        <w:rPr>
          <w:sz w:val="8"/>
        </w:rPr>
        <w:t xml:space="preserve"> [Latinx] s. Policy Feedback and Deterred Engagement with Health Care Providers </w:t>
      </w:r>
      <w:r w:rsidRPr="00020FC7">
        <w:rPr>
          <w:u w:val="single"/>
        </w:rPr>
        <w:t>The policy feedback framework posits that policy creates new politics by influencing mass publics through “resource” and “interpretive” effects</w:t>
      </w:r>
      <w:r w:rsidRPr="00020FC7">
        <w:rPr>
          <w:sz w:val="8"/>
        </w:rPr>
        <w:t xml:space="preserve"> (Pierson </w:t>
      </w:r>
      <w:r w:rsidRPr="00020FC7">
        <w:rPr>
          <w:sz w:val="8"/>
          <w:szCs w:val="8"/>
        </w:rPr>
        <w:t>1993). Policy investments in senior citizens (Campbell 2002) and veterans (Mettler 2005), for example, redistribute resources such as money and time, which facilitate political participation.</w:t>
      </w:r>
      <w:r w:rsidRPr="00020FC7">
        <w:rPr>
          <w:u w:val="single"/>
        </w:rPr>
        <w:t xml:space="preserve"> Policy also has interpretive effects that can reshape later rounds of policy processes by empowering some voices and discouraging others. Interpretive policy effects begin simply with policy that classifies people and codifies criteria, such as nativity and </w:t>
      </w:r>
      <w:proofErr w:type="gramStart"/>
      <w:r w:rsidRPr="00020FC7">
        <w:rPr>
          <w:u w:val="single"/>
        </w:rPr>
        <w:t>citizenship, that</w:t>
      </w:r>
      <w:proofErr w:type="gramEnd"/>
      <w:r w:rsidRPr="00020FC7">
        <w:rPr>
          <w:u w:val="single"/>
        </w:rPr>
        <w:t xml:space="preserve"> determines who receives benefits and who receives burdens</w:t>
      </w:r>
      <w:r w:rsidRPr="00020FC7">
        <w:rPr>
          <w:sz w:val="8"/>
        </w:rPr>
        <w:t xml:space="preserve"> (Schneider and Ingram 1993). Policy also imparts lessons through participation in public programs that signal who is a deserving member of the polity (Soss 2002). Programs such as the GI Bill (Mettler 2005), Social Security (Campbell 2007), and Head Start (Soss 2002), teach people that government is responsive, and empower participants to engage in civic life. By contrast, “stop-and-frisk” policies and “show-me-your-papers” laws that disproportionately target blacks and </w:t>
      </w:r>
      <w:r w:rsidRPr="00020FC7">
        <w:rPr>
          <w:strike/>
          <w:sz w:val="8"/>
        </w:rPr>
        <w:t>Latino</w:t>
      </w:r>
      <w:r w:rsidRPr="00020FC7">
        <w:rPr>
          <w:sz w:val="8"/>
        </w:rPr>
        <w:t xml:space="preserve"> [Latinx] s communicate to members in those groups that government is not responsive to their needs and they are second-class members of society. Studies show that such laws nudge </w:t>
      </w:r>
      <w:r w:rsidRPr="00020FC7">
        <w:rPr>
          <w:strike/>
          <w:sz w:val="8"/>
        </w:rPr>
        <w:t>Latino</w:t>
      </w:r>
      <w:r w:rsidRPr="00020FC7">
        <w:rPr>
          <w:sz w:val="8"/>
        </w:rPr>
        <w:t xml:space="preserve"> [Latinx] s and blacks to distrust and avoid government (Burch 2013; Rocha, Knoll, and Wrinkle 2015; Walker 2014; Weaver and Lerman 2010). Here, we are interested in the interpretative lessons </w:t>
      </w:r>
      <w:r w:rsidRPr="00020FC7">
        <w:rPr>
          <w:strike/>
          <w:sz w:val="8"/>
        </w:rPr>
        <w:t>Latino</w:t>
      </w:r>
      <w:r w:rsidRPr="00020FC7">
        <w:rPr>
          <w:sz w:val="8"/>
        </w:rPr>
        <w:t xml:space="preserve"> [Latinx] s might glean from immigration policies and policies related to the provision of health care. The social construction of immigrants and </w:t>
      </w:r>
      <w:r w:rsidRPr="00020FC7">
        <w:rPr>
          <w:strike/>
          <w:sz w:val="8"/>
        </w:rPr>
        <w:t>Latino</w:t>
      </w:r>
      <w:r w:rsidRPr="00020FC7">
        <w:rPr>
          <w:sz w:val="8"/>
        </w:rPr>
        <w:t xml:space="preserve"> [Latinx] s as less deserving </w:t>
      </w:r>
      <w:r w:rsidRPr="00020FC7">
        <w:rPr>
          <w:sz w:val="8"/>
          <w:szCs w:val="8"/>
        </w:rPr>
        <w:t>stems from nineteenth-century public charge laws used to regulate entry into the United States. The United States</w:t>
      </w:r>
      <w:r w:rsidRPr="00020FC7">
        <w:rPr>
          <w:sz w:val="8"/>
        </w:rPr>
        <w:t xml:space="preserve"> is a nation that welcomes immigrants, the reasoning goes, but the United States must secure its own welfare before aiding the less fortunate of other nations. Public charge laws also exclude persons alleged to have committed or convicted of a crime, a provision lawmakers connected to Mexican immigrants in the debates that produced the 1924 Johnson-Reed Act (Ngai 2004). Importantly, Johnson-Reed introduced the concept of illegal alien (Ngai 2004: 58), which “Europeans and Canadians tended to be disassociated from,” but “became constitutive of a racialized Mexican identity and of Mexicans' exclusion from the national community and polity.”3 From the perspective of policy feedback, overlap between immigration and welfare-state policies reifies nativity and citizenship as markers that distinguish more from less “deserving” groups (Myers 2007). Policy feedback theory anticipates that products of past policy, such as the designation of illegal immigrant and public charge rules, can have long-lasting influence on future policy outcomes and how subsets of the population view government. The </w:t>
      </w:r>
      <w:r w:rsidRPr="00020FC7">
        <w:rPr>
          <w:u w:val="single"/>
        </w:rPr>
        <w:t>policy roots of health care inequities</w:t>
      </w:r>
      <w:r w:rsidRPr="00020FC7">
        <w:rPr>
          <w:sz w:val="8"/>
        </w:rPr>
        <w:t xml:space="preserve"> that </w:t>
      </w:r>
      <w:r w:rsidRPr="00020FC7">
        <w:rPr>
          <w:u w:val="single"/>
        </w:rPr>
        <w:t>grow from policing citizenship and nativity</w:t>
      </w:r>
      <w:r w:rsidRPr="00020FC7">
        <w:rPr>
          <w:sz w:val="8"/>
        </w:rPr>
        <w:t xml:space="preserve"> remain with us </w:t>
      </w:r>
      <w:r w:rsidRPr="00020FC7">
        <w:rPr>
          <w:sz w:val="8"/>
          <w:szCs w:val="8"/>
        </w:rPr>
        <w:t>today. For example, the ACA continues to invoke citizenship and nativity as boundaries of our social obligations (Joseph 2016). Specifically, the health care exchanges created through the ACA call for local bureaucrats and computer systems to flag the citizenship status of applicants. The ACA systems are extensions of exclusions codified in the 1996 Personal Responsibility</w:t>
      </w:r>
      <w:r w:rsidRPr="00020FC7">
        <w:rPr>
          <w:sz w:val="8"/>
        </w:rPr>
        <w:t xml:space="preserve">, Work Opportunity and Reconciliation Act (PRWORA), which reinforced citizenship and nativity-based privilege by barring immigrants with authorized US presence who arrived after the law passed from accessing public benefits for five years or until attaining proper status. Although numerous states countered the five-year residency ban by legislating immigrants back into the fold within their jurisdiction, the 1996 federal bar initially excluded authorized immigrants from Medicaid, the Supplemental Nutrition Assistance Program, and Supplemental </w:t>
      </w:r>
      <w:r w:rsidRPr="00020FC7">
        <w:rPr>
          <w:sz w:val="8"/>
          <w:szCs w:val="8"/>
        </w:rPr>
        <w:t>Security Income. States have implemented similar exemptions to cover excluded populations under the ACA. Still, contemporaneous</w:t>
      </w:r>
      <w:r w:rsidRPr="00020FC7">
        <w:rPr>
          <w:sz w:val="8"/>
        </w:rPr>
        <w:t xml:space="preserve"> to PRWORA are policies such as the 1996 Illegal Immigration Reform and Immigration Responsibility Act (IIRIRA), and the Anti-Terrorism and Effective Death Penalty Act (ATEDPA), which </w:t>
      </w:r>
      <w:r w:rsidRPr="00020FC7">
        <w:rPr>
          <w:sz w:val="8"/>
          <w:szCs w:val="8"/>
        </w:rPr>
        <w:t>expanded US immigration enforcement powers by removing key components of due process for noncitizens, increasing the set of deportable crimes, and allowing retroactive application of deportation proceedings for crimes previously adjudicated (Welch 2002). Like PRWORA, IIRIRA and ATEDPA widen the gap in rights between</w:t>
      </w:r>
      <w:r w:rsidRPr="00020FC7">
        <w:rPr>
          <w:sz w:val="8"/>
        </w:rPr>
        <w:t xml:space="preserve"> noncitizen and citizen, setting the stage for the federal immigration enforcement of the 1990s that Watson (2014) and Vargas (2015) identify as deterring eligible people from using various welfare programs, </w:t>
      </w:r>
      <w:r w:rsidRPr="00020FC7">
        <w:rPr>
          <w:sz w:val="8"/>
          <w:szCs w:val="8"/>
        </w:rPr>
        <w:t>including Medicaid. More explicit ties between law enforcement officials and public health bureaucrats stretch back over</w:t>
      </w:r>
      <w:r w:rsidRPr="00020FC7">
        <w:rPr>
          <w:sz w:val="8"/>
        </w:rPr>
        <w:t xml:space="preserve"> a century. According to Molina (2006), rather than pointing to the unsanitary living conditions of labor camps provided by railroad companies, public health workers advanced racist claims of Mexicans' aversion to bathing to explain the spread of typhus in Los Angeles in 1916. After blaming Mexican immigrant railroad workers for typhus outbreaks, public health workers enacted policy that required railroad companies to quarantine new workers from Mexico and report the names of all new hires to the Los Angeles Board of Health. As Molina (2006: 66) explains, “[q]uarantine guards, invested with the same legal power as deputy sheriffs, policed the quarantine observation facilities to prevent anyone from leaving,” and “the expanding information exchange between public agencies and private companies placed Mexicans under an unprecedented level of surveillance.” Through their authority to implement health policy, public health officials associated themselves with immigration authorities</w:t>
      </w:r>
      <w:r w:rsidRPr="00020FC7">
        <w:rPr>
          <w:sz w:val="8"/>
          <w:szCs w:val="8"/>
        </w:rPr>
        <w:t xml:space="preserve">. Ironically, </w:t>
      </w:r>
      <w:r w:rsidRPr="00020FC7">
        <w:rPr>
          <w:rStyle w:val="StyleUnderline"/>
          <w:sz w:val="8"/>
          <w:szCs w:val="8"/>
          <w:u w:val="none"/>
        </w:rPr>
        <w:t>by redirecting public health politics into immigration policy debates, health officials sowed the seeds of aversion toward their services, and</w:t>
      </w:r>
      <w:r w:rsidRPr="00020FC7">
        <w:rPr>
          <w:sz w:val="8"/>
          <w:szCs w:val="8"/>
        </w:rPr>
        <w:t xml:space="preserve"> potentially </w:t>
      </w:r>
      <w:r w:rsidRPr="00020FC7">
        <w:rPr>
          <w:rStyle w:val="StyleUnderline"/>
          <w:sz w:val="8"/>
          <w:szCs w:val="8"/>
          <w:u w:val="none"/>
        </w:rPr>
        <w:t>generated</w:t>
      </w:r>
      <w:r w:rsidRPr="00020FC7">
        <w:rPr>
          <w:sz w:val="8"/>
          <w:szCs w:val="8"/>
        </w:rPr>
        <w:t xml:space="preserve"> future </w:t>
      </w:r>
      <w:r w:rsidRPr="00020FC7">
        <w:rPr>
          <w:strike/>
          <w:sz w:val="8"/>
          <w:szCs w:val="8"/>
        </w:rPr>
        <w:t>Latino</w:t>
      </w:r>
      <w:r w:rsidRPr="00020FC7">
        <w:rPr>
          <w:sz w:val="8"/>
          <w:szCs w:val="8"/>
        </w:rPr>
        <w:t xml:space="preserve"> [</w:t>
      </w:r>
      <w:r w:rsidRPr="00020FC7">
        <w:rPr>
          <w:rStyle w:val="Emphasis"/>
          <w:sz w:val="8"/>
          <w:szCs w:val="8"/>
          <w:u w:val="none"/>
        </w:rPr>
        <w:t xml:space="preserve">Latinx] health care inequities. </w:t>
      </w:r>
      <w:r w:rsidRPr="00020FC7">
        <w:rPr>
          <w:rStyle w:val="StyleUnderline"/>
          <w:sz w:val="8"/>
          <w:szCs w:val="8"/>
          <w:u w:val="none"/>
        </w:rPr>
        <w:t>Working with immigration authorities</w:t>
      </w:r>
      <w:r w:rsidRPr="00020FC7">
        <w:rPr>
          <w:sz w:val="8"/>
          <w:szCs w:val="8"/>
        </w:rPr>
        <w:t xml:space="preserve">, relief bureaucrats divulged </w:t>
      </w:r>
      <w:r w:rsidRPr="00020FC7">
        <w:rPr>
          <w:rStyle w:val="StyleUnderline"/>
          <w:sz w:val="8"/>
          <w:szCs w:val="8"/>
          <w:u w:val="none"/>
        </w:rPr>
        <w:t>client information</w:t>
      </w:r>
      <w:r w:rsidRPr="00020FC7">
        <w:rPr>
          <w:sz w:val="8"/>
          <w:szCs w:val="8"/>
        </w:rPr>
        <w:t xml:space="preserve"> that </w:t>
      </w:r>
      <w:r w:rsidRPr="00020FC7">
        <w:rPr>
          <w:rStyle w:val="StyleUnderline"/>
          <w:sz w:val="8"/>
          <w:szCs w:val="8"/>
          <w:u w:val="none"/>
        </w:rPr>
        <w:t>guided mass deportation operations</w:t>
      </w:r>
      <w:r w:rsidRPr="00020FC7">
        <w:rPr>
          <w:sz w:val="8"/>
          <w:szCs w:val="8"/>
        </w:rPr>
        <w:t xml:space="preserve"> during the Great Depression. According to Fox (2012), Depression-era social workers ensured that poor European migrants settled into a world of relief and inclusion, while blacks in the South and </w:t>
      </w:r>
      <w:r w:rsidRPr="00020FC7">
        <w:rPr>
          <w:strike/>
          <w:sz w:val="8"/>
          <w:szCs w:val="8"/>
        </w:rPr>
        <w:t>Latino</w:t>
      </w:r>
      <w:r w:rsidRPr="00020FC7">
        <w:rPr>
          <w:sz w:val="8"/>
          <w:szCs w:val="8"/>
        </w:rPr>
        <w:t xml:space="preserve"> [</w:t>
      </w:r>
      <w:r w:rsidRPr="00020FC7">
        <w:rPr>
          <w:rStyle w:val="StyleUnderline"/>
          <w:sz w:val="8"/>
          <w:szCs w:val="8"/>
          <w:u w:val="none"/>
        </w:rPr>
        <w:t>Latinx</w:t>
      </w:r>
      <w:r w:rsidRPr="00020FC7">
        <w:rPr>
          <w:sz w:val="8"/>
          <w:szCs w:val="8"/>
        </w:rPr>
        <w:t xml:space="preserve">] s in the Southwest, by contrast, </w:t>
      </w:r>
      <w:proofErr w:type="gramStart"/>
      <w:r w:rsidRPr="00020FC7">
        <w:rPr>
          <w:rStyle w:val="StyleUnderline"/>
          <w:sz w:val="8"/>
          <w:szCs w:val="8"/>
          <w:u w:val="none"/>
        </w:rPr>
        <w:t>faced</w:t>
      </w:r>
      <w:proofErr w:type="gramEnd"/>
      <w:r w:rsidRPr="00020FC7">
        <w:rPr>
          <w:rStyle w:val="StyleUnderline"/>
          <w:sz w:val="8"/>
          <w:szCs w:val="8"/>
          <w:u w:val="none"/>
        </w:rPr>
        <w:t xml:space="preserve"> exclusion from relief.</w:t>
      </w:r>
      <w:r w:rsidRPr="00020FC7">
        <w:rPr>
          <w:sz w:val="8"/>
          <w:szCs w:val="8"/>
        </w:rPr>
        <w:t xml:space="preserve"> For Mexicans and United States-born Mexican Americans, </w:t>
      </w:r>
      <w:r w:rsidRPr="00020FC7">
        <w:rPr>
          <w:rStyle w:val="StyleUnderline"/>
          <w:sz w:val="8"/>
          <w:szCs w:val="8"/>
          <w:u w:val="none"/>
        </w:rPr>
        <w:t>stakes mounted when charity workers passed applicant information to immigration officials that led to expulsion from the United States</w:t>
      </w:r>
      <w:r w:rsidRPr="00020FC7">
        <w:rPr>
          <w:sz w:val="8"/>
          <w:szCs w:val="8"/>
        </w:rPr>
        <w:t>. As a strategy to thin welfare rolls, some relief agents like “the head of the Arizona Board of Public Welfare had no objections to letting immigration officers have access to the personal histories of all aliens applying for relief,” while others like “the county board's lawyer advised against it, ‘on the ground that many deserving aliens would be afraid to ask for help’” (Fox 2012: 151). As policy implementers, relief bureaucrats were aware of the “interpretive” effects—that is, the impact</w:t>
      </w:r>
      <w:r w:rsidRPr="00020FC7">
        <w:rPr>
          <w:sz w:val="8"/>
        </w:rPr>
        <w:t xml:space="preserve"> on public clients—of their choice to coordinate (or not) with immigration authorities. </w:t>
      </w:r>
      <w:r w:rsidRPr="00020FC7">
        <w:rPr>
          <w:rStyle w:val="StyleUnderline"/>
        </w:rPr>
        <w:t>As targets of</w:t>
      </w:r>
      <w:r w:rsidRPr="00020FC7">
        <w:rPr>
          <w:sz w:val="8"/>
        </w:rPr>
        <w:t xml:space="preserve"> overlapping </w:t>
      </w:r>
      <w:r w:rsidRPr="00020FC7">
        <w:rPr>
          <w:rStyle w:val="StyleUnderline"/>
        </w:rPr>
        <w:t>welfare and immigration policies</w:t>
      </w:r>
      <w:r w:rsidRPr="00020FC7">
        <w:rPr>
          <w:sz w:val="8"/>
        </w:rPr>
        <w:t xml:space="preserve">, </w:t>
      </w:r>
      <w:r w:rsidRPr="00020FC7">
        <w:rPr>
          <w:strike/>
          <w:sz w:val="8"/>
        </w:rPr>
        <w:t>Latino</w:t>
      </w:r>
      <w:r w:rsidRPr="00020FC7">
        <w:rPr>
          <w:sz w:val="8"/>
        </w:rPr>
        <w:t xml:space="preserve"> [</w:t>
      </w:r>
      <w:r w:rsidRPr="00020FC7">
        <w:rPr>
          <w:rStyle w:val="StyleUnderline"/>
        </w:rPr>
        <w:t xml:space="preserve">Latinx] s are </w:t>
      </w:r>
      <w:r w:rsidRPr="00020FC7">
        <w:rPr>
          <w:sz w:val="8"/>
        </w:rPr>
        <w:t xml:space="preserve">very </w:t>
      </w:r>
      <w:r w:rsidRPr="00020FC7">
        <w:rPr>
          <w:rStyle w:val="StyleUnderline"/>
        </w:rPr>
        <w:t xml:space="preserve">likely to have understood the stakes of turning to relief programs in this context, and gleaned a lesson to avoid public program participation. </w:t>
      </w:r>
      <w:r w:rsidRPr="00020FC7">
        <w:rPr>
          <w:sz w:val="8"/>
        </w:rPr>
        <w:t xml:space="preserve">Nativity- and </w:t>
      </w:r>
      <w:r w:rsidRPr="00020FC7">
        <w:rPr>
          <w:rStyle w:val="StyleUnderline"/>
        </w:rPr>
        <w:t>citizenship-based exclusions from public program benefits are not limited</w:t>
      </w:r>
      <w:r w:rsidRPr="00020FC7">
        <w:rPr>
          <w:sz w:val="8"/>
        </w:rPr>
        <w:t xml:space="preserve"> to the Depression-era past; nor is </w:t>
      </w:r>
      <w:r w:rsidRPr="00020FC7">
        <w:rPr>
          <w:rStyle w:val="StyleUnderline"/>
        </w:rPr>
        <w:t>cooperation between local welfare bureaucrats and federal immigration authorities</w:t>
      </w:r>
      <w:r w:rsidRPr="00020FC7">
        <w:rPr>
          <w:sz w:val="8"/>
        </w:rPr>
        <w:t xml:space="preserve">. In 1994, California voters enacted Proposition 187, an initiative restricting undocumented immigrants from using public schools and public hospitals. The </w:t>
      </w:r>
      <w:r w:rsidRPr="00020FC7">
        <w:rPr>
          <w:rStyle w:val="StyleUnderline"/>
          <w:sz w:val="8"/>
          <w:szCs w:val="8"/>
          <w:u w:val="none"/>
        </w:rPr>
        <w:t>measure</w:t>
      </w:r>
      <w:r w:rsidRPr="00020FC7">
        <w:rPr>
          <w:rStyle w:val="StyleUnderline"/>
        </w:rPr>
        <w:t xml:space="preserve"> mandated that public workers report to officials</w:t>
      </w:r>
      <w:r w:rsidRPr="00020FC7">
        <w:rPr>
          <w:sz w:val="8"/>
        </w:rPr>
        <w:t xml:space="preserve"> any person they suspected of being undocumented. By interpreting “a discrete act of violating immigration law” as “a criminal tendency in Mexicans” (Jacobson 2008: 47), supporters of Proposition 187 reinforced the conflation of ethnicity with citizenship status, and revived the Depression-era practice of using local welfare bureaucrats as extensions of federal immigration enforcement authorities. The courts deemed California's Proposition 187 unconstitutional. But, </w:t>
      </w:r>
      <w:r w:rsidRPr="00020FC7">
        <w:rPr>
          <w:rStyle w:val="StyleUnderline"/>
        </w:rPr>
        <w:t>proponents left a legacy of arguments to justify policy prescriptions for public program exclusion and expulsion from the country, as well as reasoning to condone racial profiling as the means to achieve such ends</w:t>
      </w:r>
      <w:r w:rsidRPr="00020FC7">
        <w:rPr>
          <w:sz w:val="8"/>
        </w:rPr>
        <w:t xml:space="preserve">. For instance, </w:t>
      </w:r>
      <w:r w:rsidRPr="00020FC7">
        <w:rPr>
          <w:rStyle w:val="StyleUnderline"/>
        </w:rPr>
        <w:t>policy logic that conflates citizenship status with</w:t>
      </w:r>
      <w:r w:rsidRPr="00020FC7">
        <w:rPr>
          <w:sz w:val="8"/>
        </w:rPr>
        <w:t xml:space="preserve"> </w:t>
      </w:r>
      <w:r w:rsidRPr="00020FC7">
        <w:rPr>
          <w:strike/>
          <w:sz w:val="8"/>
        </w:rPr>
        <w:t>Latino</w:t>
      </w:r>
      <w:r w:rsidRPr="00020FC7">
        <w:rPr>
          <w:sz w:val="8"/>
        </w:rPr>
        <w:t xml:space="preserve"> [</w:t>
      </w:r>
      <w:r w:rsidRPr="00020FC7">
        <w:rPr>
          <w:rStyle w:val="StyleUnderline"/>
        </w:rPr>
        <w:t>Latinx] identity motivated a health insurance fraud detection program targeting</w:t>
      </w:r>
      <w:r w:rsidRPr="00020FC7">
        <w:rPr>
          <w:sz w:val="8"/>
        </w:rPr>
        <w:t xml:space="preserve"> </w:t>
      </w:r>
      <w:r w:rsidRPr="00020FC7">
        <w:rPr>
          <w:strike/>
          <w:sz w:val="8"/>
        </w:rPr>
        <w:t xml:space="preserve">Latina </w:t>
      </w:r>
      <w:r w:rsidRPr="00020FC7">
        <w:rPr>
          <w:sz w:val="8"/>
        </w:rPr>
        <w:t>{Latinx}women of child-bearing age at airports (Park 2011: 2). The California Department of Health Services initiated this fraud detection program, but it was discontinued in the early 2000s, according to Park (2011: 2), after investigators found program implementers “legally liable for overstepping the scope of their authority by attempting to influence federal [Immigration and Naturalization Services] decisions on whether to admit or deport immigrants as well as sharing confidential medical information in the process.” Similarly, Proposition 187 replica legislation such as Arizona's S. B. 1070 (2010), Alabama's H. B. 56 (2011), and Georgia's H. B. 87 (</w:t>
      </w:r>
      <w:r w:rsidRPr="00020FC7">
        <w:rPr>
          <w:sz w:val="8"/>
          <w:szCs w:val="8"/>
        </w:rPr>
        <w:t xml:space="preserve">2011) </w:t>
      </w:r>
      <w:r w:rsidRPr="00020FC7">
        <w:rPr>
          <w:rStyle w:val="StyleUnderline"/>
          <w:sz w:val="8"/>
          <w:szCs w:val="8"/>
          <w:u w:val="none"/>
        </w:rPr>
        <w:t>invoke the term “illegal alien” as justification for service-providing bureaucrats to identify suspected undocumented immigrants, sustaining the specter of racial profiling</w:t>
      </w:r>
      <w:r w:rsidRPr="00020FC7">
        <w:rPr>
          <w:sz w:val="8"/>
          <w:szCs w:val="8"/>
        </w:rPr>
        <w:t xml:space="preserve">. Historically, policing citizenship happens at airports, welfare offices, and on the streets when encountering police—all contexts where personal information must be divulged. </w:t>
      </w:r>
      <w:r w:rsidRPr="00020FC7">
        <w:rPr>
          <w:rStyle w:val="StyleUnderline"/>
          <w:sz w:val="8"/>
          <w:szCs w:val="8"/>
          <w:u w:val="none"/>
        </w:rPr>
        <w:t>Sensitivity</w:t>
      </w:r>
      <w:r w:rsidRPr="00020FC7">
        <w:rPr>
          <w:sz w:val="8"/>
          <w:szCs w:val="8"/>
        </w:rPr>
        <w:t xml:space="preserve"> to racial profiling and policing citizenship </w:t>
      </w:r>
      <w:r w:rsidRPr="00020FC7">
        <w:rPr>
          <w:rStyle w:val="StyleUnderline"/>
          <w:sz w:val="8"/>
          <w:szCs w:val="8"/>
          <w:u w:val="none"/>
        </w:rPr>
        <w:t>is</w:t>
      </w:r>
      <w:r w:rsidRPr="00020FC7">
        <w:rPr>
          <w:sz w:val="8"/>
          <w:szCs w:val="8"/>
        </w:rPr>
        <w:t xml:space="preserve"> particularly </w:t>
      </w:r>
      <w:r w:rsidRPr="00020FC7">
        <w:rPr>
          <w:rStyle w:val="StyleUnderline"/>
          <w:sz w:val="8"/>
          <w:szCs w:val="8"/>
          <w:u w:val="none"/>
        </w:rPr>
        <w:t>acute for</w:t>
      </w:r>
      <w:r w:rsidRPr="00020FC7">
        <w:rPr>
          <w:sz w:val="8"/>
          <w:szCs w:val="8"/>
        </w:rPr>
        <w:t xml:space="preserve"> </w:t>
      </w:r>
      <w:r w:rsidRPr="00020FC7">
        <w:rPr>
          <w:strike/>
          <w:sz w:val="8"/>
          <w:szCs w:val="8"/>
        </w:rPr>
        <w:t>Latino</w:t>
      </w:r>
      <w:r w:rsidRPr="00020FC7">
        <w:rPr>
          <w:sz w:val="8"/>
          <w:szCs w:val="8"/>
        </w:rPr>
        <w:t xml:space="preserve"> [</w:t>
      </w:r>
      <w:r w:rsidRPr="00020FC7">
        <w:rPr>
          <w:rStyle w:val="StyleUnderline"/>
          <w:sz w:val="8"/>
          <w:szCs w:val="8"/>
          <w:u w:val="none"/>
        </w:rPr>
        <w:t>Latinx] s</w:t>
      </w:r>
      <w:r w:rsidRPr="00020FC7">
        <w:rPr>
          <w:sz w:val="8"/>
          <w:szCs w:val="8"/>
        </w:rPr>
        <w:t xml:space="preserve"> following post-9/11 public investments in operations that focus on deporting people from the interior. According to the US Department of Homeland Security, the </w:t>
      </w:r>
      <w:r w:rsidRPr="00020FC7">
        <w:rPr>
          <w:rStyle w:val="StyleUnderline"/>
          <w:sz w:val="8"/>
          <w:szCs w:val="8"/>
          <w:u w:val="none"/>
        </w:rPr>
        <w:t>number of deportations from 2000 to 2015 exceeded the total number of deportations in the twentieth century</w:t>
      </w:r>
      <w:r w:rsidRPr="00020FC7">
        <w:rPr>
          <w:sz w:val="8"/>
          <w:szCs w:val="8"/>
        </w:rPr>
        <w:t xml:space="preserve">.4 Record-level deportations are possible, in part, because programs such as Secure Communities expand the geographic reach of immigration enforcement across and within each US state by coordinating federal and local law enforcement resources (Cox and Miles 2013; Meissner et al. 2013; Pedroza 2013). As evidence that </w:t>
      </w:r>
      <w:r w:rsidRPr="00020FC7">
        <w:rPr>
          <w:strike/>
          <w:sz w:val="8"/>
          <w:szCs w:val="8"/>
        </w:rPr>
        <w:t>Latino</w:t>
      </w:r>
      <w:r w:rsidRPr="00020FC7">
        <w:rPr>
          <w:sz w:val="8"/>
          <w:szCs w:val="8"/>
        </w:rPr>
        <w:t xml:space="preserve"> [</w:t>
      </w:r>
      <w:r w:rsidRPr="00020FC7">
        <w:rPr>
          <w:rStyle w:val="StyleUnderline"/>
          <w:sz w:val="8"/>
          <w:szCs w:val="8"/>
          <w:u w:val="none"/>
        </w:rPr>
        <w:t>Latinx] s have internalized policy lessons from Secure Communities operation</w:t>
      </w:r>
      <w:r w:rsidRPr="00020FC7">
        <w:rPr>
          <w:sz w:val="8"/>
          <w:szCs w:val="8"/>
        </w:rPr>
        <w:t xml:space="preserve">s—as predicted by policy feedback theory—Rocha, Knoll, and Wrinkle (2015) find that </w:t>
      </w:r>
      <w:r w:rsidRPr="00020FC7">
        <w:rPr>
          <w:rStyle w:val="StyleUnderline"/>
          <w:sz w:val="8"/>
          <w:szCs w:val="8"/>
          <w:u w:val="none"/>
        </w:rPr>
        <w:t>deportations increase distrust in federal and local government among both immigrant and US-born Latino [Latinx] s.</w:t>
      </w:r>
      <w:r w:rsidRPr="00020FC7">
        <w:rPr>
          <w:sz w:val="8"/>
          <w:szCs w:val="8"/>
        </w:rPr>
        <w:t xml:space="preserve"> </w:t>
      </w:r>
      <w:r w:rsidRPr="00020FC7">
        <w:rPr>
          <w:rStyle w:val="StyleUnderline"/>
          <w:sz w:val="8"/>
          <w:szCs w:val="8"/>
          <w:u w:val="none"/>
        </w:rPr>
        <w:t>Fueling criticism of interior-oriented immigration enforcement programs is evidence of racial profiling by local police, who identify and detain both Latino [Latinx]</w:t>
      </w:r>
      <w:r w:rsidRPr="00020FC7">
        <w:rPr>
          <w:sz w:val="8"/>
          <w:szCs w:val="8"/>
        </w:rPr>
        <w:t xml:space="preserve"> US citizens and persons without criminal records (Kohli and Chavez 2013; PBS 2011). In addition to bringing immigration authorities closer to their day-to-day life, interior operations are salient to </w:t>
      </w:r>
      <w:r w:rsidRPr="00020FC7">
        <w:rPr>
          <w:strike/>
          <w:sz w:val="8"/>
          <w:szCs w:val="8"/>
        </w:rPr>
        <w:t>Latino</w:t>
      </w:r>
      <w:r w:rsidRPr="00020FC7">
        <w:rPr>
          <w:sz w:val="8"/>
          <w:szCs w:val="8"/>
        </w:rPr>
        <w:t xml:space="preserve"> [Latinx] s because immigrants</w:t>
      </w:r>
      <w:r w:rsidRPr="00020FC7">
        <w:rPr>
          <w:sz w:val="8"/>
        </w:rPr>
        <w:t xml:space="preserve"> from Latin American countries represent 96 percent of all deportations from the United States since 2010 (TRAC 2014). In fact, after Arizona lawmakers passed a law mandating that local police officers inquire about immigration status during routine traffic stops (S. B. 1070), a 2010 survey of </w:t>
      </w:r>
      <w:r w:rsidRPr="00020FC7">
        <w:rPr>
          <w:strike/>
          <w:sz w:val="8"/>
        </w:rPr>
        <w:t>Latino</w:t>
      </w:r>
      <w:r w:rsidRPr="00020FC7">
        <w:rPr>
          <w:sz w:val="8"/>
        </w:rPr>
        <w:t xml:space="preserve"> [Latinx] voters in Arizona found that 72 percent said they believe that police primarily target </w:t>
      </w:r>
      <w:r w:rsidRPr="00020FC7">
        <w:rPr>
          <w:strike/>
          <w:sz w:val="8"/>
        </w:rPr>
        <w:t>Latino</w:t>
      </w:r>
      <w:r w:rsidRPr="00020FC7">
        <w:rPr>
          <w:sz w:val="8"/>
        </w:rPr>
        <w:t xml:space="preserve"> [Latinx] s (Barreto and Segura 2010). Subsequently4</w:t>
      </w:r>
      <w:r w:rsidRPr="00020FC7">
        <w:rPr>
          <w:rStyle w:val="StyleUnderline"/>
        </w:rPr>
        <w:t xml:space="preserve"> inequities are shaped by histories of institutional and interpersonal racism from medical institutions toward racial minorities,</w:t>
      </w:r>
      <w:r w:rsidRPr="00020FC7">
        <w:rPr>
          <w:sz w:val="8"/>
        </w:rPr>
        <w:t xml:space="preserve"> as well as racialized power imbalances between predominantly white health care providers and racial minority patients (Sewell 2015; Smedley, Stith, and Nelson 2003). In addition to the racializing role of public health institutions described above, </w:t>
      </w:r>
      <w:r w:rsidRPr="00020FC7">
        <w:rPr>
          <w:rStyle w:val="StyleUnderline"/>
        </w:rPr>
        <w:t>studies indicate medical abuse</w:t>
      </w:r>
      <w:r w:rsidRPr="00020FC7">
        <w:rPr>
          <w:sz w:val="8"/>
        </w:rPr>
        <w:t xml:space="preserve"> of Guatemalans who were intentionally infected with syphilis and other infectious conditions in the 1940s (Reverby 2011), </w:t>
      </w:r>
      <w:r w:rsidRPr="00020FC7">
        <w:rPr>
          <w:rStyle w:val="StyleUnderline"/>
        </w:rPr>
        <w:t>and the forced sterilization</w:t>
      </w:r>
      <w:r w:rsidRPr="00020FC7">
        <w:rPr>
          <w:sz w:val="8"/>
        </w:rPr>
        <w:t xml:space="preserve"> of Californians in the early- to mid-twentieth century (Stern et al. 2017). </w:t>
      </w:r>
      <w:r w:rsidRPr="00020FC7">
        <w:rPr>
          <w:rStyle w:val="StyleUnderline"/>
        </w:rPr>
        <w:t>These</w:t>
      </w:r>
      <w:r w:rsidRPr="00020FC7">
        <w:rPr>
          <w:sz w:val="8"/>
        </w:rPr>
        <w:t xml:space="preserve"> medical and public health </w:t>
      </w:r>
      <w:r w:rsidRPr="00020FC7">
        <w:rPr>
          <w:rStyle w:val="StyleUnderline"/>
        </w:rPr>
        <w:t>abuses serve to widen the structural space betwee</w:t>
      </w:r>
      <w:r w:rsidRPr="00020FC7">
        <w:rPr>
          <w:sz w:val="8"/>
        </w:rPr>
        <w:t xml:space="preserve">n </w:t>
      </w:r>
      <w:r w:rsidRPr="00020FC7">
        <w:rPr>
          <w:strike/>
          <w:sz w:val="8"/>
        </w:rPr>
        <w:t>Latino</w:t>
      </w:r>
      <w:r w:rsidRPr="00020FC7">
        <w:rPr>
          <w:sz w:val="8"/>
        </w:rPr>
        <w:t xml:space="preserve"> </w:t>
      </w:r>
      <w:r w:rsidRPr="00020FC7">
        <w:rPr>
          <w:rStyle w:val="StyleUnderline"/>
        </w:rPr>
        <w:t>[Latinx] s and health care systems, which shapes patient mistrust of providers and public health institutions</w:t>
      </w:r>
      <w:r w:rsidRPr="00020FC7">
        <w:rPr>
          <w:sz w:val="8"/>
        </w:rPr>
        <w:t xml:space="preserve">. Indeed, Sewell (2015) reports that </w:t>
      </w:r>
      <w:r w:rsidRPr="00020FC7">
        <w:rPr>
          <w:strike/>
          <w:sz w:val="8"/>
        </w:rPr>
        <w:t>Latino</w:t>
      </w:r>
      <w:r w:rsidRPr="00020FC7">
        <w:rPr>
          <w:sz w:val="8"/>
        </w:rPr>
        <w:t xml:space="preserve"> [Latinx] adults are more likely than non-</w:t>
      </w:r>
      <w:r w:rsidRPr="00020FC7">
        <w:rPr>
          <w:strike/>
          <w:sz w:val="8"/>
        </w:rPr>
        <w:t>Latino</w:t>
      </w:r>
      <w:r w:rsidRPr="00020FC7">
        <w:rPr>
          <w:sz w:val="8"/>
        </w:rPr>
        <w:t xml:space="preserve"> [Latinx] white adults to express mistrust in their health care providers' medical decision making and interpersonal competence. Similarly, qualitative research suggests that some undocumented immigrant youth perceive that physicians prioritize </w:t>
      </w:r>
      <w:r w:rsidRPr="00020FC7">
        <w:rPr>
          <w:sz w:val="8"/>
          <w:szCs w:val="8"/>
        </w:rPr>
        <w:t>health care finances over medical decision making, contributing to mistrust in providers (Raymond-Flesch et al. 2014). This evidence base suggests that racial inequities in the mistrust of health care providers may contribute to health care inequities. The arc from historical to contemporary accounts shows that immigration and public health policy streams compound one another to “position [</w:t>
      </w:r>
      <w:r w:rsidRPr="00020FC7">
        <w:rPr>
          <w:strike/>
          <w:sz w:val="8"/>
          <w:szCs w:val="8"/>
        </w:rPr>
        <w:t>Latino</w:t>
      </w:r>
      <w:r w:rsidRPr="00020FC7">
        <w:rPr>
          <w:sz w:val="8"/>
          <w:szCs w:val="8"/>
        </w:rPr>
        <w:t xml:space="preserve"> [</w:t>
      </w:r>
      <w:r w:rsidRPr="00020FC7">
        <w:rPr>
          <w:rStyle w:val="StyleUnderline"/>
          <w:sz w:val="8"/>
          <w:szCs w:val="8"/>
          <w:u w:val="none"/>
        </w:rPr>
        <w:t>Latinx] s] as a stigmatized out-group in American social cognition</w:t>
      </w:r>
      <w:r w:rsidRPr="00020FC7">
        <w:rPr>
          <w:sz w:val="8"/>
          <w:szCs w:val="8"/>
        </w:rPr>
        <w:t>” (Massey 2013: 267</w:t>
      </w:r>
      <w:r w:rsidRPr="00020FC7">
        <w:rPr>
          <w:sz w:val="8"/>
        </w:rPr>
        <w:t xml:space="preserve">). </w:t>
      </w:r>
      <w:r w:rsidRPr="00020FC7">
        <w:rPr>
          <w:rStyle w:val="StyleUnderline"/>
        </w:rPr>
        <w:t>Past policy patterns that connect welfare stigma and social program deterrence give historical context</w:t>
      </w:r>
      <w:r w:rsidRPr="00020FC7">
        <w:rPr>
          <w:sz w:val="8"/>
        </w:rPr>
        <w:t xml:space="preserve"> to the 22 percent of </w:t>
      </w:r>
      <w:r w:rsidRPr="00020FC7">
        <w:rPr>
          <w:strike/>
          <w:sz w:val="8"/>
        </w:rPr>
        <w:t>Latino</w:t>
      </w:r>
      <w:r w:rsidRPr="00020FC7">
        <w:rPr>
          <w:sz w:val="8"/>
        </w:rPr>
        <w:t xml:space="preserve"> [Latinx] s in 2007 who indicated that they were less likely to use government services because of increased public attention to immigration issues (Pew Hispanic Center 2007: 18). Importantly, this figure is the same for immigrant </w:t>
      </w:r>
      <w:r w:rsidRPr="00020FC7">
        <w:rPr>
          <w:sz w:val="8"/>
          <w:szCs w:val="8"/>
        </w:rPr>
        <w:t xml:space="preserve">and US-born </w:t>
      </w:r>
      <w:r w:rsidRPr="00020FC7">
        <w:rPr>
          <w:strike/>
          <w:sz w:val="8"/>
          <w:szCs w:val="8"/>
        </w:rPr>
        <w:t>Latino</w:t>
      </w:r>
      <w:r w:rsidRPr="00020FC7">
        <w:rPr>
          <w:sz w:val="8"/>
          <w:szCs w:val="8"/>
        </w:rPr>
        <w:t xml:space="preserve"> [Latinx] s, and </w:t>
      </w:r>
      <w:r w:rsidRPr="00020FC7">
        <w:rPr>
          <w:rStyle w:val="StyleUnderline"/>
          <w:sz w:val="8"/>
          <w:szCs w:val="8"/>
          <w:u w:val="none"/>
        </w:rPr>
        <w:t>was collected prior to the major expansions in interior-oriented immigration enforcement operations noted above</w:t>
      </w:r>
      <w:r w:rsidRPr="00020FC7">
        <w:rPr>
          <w:sz w:val="8"/>
          <w:szCs w:val="8"/>
        </w:rPr>
        <w:t xml:space="preserve"> (Golash-Boza 2012; Koulish 2010; Meissner et al. 2013). From the perspective of persons who are likely to be profiled, or who personally know someone who is likely to be profiled or has been deported, the interpretive lessons from contemporary immigration and welfare policy are that local law enforcement is not worthy of their trust, nor are the people and organizations who keep </w:t>
      </w:r>
      <w:r w:rsidRPr="00020FC7">
        <w:rPr>
          <w:rStyle w:val="StyleUnderline"/>
          <w:sz w:val="8"/>
          <w:szCs w:val="8"/>
          <w:u w:val="none"/>
        </w:rPr>
        <w:t>personal information that might be turned over to law enforcement officials</w:t>
      </w:r>
      <w:r w:rsidRPr="00020FC7">
        <w:rPr>
          <w:sz w:val="8"/>
          <w:szCs w:val="8"/>
        </w:rPr>
        <w:t xml:space="preserve">. As Zayas (2015: 81) notes, </w:t>
      </w:r>
      <w:r w:rsidRPr="00020FC7">
        <w:rPr>
          <w:rStyle w:val="StyleUnderline"/>
          <w:sz w:val="8"/>
          <w:szCs w:val="8"/>
          <w:u w:val="none"/>
        </w:rPr>
        <w:t>in response to restrictive immigration</w:t>
      </w:r>
      <w:r w:rsidRPr="00020FC7">
        <w:rPr>
          <w:sz w:val="8"/>
          <w:szCs w:val="8"/>
        </w:rPr>
        <w:t xml:space="preserve"> policy, </w:t>
      </w:r>
      <w:r w:rsidRPr="00020FC7">
        <w:rPr>
          <w:strike/>
          <w:sz w:val="8"/>
          <w:szCs w:val="8"/>
        </w:rPr>
        <w:t>Latino</w:t>
      </w:r>
      <w:r w:rsidRPr="00020FC7">
        <w:rPr>
          <w:sz w:val="8"/>
          <w:szCs w:val="8"/>
        </w:rPr>
        <w:t xml:space="preserve"> [Latinx] communities “</w:t>
      </w:r>
      <w:r w:rsidRPr="00020FC7">
        <w:rPr>
          <w:rStyle w:val="StyleUnderline"/>
          <w:sz w:val="8"/>
          <w:szCs w:val="8"/>
          <w:u w:val="none"/>
        </w:rPr>
        <w:t>devise new ways of coping and techniques to evade the new restrictions and harsher penalties for immigration violations</w:t>
      </w:r>
      <w:r w:rsidRPr="00020FC7">
        <w:rPr>
          <w:sz w:val="8"/>
          <w:szCs w:val="8"/>
        </w:rPr>
        <w:t>.” Yet, as a source of factors that deter people</w:t>
      </w:r>
      <w:r w:rsidRPr="00020FC7">
        <w:rPr>
          <w:sz w:val="8"/>
        </w:rPr>
        <w:t xml:space="preserve"> from using health care services, we know very little about the extent to which the politics of immigration spills over to influence US citizens.</w:t>
      </w:r>
    </w:p>
    <w:p w:rsidR="00B059DC" w:rsidRDefault="00B059DC" w:rsidP="00B059DC"/>
    <w:p w:rsidR="00B059DC" w:rsidRPr="00F933AF" w:rsidRDefault="00B059DC" w:rsidP="00B059DC">
      <w:pPr>
        <w:pStyle w:val="Heading3"/>
      </w:pPr>
      <w:r>
        <w:t xml:space="preserve">Perm do the alt </w:t>
      </w:r>
    </w:p>
    <w:p w:rsidR="009F7A23" w:rsidRPr="00F933AF" w:rsidRDefault="009F7A23" w:rsidP="009F7A23">
      <w:pPr>
        <w:pStyle w:val="Heading4"/>
        <w:rPr>
          <w:rFonts w:cs="Calibri"/>
        </w:rPr>
      </w:pPr>
      <w:r w:rsidRPr="00F933AF">
        <w:rPr>
          <w:rFonts w:cs="Calibri"/>
        </w:rPr>
        <w:t>Perm do the alt – public charge is a neoliberal justification to exclude and render immigrants as disposable labor</w:t>
      </w:r>
    </w:p>
    <w:p w:rsidR="009F7A23" w:rsidRPr="00F933AF" w:rsidRDefault="009F7A23" w:rsidP="009F7A23">
      <w:pPr>
        <w:spacing w:after="0"/>
        <w:rPr>
          <w:rFonts w:cs="Calibri"/>
        </w:rPr>
      </w:pPr>
      <w:r w:rsidRPr="00F933AF">
        <w:rPr>
          <w:rStyle w:val="Style13ptBold"/>
          <w:rFonts w:cs="Calibri"/>
        </w:rPr>
        <w:t>Park 11</w:t>
      </w:r>
      <w:r w:rsidRPr="00F933AF">
        <w:rPr>
          <w:rFonts w:cs="Calibri"/>
        </w:rPr>
        <w:t xml:space="preserve"> (Lisa, Assistant Professor in the Ethnic Studies Department and the Urban Studies and Planning Program at the University of California, San Diego. She is co-author of The Silicon Valley of Dreams: Environmental Injustice, Immigrant Workers, and the High-tech Global Economy (2002). International Journal of Sociology of the Family Vol. 37, No. 1, POLICING MOTHERHOOD (Spring 2011), pp. 27-47. “CRIMINALIZING IMMIGRANT MOTHERS: Public Charge, Health Care, and Welfare Reform”, JSTOR) NREM/Lil’ GBN</w:t>
      </w:r>
    </w:p>
    <w:p w:rsidR="009F7A23" w:rsidRPr="00F933AF" w:rsidRDefault="009F7A23" w:rsidP="009F7A23">
      <w:pPr>
        <w:spacing w:after="0"/>
        <w:rPr>
          <w:rFonts w:cs="Calibri"/>
          <w:sz w:val="16"/>
        </w:rPr>
      </w:pPr>
      <w:r w:rsidRPr="00F933AF">
        <w:rPr>
          <w:rFonts w:cs="Calibri"/>
          <w:sz w:val="16"/>
        </w:rPr>
        <w:t xml:space="preserve"> </w:t>
      </w:r>
      <w:r w:rsidRPr="00F933AF">
        <w:rPr>
          <w:rStyle w:val="StyleUnderline"/>
          <w:rFonts w:cs="Calibri"/>
        </w:rPr>
        <w:t>Public charge is a federal immigration law to describe an "alien who has become</w:t>
      </w:r>
      <w:r w:rsidRPr="00F933AF">
        <w:rPr>
          <w:rFonts w:cs="Calibri"/>
          <w:sz w:val="16"/>
        </w:rPr>
        <w:t xml:space="preserve"> (for deportation purposes) or is likely to become (for admission or adjustment of status purposes) primarily </w:t>
      </w:r>
      <w:r w:rsidRPr="00F933AF">
        <w:rPr>
          <w:rStyle w:val="StyleUnderline"/>
          <w:rFonts w:cs="Calibri"/>
        </w:rPr>
        <w:t>dependent on the government</w:t>
      </w:r>
      <w:r w:rsidRPr="00F933AF">
        <w:rPr>
          <w:rFonts w:cs="Calibri"/>
          <w:sz w:val="16"/>
        </w:rPr>
        <w:t xml:space="preserve"> for subsistence, as demonstrated by either the receipt of public cash assistance for income maintenance, or institutionalization for long-term care at government expense" (USCIS 1999.) </w:t>
      </w:r>
      <w:r w:rsidRPr="00F933AF">
        <w:rPr>
          <w:rStyle w:val="StyleUnderline"/>
          <w:rFonts w:cs="Calibri"/>
        </w:rPr>
        <w:t xml:space="preserve">It is used as an administrative tool to exclude or deport those immigrants perceived to be or to have the possibility of </w:t>
      </w:r>
      <w:r w:rsidRPr="00F933AF">
        <w:rPr>
          <w:rStyle w:val="Emphasis"/>
          <w:rFonts w:cs="Calibri"/>
        </w:rPr>
        <w:t>becoming a burden on the state</w:t>
      </w:r>
      <w:r w:rsidRPr="00F933AF">
        <w:rPr>
          <w:rStyle w:val="StyleUnderline"/>
          <w:rFonts w:cs="Calibri"/>
        </w:rPr>
        <w:t>.</w:t>
      </w:r>
      <w:r w:rsidRPr="00F933AF">
        <w:rPr>
          <w:rFonts w:cs="Calibri"/>
          <w:sz w:val="16"/>
        </w:rPr>
        <w:t xml:space="preserve"> Pregnancy has long been categorized as a public burden with respect to low-income immigrant women. Scholars consider this designation as </w:t>
      </w:r>
      <w:r w:rsidRPr="00F933AF">
        <w:rPr>
          <w:rStyle w:val="StyleUnderline"/>
          <w:rFonts w:cs="Calibri"/>
        </w:rPr>
        <w:t>part of a continuing tradition of "selective immigration</w:t>
      </w:r>
      <w:r w:rsidRPr="00F933AF">
        <w:rPr>
          <w:rFonts w:cs="Calibri"/>
          <w:sz w:val="16"/>
        </w:rPr>
        <w:t xml:space="preserve">" that began in 1875 (Luibheid, 2002: 9). This was solidified with the Immigration Law of 1891, which </w:t>
      </w:r>
      <w:r w:rsidRPr="00F933AF">
        <w:rPr>
          <w:rStyle w:val="StyleUnderline"/>
          <w:rFonts w:cs="Calibri"/>
        </w:rPr>
        <w:t>provided the institutional mechanism for federal officials to inspect and exclude immigrants on the basis of public charge. At</w:t>
      </w:r>
      <w:r w:rsidRPr="00F933AF">
        <w:rPr>
          <w:rFonts w:cs="Calibri"/>
          <w:sz w:val="16"/>
        </w:rPr>
        <w:t xml:space="preserve"> this time, Public Health Service agents were required to inspect and </w:t>
      </w:r>
      <w:r w:rsidRPr="00F933AF">
        <w:rPr>
          <w:rStyle w:val="StyleUnderline"/>
          <w:rFonts w:cs="Calibri"/>
        </w:rPr>
        <w:t>issue a medical certificate to all incoming immigrants for "loathsome or a dangerous contagious disease</w:t>
      </w:r>
      <w:r w:rsidRPr="00F933AF">
        <w:rPr>
          <w:rFonts w:cs="Calibri"/>
          <w:sz w:val="16"/>
        </w:rPr>
        <w:t xml:space="preserve">," including pregnancy (Fairchild, 2003: 14). According to historian Martha Gardner (2005: 89), "Between 1880 and 1924, 'likely to become public charge' (LPC) provided a catch-all category of exclusion through which vast numbers of women found themselves deported as potential paupers for moral, marital, physical, and economic deficiencies." Gardner points out that while laws against poverty were usually applied to both men and women immigrants, LPC singled out women as the social mores of the early 20th century linked immorality to indigence and, subsequently, poverty alleviation policies increasingly focused on women's morality and their "proper" role within the family. From 1895 to 1915, </w:t>
      </w:r>
      <w:r w:rsidRPr="00F933AF">
        <w:rPr>
          <w:rStyle w:val="StyleUnderline"/>
          <w:rFonts w:cs="Calibri"/>
        </w:rPr>
        <w:t>LPC designations accounted for</w:t>
      </w:r>
      <w:r w:rsidRPr="00F933AF">
        <w:rPr>
          <w:rFonts w:cs="Calibri"/>
          <w:sz w:val="16"/>
        </w:rPr>
        <w:t xml:space="preserve"> two-thirds of all </w:t>
      </w:r>
      <w:r w:rsidRPr="00F933AF">
        <w:rPr>
          <w:rStyle w:val="StyleUnderline"/>
          <w:rFonts w:cs="Calibri"/>
        </w:rPr>
        <w:t>exclusions</w:t>
      </w:r>
      <w:r w:rsidRPr="00F933AF">
        <w:rPr>
          <w:rFonts w:cs="Calibri"/>
          <w:sz w:val="16"/>
        </w:rPr>
        <w:t xml:space="preserve"> from entry to the U.S. (Gardner, 2005: 91). By the end of the Great Depression, </w:t>
      </w:r>
      <w:r w:rsidRPr="00F933AF">
        <w:rPr>
          <w:rStyle w:val="StyleUnderline"/>
          <w:rFonts w:cs="Calibri"/>
        </w:rPr>
        <w:t>public charge</w:t>
      </w:r>
      <w:r w:rsidRPr="00F933AF">
        <w:rPr>
          <w:rFonts w:cs="Calibri"/>
          <w:sz w:val="16"/>
        </w:rPr>
        <w:t xml:space="preserve"> designations largely disappeared from the federal immigration agency's exclusionary repertoire. Then, in the mid-1990s, it </w:t>
      </w:r>
      <w:r w:rsidRPr="00F933AF">
        <w:rPr>
          <w:rStyle w:val="Emphasis"/>
          <w:rFonts w:cs="Calibri"/>
        </w:rPr>
        <w:t>reappeared with new health care fraud detection programs</w:t>
      </w:r>
      <w:r w:rsidRPr="00F933AF">
        <w:rPr>
          <w:rFonts w:cs="Calibri"/>
          <w:sz w:val="16"/>
        </w:rPr>
        <w:t xml:space="preserve"> in California (Park, 2001). In particular, prenatal </w:t>
      </w:r>
      <w:r w:rsidRPr="00F933AF">
        <w:rPr>
          <w:rStyle w:val="StyleUnderline"/>
          <w:rFonts w:cs="Calibri"/>
        </w:rPr>
        <w:t>care access and utilization</w:t>
      </w:r>
      <w:r w:rsidRPr="00F933AF">
        <w:rPr>
          <w:rFonts w:cs="Calibri"/>
          <w:sz w:val="16"/>
        </w:rPr>
        <w:t xml:space="preserve"> by low-income immigrant women </w:t>
      </w:r>
      <w:r w:rsidRPr="00F933AF">
        <w:rPr>
          <w:rStyle w:val="StyleUnderline"/>
          <w:rFonts w:cs="Calibri"/>
        </w:rPr>
        <w:t>was targeted</w:t>
      </w:r>
      <w:r w:rsidRPr="00F933AF">
        <w:rPr>
          <w:rFonts w:cs="Calibri"/>
          <w:sz w:val="16"/>
        </w:rPr>
        <w:t xml:space="preserve">. This paper addresses how and why public charge resurfaced to criminate low-income immigrant mothers in the 1990s. As part of a larger project on the impact of immigration and welfare policies on prenatal care access for low-income immigrant women in California, I began this research in 1998. In addition to analyzing the local, state, and federal policies, my research team This content downloaded from 67.194.23.38 on Fri, 06 Jul 2018 18:33:57 UTC All use subject to http://about.jstor.org/terms 30 International Journal of Sociology of the Family and I interviewed 196 safety-net health care providers, immigrant health advocates, government officials and low-income immigrant women in San Diego County, the San Francisco Bay Area, Los Angeles, and the Central Valley. For this paper, I will first discuss the significance of neoliberalism, as a specific historical moment, which set the conditions for the resurgence of public charge. I next outline in greater detail a lawsuit brought by Mrs. R. against the Medicaid Fraud Detection program, which exposed the illegal actions of this government program. I then place this program in the larger political context of public charge and the Welfare Reform of 1996. Here, I show how immigrant mothers are affected by this </w:t>
      </w:r>
      <w:r w:rsidRPr="00F933AF">
        <w:rPr>
          <w:rStyle w:val="StyleUnderline"/>
          <w:rFonts w:cs="Calibri"/>
        </w:rPr>
        <w:t>federal legislation and delineate the new institutional linkages formed between issues of immigration and health care.</w:t>
      </w:r>
      <w:r w:rsidRPr="00F933AF">
        <w:rPr>
          <w:rFonts w:cs="Calibri"/>
          <w:sz w:val="16"/>
        </w:rPr>
        <w:t xml:space="preserve"> Finally, I discuss </w:t>
      </w:r>
      <w:r w:rsidRPr="00F933AF">
        <w:rPr>
          <w:rStyle w:val="StyleUnderline"/>
          <w:rFonts w:cs="Calibri"/>
        </w:rPr>
        <w:t>the implications of public charge on</w:t>
      </w:r>
      <w:r w:rsidRPr="00F933AF">
        <w:rPr>
          <w:rFonts w:cs="Calibri"/>
          <w:sz w:val="16"/>
        </w:rPr>
        <w:t xml:space="preserve"> the criminalization of immigrant motherhood. Policing Immigrant Motherhood in </w:t>
      </w:r>
      <w:r w:rsidRPr="00F933AF">
        <w:rPr>
          <w:rStyle w:val="Emphasis"/>
          <w:rFonts w:cs="Calibri"/>
        </w:rPr>
        <w:t>Neoliberalism</w:t>
      </w:r>
      <w:r w:rsidRPr="00F933AF">
        <w:rPr>
          <w:rFonts w:cs="Calibri"/>
          <w:sz w:val="16"/>
        </w:rPr>
        <w:t xml:space="preserve">. While the notion of immigrants as public burdens is not new, re-assertions of formal, state designations of </w:t>
      </w:r>
      <w:r w:rsidRPr="00F933AF">
        <w:rPr>
          <w:rStyle w:val="StyleUnderline"/>
          <w:rFonts w:cs="Calibri"/>
        </w:rPr>
        <w:t>public charge policy are critical political moments that highlight</w:t>
      </w:r>
      <w:r w:rsidRPr="00F933AF">
        <w:rPr>
          <w:rFonts w:cs="Calibri"/>
          <w:sz w:val="16"/>
        </w:rPr>
        <w:t xml:space="preserve"> the role of </w:t>
      </w:r>
      <w:r w:rsidRPr="00F933AF">
        <w:rPr>
          <w:rStyle w:val="StyleUnderline"/>
          <w:rFonts w:cs="Calibri"/>
        </w:rPr>
        <w:t>immigrants during crucial, historic shifts in national ideology</w:t>
      </w:r>
      <w:r w:rsidRPr="00F933AF">
        <w:rPr>
          <w:rFonts w:cs="Calibri"/>
          <w:sz w:val="16"/>
        </w:rPr>
        <w:t xml:space="preserve">. In this latest iteration in the 1990s, </w:t>
      </w:r>
      <w:r w:rsidRPr="00F933AF">
        <w:rPr>
          <w:rStyle w:val="StyleUnderline"/>
          <w:rFonts w:cs="Calibri"/>
        </w:rPr>
        <w:t>public charge</w:t>
      </w:r>
      <w:r w:rsidRPr="00F933AF">
        <w:rPr>
          <w:rFonts w:cs="Calibri"/>
          <w:sz w:val="16"/>
        </w:rPr>
        <w:t xml:space="preserve"> enters the scene once again, </w:t>
      </w:r>
      <w:r w:rsidRPr="00F933AF">
        <w:rPr>
          <w:rStyle w:val="StyleUnderline"/>
          <w:rFonts w:cs="Calibri"/>
        </w:rPr>
        <w:t>teasing</w:t>
      </w:r>
      <w:r w:rsidRPr="00F933AF">
        <w:rPr>
          <w:rFonts w:cs="Calibri"/>
          <w:sz w:val="16"/>
        </w:rPr>
        <w:t xml:space="preserve"> the </w:t>
      </w:r>
      <w:r w:rsidRPr="00F933AF">
        <w:rPr>
          <w:rStyle w:val="StyleUnderline"/>
          <w:rFonts w:cs="Calibri"/>
        </w:rPr>
        <w:t>rights</w:t>
      </w:r>
      <w:r w:rsidRPr="00F933AF">
        <w:rPr>
          <w:rFonts w:cs="Calibri"/>
          <w:sz w:val="16"/>
        </w:rPr>
        <w:t xml:space="preserve"> of migrants </w:t>
      </w:r>
      <w:r w:rsidRPr="00F933AF">
        <w:rPr>
          <w:rStyle w:val="Emphasis"/>
          <w:rFonts w:cs="Calibri"/>
        </w:rPr>
        <w:t>within transnational free market governmental practices</w:t>
      </w:r>
      <w:r w:rsidRPr="00F933AF">
        <w:rPr>
          <w:rFonts w:cs="Calibri"/>
          <w:sz w:val="16"/>
        </w:rPr>
        <w:t xml:space="preserve">.3 </w:t>
      </w:r>
      <w:proofErr w:type="gramStart"/>
      <w:r w:rsidRPr="00F933AF">
        <w:rPr>
          <w:rFonts w:cs="Calibri"/>
          <w:sz w:val="16"/>
        </w:rPr>
        <w:t>In</w:t>
      </w:r>
      <w:proofErr w:type="gramEnd"/>
      <w:r w:rsidRPr="00F933AF">
        <w:rPr>
          <w:rFonts w:cs="Calibri"/>
          <w:sz w:val="16"/>
        </w:rPr>
        <w:t xml:space="preserve"> many respects, the timing appeared perfect. As </w:t>
      </w:r>
      <w:r w:rsidRPr="00F933AF">
        <w:rPr>
          <w:rStyle w:val="StyleUnderline"/>
          <w:rFonts w:cs="Calibri"/>
        </w:rPr>
        <w:t>immigrant</w:t>
      </w:r>
      <w:r w:rsidRPr="00F933AF">
        <w:rPr>
          <w:rFonts w:cs="Calibri"/>
          <w:sz w:val="16"/>
        </w:rPr>
        <w:t xml:space="preserve"> women s </w:t>
      </w:r>
      <w:r w:rsidRPr="00F933AF">
        <w:rPr>
          <w:rStyle w:val="StyleUnderline"/>
          <w:rFonts w:cs="Calibri"/>
        </w:rPr>
        <w:t>labor</w:t>
      </w:r>
      <w:r w:rsidRPr="00F933AF">
        <w:rPr>
          <w:rFonts w:cs="Calibri"/>
          <w:sz w:val="16"/>
        </w:rPr>
        <w:t xml:space="preserve"> </w:t>
      </w:r>
      <w:r w:rsidRPr="00F933AF">
        <w:rPr>
          <w:rStyle w:val="StyleUnderline"/>
          <w:rFonts w:cs="Calibri"/>
        </w:rPr>
        <w:t>becomes</w:t>
      </w:r>
      <w:r w:rsidRPr="00F933AF">
        <w:rPr>
          <w:rFonts w:cs="Calibri"/>
          <w:sz w:val="16"/>
        </w:rPr>
        <w:t xml:space="preserve"> more central to everyday life, their presence is increasingly </w:t>
      </w:r>
      <w:r w:rsidRPr="00F933AF">
        <w:rPr>
          <w:rStyle w:val="StyleUnderline"/>
          <w:rFonts w:cs="Calibri"/>
        </w:rPr>
        <w:t>destabilized and marginalized as burdensome</w:t>
      </w:r>
      <w:r w:rsidRPr="00F933AF">
        <w:rPr>
          <w:rFonts w:cs="Calibri"/>
          <w:sz w:val="16"/>
        </w:rPr>
        <w:t>. Sanford Schram (1995: 61) observed, even before the passage of major welfare and immigration reforms in 1996</w:t>
      </w:r>
      <w:proofErr w:type="gramStart"/>
      <w:r w:rsidRPr="00F933AF">
        <w:rPr>
          <w:rFonts w:cs="Calibri"/>
          <w:sz w:val="16"/>
        </w:rPr>
        <w:t>, .</w:t>
      </w:r>
      <w:proofErr w:type="gramEnd"/>
      <w:r w:rsidRPr="00F933AF">
        <w:rPr>
          <w:rFonts w:cs="Calibri"/>
          <w:sz w:val="16"/>
        </w:rPr>
        <w:t xml:space="preserve"> .an ongoing 'privatization of public assistance' - a retrenchment of public welfare programs and the corresponding elaboration of a network of substitute services, often in the form of private aid." Unlike entitlements or rights, </w:t>
      </w:r>
      <w:r w:rsidRPr="00F933AF">
        <w:rPr>
          <w:rStyle w:val="StyleUnderline"/>
          <w:rFonts w:cs="Calibri"/>
        </w:rPr>
        <w:t>publicly funded programs</w:t>
      </w:r>
      <w:r w:rsidRPr="00F933AF">
        <w:rPr>
          <w:rFonts w:cs="Calibri"/>
          <w:sz w:val="16"/>
        </w:rPr>
        <w:t xml:space="preserve"> including welfare and health care </w:t>
      </w:r>
      <w:r w:rsidRPr="00F933AF">
        <w:rPr>
          <w:rStyle w:val="StyleUnderline"/>
          <w:rFonts w:cs="Calibri"/>
        </w:rPr>
        <w:t>were increasingly stripped of dignity and privatized</w:t>
      </w:r>
      <w:r w:rsidRPr="00F933AF">
        <w:rPr>
          <w:rFonts w:cs="Calibri"/>
          <w:sz w:val="16"/>
        </w:rPr>
        <w:t xml:space="preserve"> into a humiliating form of individual charity. </w:t>
      </w:r>
      <w:r w:rsidRPr="00F933AF">
        <w:rPr>
          <w:rStyle w:val="Emphasis"/>
          <w:rFonts w:cs="Calibri"/>
        </w:rPr>
        <w:t>The consequences are extensive</w:t>
      </w:r>
      <w:r w:rsidRPr="00F933AF">
        <w:rPr>
          <w:rFonts w:cs="Calibri"/>
          <w:sz w:val="16"/>
        </w:rPr>
        <w:t xml:space="preserve">. Schram correctly predicted </w:t>
      </w:r>
      <w:r w:rsidRPr="00F933AF">
        <w:rPr>
          <w:rStyle w:val="StyleUnderline"/>
          <w:rFonts w:cs="Calibri"/>
        </w:rPr>
        <w:t>greater fragmentation and less accessibility</w:t>
      </w:r>
      <w:r w:rsidRPr="00F933AF">
        <w:rPr>
          <w:rFonts w:cs="Calibri"/>
          <w:sz w:val="16"/>
        </w:rPr>
        <w:t xml:space="preserve">, visibility, and effectiveness in the provision of social services, which diminished what litde protection existed from structural </w:t>
      </w:r>
      <w:r w:rsidRPr="00F933AF">
        <w:rPr>
          <w:rStyle w:val="StyleUnderline"/>
          <w:rFonts w:cs="Calibri"/>
        </w:rPr>
        <w:t>issues that cause poverty including declining wages and eroding worker protections, racism and the dismantling of civil rights, unaffordable and inadequate childcare, underfunded public schools, and diminished access to higher education</w:t>
      </w:r>
      <w:r w:rsidRPr="00F933AF">
        <w:rPr>
          <w:rFonts w:cs="Calibri"/>
          <w:sz w:val="16"/>
        </w:rPr>
        <w:t xml:space="preserve"> (Marchevsky and Theoharis, 2006: 10). Instead, poverty is individualized as personal moral failings so that the solution centers on disciplining non-normative bodies to perform in certain ways. This content downloaded from 67.194.23.38 on Fri, 06 Jul 2018 18:33:57 UTC </w:t>
      </w:r>
      <w:proofErr w:type="gramStart"/>
      <w:r w:rsidRPr="00F933AF">
        <w:rPr>
          <w:rFonts w:cs="Calibri"/>
          <w:sz w:val="16"/>
        </w:rPr>
        <w:t>All</w:t>
      </w:r>
      <w:proofErr w:type="gramEnd"/>
      <w:r w:rsidRPr="00F933AF">
        <w:rPr>
          <w:rFonts w:cs="Calibri"/>
          <w:sz w:val="16"/>
        </w:rPr>
        <w:t xml:space="preserve"> use subject to http://about.jstor.org/terms Criminalizing Immigrant Mothers: Public Charge, Health Care... This logic allowed for the justification of policing poor women by defining dependency as a pathological disease indicative of those with such weak moral constitution that they are unable to self-regulate and make the "right" choices. In their analysis, Marchesvky and Theoharis (2006: vii) assess, "</w:t>
      </w:r>
      <w:r w:rsidRPr="00F933AF">
        <w:rPr>
          <w:rStyle w:val="Emphasis"/>
          <w:rFonts w:cs="Calibri"/>
        </w:rPr>
        <w:t>To confess one's dependencies</w:t>
      </w:r>
      <w:r w:rsidRPr="00F933AF">
        <w:rPr>
          <w:rStyle w:val="StyleUnderline"/>
          <w:rFonts w:cs="Calibri"/>
        </w:rPr>
        <w:t xml:space="preserve"> is to forfeit one's individuality and rights in the American state."</w:t>
      </w:r>
      <w:r w:rsidRPr="00F933AF">
        <w:rPr>
          <w:rFonts w:cs="Calibri"/>
          <w:sz w:val="16"/>
        </w:rPr>
        <w:t xml:space="preserve"> Dependency, then, becomes intertwined with whether or not one is deserving of rights </w:t>
      </w:r>
      <w:r w:rsidRPr="00F933AF">
        <w:rPr>
          <w:rStyle w:val="StyleUnderline"/>
          <w:rFonts w:cs="Calibri"/>
        </w:rPr>
        <w:t>indicative of social citizenship</w:t>
      </w:r>
      <w:r w:rsidRPr="00F933AF">
        <w:rPr>
          <w:rFonts w:cs="Calibri"/>
          <w:sz w:val="16"/>
        </w:rPr>
        <w:t xml:space="preserve"> and almost entirely separate from actual need. In fact, </w:t>
      </w:r>
      <w:r w:rsidRPr="00F933AF">
        <w:rPr>
          <w:rStyle w:val="StyleUnderline"/>
          <w:rFonts w:cs="Calibri"/>
        </w:rPr>
        <w:t>a decade after</w:t>
      </w:r>
      <w:r w:rsidRPr="00F933AF">
        <w:rPr>
          <w:rFonts w:cs="Calibri"/>
          <w:sz w:val="16"/>
        </w:rPr>
        <w:t xml:space="preserve"> key western nations enacted </w:t>
      </w:r>
      <w:r w:rsidRPr="00F933AF">
        <w:rPr>
          <w:rStyle w:val="Emphasis"/>
          <w:rFonts w:cs="Calibri"/>
        </w:rPr>
        <w:t>neoliberal policie</w:t>
      </w:r>
      <w:r w:rsidRPr="00F933AF">
        <w:rPr>
          <w:rFonts w:cs="Calibri"/>
          <w:sz w:val="16"/>
        </w:rPr>
        <w:t>s, Ricky Solinger (2002: 62) argues that in the 1980s the "</w:t>
      </w:r>
      <w:r w:rsidRPr="00F933AF">
        <w:rPr>
          <w:rStyle w:val="StyleUnderline"/>
          <w:rFonts w:cs="Calibri"/>
        </w:rPr>
        <w:t>core, essential attribute of a person in the state of dependency" was solidified as "the absence of the capacity to make sensible choices</w:t>
      </w:r>
      <w:r w:rsidRPr="00F933AF">
        <w:rPr>
          <w:rFonts w:cs="Calibri"/>
          <w:sz w:val="16"/>
        </w:rPr>
        <w:t xml:space="preserve">." She writes that </w:t>
      </w:r>
      <w:r w:rsidRPr="00F933AF">
        <w:rPr>
          <w:rStyle w:val="StyleUnderline"/>
          <w:rFonts w:cs="Calibri"/>
        </w:rPr>
        <w:t xml:space="preserve">dependency and choice become fixed in an antithetical relationship with each other, </w:t>
      </w:r>
      <w:r w:rsidRPr="00F933AF">
        <w:rPr>
          <w:rStyle w:val="Emphasis"/>
          <w:rFonts w:cs="Calibri"/>
        </w:rPr>
        <w:t>creating the necessary justification for greater restrictions</w:t>
      </w:r>
      <w:r w:rsidRPr="00F933AF">
        <w:rPr>
          <w:rFonts w:cs="Calibri"/>
          <w:sz w:val="16"/>
        </w:rPr>
        <w:t xml:space="preserve"> on women's behavior (Solinger, 2002: 65). By the 1990s, low-income immigrant women are firmly circumscribed as dependent public burdens. For Asian and Latino immigrants, their purported dependency as a public charge is used to criminalize particular legal behavior as "illegal," regardless of their actual citizenship status. The formal re-surfacing of public charge was achieved by simultaneously capitalizing on the modes of racialization and gendering that already existed within state institutions while at the same time utilizing </w:t>
      </w:r>
      <w:r w:rsidRPr="00F933AF">
        <w:rPr>
          <w:rStyle w:val="StyleUnderline"/>
          <w:rFonts w:cs="Calibri"/>
        </w:rPr>
        <w:t>new forms of fear and anxiety associated with immigrants</w:t>
      </w:r>
      <w:r w:rsidRPr="00F933AF">
        <w:rPr>
          <w:rFonts w:cs="Calibri"/>
          <w:sz w:val="16"/>
        </w:rPr>
        <w:t xml:space="preserve"> in the "War on Terror" (See Fernandes, 2007; Maira, 2009; Nguyen, 2005). The purpose of this manufactured and enforced dependency is </w:t>
      </w:r>
      <w:r w:rsidRPr="00F933AF">
        <w:rPr>
          <w:rStyle w:val="StyleUnderline"/>
          <w:rFonts w:cs="Calibri"/>
        </w:rPr>
        <w:t>to preserve the political and economic vulnerability of immigrants during a time of unimpeded demand for their labor</w:t>
      </w:r>
      <w:r w:rsidRPr="00F933AF">
        <w:rPr>
          <w:rFonts w:cs="Calibri"/>
          <w:sz w:val="16"/>
        </w:rPr>
        <w:t xml:space="preserve">. </w:t>
      </w:r>
      <w:r w:rsidRPr="00F933AF">
        <w:rPr>
          <w:rStyle w:val="StyleUnderline"/>
          <w:rFonts w:cs="Calibri"/>
        </w:rPr>
        <w:t>Public charge policy is a technology</w:t>
      </w:r>
      <w:r w:rsidRPr="00F933AF">
        <w:rPr>
          <w:rFonts w:cs="Calibri"/>
          <w:sz w:val="16"/>
        </w:rPr>
        <w:t xml:space="preserve">4 of what Nicholas De Genova calls "deportability." Writing on Mexican immigrants specifically, De Genova (2005: 8) states, "It is deportability, and not deportation as such, that has historically </w:t>
      </w:r>
      <w:r w:rsidRPr="00F933AF">
        <w:rPr>
          <w:rStyle w:val="StyleUnderline"/>
          <w:rFonts w:cs="Calibri"/>
        </w:rPr>
        <w:t>rendered</w:t>
      </w:r>
      <w:r w:rsidRPr="00F933AF">
        <w:rPr>
          <w:rFonts w:cs="Calibri"/>
          <w:sz w:val="16"/>
        </w:rPr>
        <w:t xml:space="preserve"> Mexican </w:t>
      </w:r>
      <w:r w:rsidRPr="00F933AF">
        <w:rPr>
          <w:rStyle w:val="StyleUnderline"/>
          <w:rFonts w:cs="Calibri"/>
        </w:rPr>
        <w:t xml:space="preserve">labor to be a distinctly </w:t>
      </w:r>
      <w:r w:rsidRPr="00F933AF">
        <w:rPr>
          <w:rStyle w:val="Emphasis"/>
          <w:rFonts w:cs="Calibri"/>
        </w:rPr>
        <w:t>disposable commodity</w:t>
      </w:r>
      <w:r w:rsidRPr="00F933AF">
        <w:rPr>
          <w:rFonts w:cs="Calibri"/>
          <w:sz w:val="16"/>
        </w:rPr>
        <w:t xml:space="preserve">." He argues that U.S. immigration authorities do not actually intend to deport all undocumented migrants. On the contrary, it is deportability, not deportation that ensures that some are deported in order that most may remain as workers, whose pronounced and protracted legal vulnerability may be sustained indefinitely. Similarly, the possibility of deportation through public charge maintains the vulnerable social location of immigrants (regardless of their legal citizenship status) and stricdy polices their behavior. In the end, </w:t>
      </w:r>
      <w:r w:rsidRPr="00F933AF">
        <w:rPr>
          <w:rStyle w:val="Emphasis"/>
          <w:rFonts w:cs="Calibri"/>
        </w:rPr>
        <w:t>neoliberalism promises</w:t>
      </w:r>
      <w:r w:rsidRPr="00F933AF">
        <w:rPr>
          <w:rFonts w:cs="Calibri"/>
          <w:sz w:val="16"/>
        </w:rPr>
        <w:t xml:space="preserve"> that </w:t>
      </w:r>
      <w:r w:rsidRPr="00F933AF">
        <w:rPr>
          <w:rStyle w:val="StyleUnderline"/>
          <w:rFonts w:cs="Calibri"/>
        </w:rPr>
        <w:t>less government and more privatization will lead to greater individual freedom. This assertion raises a crucial question: "</w:t>
      </w:r>
      <w:r w:rsidRPr="00F933AF">
        <w:rPr>
          <w:rStyle w:val="Emphasis"/>
          <w:rFonts w:cs="Calibri"/>
        </w:rPr>
        <w:t>For whom?"</w:t>
      </w:r>
      <w:r w:rsidRPr="00F933AF">
        <w:rPr>
          <w:rFonts w:cs="Calibri"/>
          <w:sz w:val="16"/>
        </w:rPr>
        <w:t xml:space="preserve"> </w:t>
      </w:r>
      <w:r w:rsidRPr="00F933AF">
        <w:rPr>
          <w:rStyle w:val="StyleUnderline"/>
          <w:rFonts w:cs="Calibri"/>
        </w:rPr>
        <w:t>In the case of many immigrants who are part</w:t>
      </w:r>
      <w:r w:rsidRPr="00F933AF">
        <w:rPr>
          <w:rFonts w:cs="Calibri"/>
          <w:sz w:val="16"/>
        </w:rPr>
        <w:t xml:space="preserve"> This content downloaded from 67.194.23.38 on Fri, 06 Jul 2018 18:33:57 UTC All use subject to http://about.jstor.org/terms International Journal of Sociology of the Family of the growing </w:t>
      </w:r>
      <w:r w:rsidRPr="00F933AF">
        <w:rPr>
          <w:rStyle w:val="StyleUnderline"/>
          <w:rFonts w:cs="Calibri"/>
        </w:rPr>
        <w:t>working poor</w:t>
      </w:r>
      <w:r w:rsidRPr="00F933AF">
        <w:rPr>
          <w:rFonts w:cs="Calibri"/>
          <w:sz w:val="16"/>
        </w:rPr>
        <w:t xml:space="preserve">, </w:t>
      </w:r>
      <w:r w:rsidRPr="00F933AF">
        <w:rPr>
          <w:rStyle w:val="StyleUnderline"/>
          <w:rFonts w:cs="Calibri"/>
        </w:rPr>
        <w:t>less government in the form of state services has led instead to greater state surveillance</w:t>
      </w:r>
      <w:r w:rsidRPr="00F933AF">
        <w:rPr>
          <w:rFonts w:cs="Calibri"/>
          <w:sz w:val="16"/>
        </w:rPr>
        <w:t xml:space="preserve"> (a different but continued government presence) </w:t>
      </w:r>
      <w:r w:rsidRPr="00F933AF">
        <w:rPr>
          <w:rStyle w:val="StyleUnderline"/>
          <w:rFonts w:cs="Calibri"/>
        </w:rPr>
        <w:t>and a diminishment of individual rights and freedoms</w:t>
      </w:r>
      <w:r w:rsidRPr="00F933AF">
        <w:rPr>
          <w:rFonts w:cs="Calibri"/>
          <w:sz w:val="16"/>
        </w:rPr>
        <w:t xml:space="preserve"> (Schram 2000). In his astute analysis, Matthew Sparke (2006) points out that as much as </w:t>
      </w:r>
      <w:r w:rsidRPr="00F933AF">
        <w:rPr>
          <w:rStyle w:val="StyleUnderline"/>
          <w:rFonts w:cs="Calibri"/>
        </w:rPr>
        <w:t>neoliberalism trumpets</w:t>
      </w:r>
      <w:r w:rsidRPr="00F933AF">
        <w:rPr>
          <w:rFonts w:cs="Calibri"/>
          <w:sz w:val="16"/>
        </w:rPr>
        <w:t xml:space="preserve"> ^-regulation, in practice, it is a form of </w:t>
      </w:r>
      <w:r w:rsidRPr="00F933AF">
        <w:rPr>
          <w:rStyle w:val="StyleUnderline"/>
          <w:rFonts w:cs="Calibri"/>
        </w:rPr>
        <w:t>re regulation</w:t>
      </w:r>
      <w:r w:rsidRPr="00F933AF">
        <w:rPr>
          <w:rFonts w:cs="Calibri"/>
          <w:sz w:val="16"/>
        </w:rPr>
        <w:t xml:space="preserve">. He writes that whether at the </w:t>
      </w:r>
      <w:r w:rsidRPr="00F933AF">
        <w:rPr>
          <w:rStyle w:val="StyleUnderline"/>
          <w:rFonts w:cs="Calibri"/>
        </w:rPr>
        <w:t>macro level of government policy</w:t>
      </w:r>
      <w:r w:rsidRPr="00F933AF">
        <w:rPr>
          <w:rFonts w:cs="Calibri"/>
          <w:sz w:val="16"/>
        </w:rPr>
        <w:t xml:space="preserve"> (in the form of free trade, financial deregulation, welfare reform, etc) or at the micro level of governmentality (audits, performance assessments, cultural cultivation of self-policing entrepreneurial individualism), these </w:t>
      </w:r>
      <w:r w:rsidRPr="00F933AF">
        <w:rPr>
          <w:rStyle w:val="StyleUnderline"/>
          <w:rFonts w:cs="Calibri"/>
        </w:rPr>
        <w:t xml:space="preserve">governmental practices are all forms of statecraft </w:t>
      </w:r>
      <w:r w:rsidRPr="00F933AF">
        <w:rPr>
          <w:rFonts w:cs="Calibri"/>
          <w:sz w:val="16"/>
        </w:rPr>
        <w:t>(see also Jayasuriya, 2006). This re-</w:t>
      </w:r>
      <w:r w:rsidRPr="00F933AF">
        <w:rPr>
          <w:rStyle w:val="StyleUnderline"/>
          <w:rFonts w:cs="Calibri"/>
        </w:rPr>
        <w:t>configured governance produces a multi-tiered state in which the freedoms and rights of some are maintained by the reciprocal restriction on those same freedoms and rights of others.</w:t>
      </w:r>
      <w:r w:rsidRPr="00F933AF">
        <w:rPr>
          <w:rFonts w:cs="Calibri"/>
          <w:sz w:val="16"/>
        </w:rPr>
        <w:t xml:space="preserve"> Rather than greater rights in return for greater "personal responsibility," low-income immigrants must allow increased government policing of their movements as proof that they are in fact making the right "choices" and taking "personal responsibility”. </w:t>
      </w:r>
    </w:p>
    <w:p w:rsidR="00057119" w:rsidRPr="00F933AF" w:rsidRDefault="00057119" w:rsidP="008B491B">
      <w:pPr>
        <w:rPr>
          <w:rFonts w:cs="Calibri"/>
          <w:sz w:val="16"/>
        </w:rPr>
      </w:pPr>
    </w:p>
    <w:p w:rsidR="00721D38" w:rsidRDefault="008E0DF1" w:rsidP="008E0DF1">
      <w:pPr>
        <w:pStyle w:val="Heading3"/>
      </w:pPr>
      <w:r>
        <w:t>AT: Alt – Communist Horizon</w:t>
      </w:r>
    </w:p>
    <w:p w:rsidR="008E0DF1" w:rsidRDefault="008E0DF1" w:rsidP="008E0DF1">
      <w:pPr>
        <w:pStyle w:val="Heading4"/>
      </w:pPr>
      <w:r>
        <w:t>The “communist horizon” doesn’t solve ableism—the institutionalization and stigmatization of people with disabilities still exist</w:t>
      </w:r>
    </w:p>
    <w:p w:rsidR="008E0DF1" w:rsidRPr="00E71E1F" w:rsidRDefault="008E0DF1" w:rsidP="008E0DF1">
      <w:r>
        <w:rPr>
          <w:b/>
        </w:rPr>
        <w:t xml:space="preserve">Vann and Siska 6 </w:t>
      </w:r>
      <w:r w:rsidRPr="00E71E1F">
        <w:rPr>
          <w:sz w:val="18"/>
          <w:szCs w:val="18"/>
        </w:rPr>
        <w:t>(Barbara H. Vann and Jan Siska, Barbara H. Vann is a professor at Loyola College and Jan Siska Is a professor at Charles University, Taylor &amp; Francis, Disability &amp; Society, Vol. 21, No.5, “From ‘cage beds’ to inclusion: the long road for indivduals with intellectual disability in the Czech Republic,” pg. 425-426)//jy</w:t>
      </w:r>
    </w:p>
    <w:p w:rsidR="008E0DF1" w:rsidRPr="0098453C" w:rsidRDefault="008E0DF1" w:rsidP="008E0DF1">
      <w:pPr>
        <w:rPr>
          <w:sz w:val="14"/>
        </w:rPr>
      </w:pPr>
      <w:r w:rsidRPr="0098453C">
        <w:rPr>
          <w:sz w:val="14"/>
        </w:rPr>
        <w:t xml:space="preserve">The Czech Republic, as other Central and East European </w:t>
      </w:r>
      <w:r w:rsidRPr="0098453C">
        <w:rPr>
          <w:u w:val="single"/>
        </w:rPr>
        <w:t>(CEE) countries, has a long history of placing people with disabilities in large institutions, often located in remote parts of the country</w:t>
      </w:r>
      <w:r w:rsidRPr="0098453C">
        <w:rPr>
          <w:sz w:val="14"/>
        </w:rPr>
        <w:t xml:space="preserve">. People with intellectual disabilities have been particularly likely to be placed in such settings. Reports by international organizations on conditions of institutions in the CEE region highlight exclusionary practices and human rights abuses (Mental Disability Rights International (MDRI), 1997; Amnesty International, 2002). The prevalence of appalling conditions in long-term institutions is by no means unique to CEE countries. </w:t>
      </w:r>
      <w:r w:rsidRPr="0098453C">
        <w:rPr>
          <w:u w:val="single"/>
        </w:rPr>
        <w:t>Reports of abuse were a factor in – perhaps a driving force behind – de-institutionalization</w:t>
      </w:r>
      <w:r w:rsidRPr="0098453C">
        <w:rPr>
          <w:sz w:val="14"/>
        </w:rPr>
        <w:t xml:space="preserve"> in the UK and the USA. However, ‘barriers to effecting positive change are more complex in the countries of CEE’ (Klein &amp; Parker, 2003, p. 16) due at least partly to the transition from state-domination to more open societies. </w:t>
      </w:r>
      <w:r w:rsidRPr="0098453C">
        <w:rPr>
          <w:u w:val="single"/>
        </w:rPr>
        <w:t>Official government policy of placing people with</w:t>
      </w:r>
      <w:r w:rsidRPr="0098453C">
        <w:rPr>
          <w:sz w:val="14"/>
        </w:rPr>
        <w:t xml:space="preserve"> intellectual disability (</w:t>
      </w:r>
      <w:r w:rsidRPr="0098453C">
        <w:rPr>
          <w:u w:val="single"/>
        </w:rPr>
        <w:t>ID) into institutions was premised on the discipline of defectology</w:t>
      </w:r>
      <w:r w:rsidRPr="0098453C">
        <w:rPr>
          <w:sz w:val="14"/>
        </w:rPr>
        <w:t xml:space="preserve"> coming out of Russia’s Institute of Defectology, established in 1929. </w:t>
      </w:r>
      <w:r w:rsidRPr="0098453C">
        <w:rPr>
          <w:b/>
          <w:u w:val="single"/>
        </w:rPr>
        <w:t>Socialist educational philosophy insisted on a State where as many children as possible could be brought up to standards based on ‘normal’ development</w:t>
      </w:r>
      <w:r w:rsidRPr="0098453C">
        <w:rPr>
          <w:u w:val="single"/>
        </w:rPr>
        <w:t>.</w:t>
      </w:r>
      <w:r w:rsidRPr="0098453C">
        <w:rPr>
          <w:sz w:val="14"/>
        </w:rPr>
        <w:t xml:space="preserve"> </w:t>
      </w:r>
      <w:r w:rsidRPr="0098453C">
        <w:rPr>
          <w:u w:val="single"/>
        </w:rPr>
        <w:t>Children with any form of ‘deficiency’ were to be separated from normal children and</w:t>
      </w:r>
      <w:r w:rsidRPr="0098453C">
        <w:rPr>
          <w:sz w:val="14"/>
        </w:rPr>
        <w:t xml:space="preserve">, in many cases, from </w:t>
      </w:r>
      <w:r w:rsidRPr="0098453C">
        <w:rPr>
          <w:u w:val="single"/>
        </w:rPr>
        <w:t>their families. By maintaining children with disabilities in separate, segregated facilities</w:t>
      </w:r>
      <w:r w:rsidRPr="0098453C">
        <w:rPr>
          <w:b/>
          <w:u w:val="single"/>
        </w:rPr>
        <w:t>, Soviet society was able to exist as if there were no people with disabilities</w:t>
      </w:r>
      <w:r w:rsidRPr="0098453C">
        <w:rPr>
          <w:u w:val="single"/>
        </w:rPr>
        <w:t>. People with disabilities were invisible</w:t>
      </w:r>
      <w:r w:rsidRPr="0098453C">
        <w:rPr>
          <w:sz w:val="14"/>
        </w:rPr>
        <w:t xml:space="preserve"> (MDRI, 1999). These ideas prevailed throughout much of Central and Eastern Europe during most of the 20th century. </w:t>
      </w:r>
      <w:r w:rsidRPr="0098453C">
        <w:rPr>
          <w:u w:val="single"/>
        </w:rPr>
        <w:t xml:space="preserve">Individuals with ID who were not institutionalized were often isolated in their own homes due to lack of available community-based services, as well as family members’ wishes to protect them from potential abuse or to avoid bringing shame on the family. </w:t>
      </w:r>
      <w:r w:rsidRPr="0098453C">
        <w:rPr>
          <w:b/>
          <w:u w:val="single"/>
        </w:rPr>
        <w:t>Under communism, decades of emphasis on inpatient acute care facilities, biomedical specialties and institutionalized care occurred at the expense of prevention, behavioral healthcare and community-based services</w:t>
      </w:r>
      <w:r w:rsidRPr="0098453C">
        <w:rPr>
          <w:sz w:val="14"/>
        </w:rPr>
        <w:t xml:space="preserve"> (Ensor, 1993). Few public resources for disability services were directed toward re-entering the community and independent living. On the other hand, </w:t>
      </w:r>
      <w:r w:rsidRPr="0098453C">
        <w:rPr>
          <w:u w:val="single"/>
        </w:rPr>
        <w:t xml:space="preserve">large and often elaborate institutions were constructed, staffed and funded by the state. </w:t>
      </w:r>
      <w:r w:rsidRPr="0098453C">
        <w:rPr>
          <w:sz w:val="14"/>
        </w:rPr>
        <w:t>While many of these health and rehabilitation facilities provided adequate inpatient care, services were highly centralized and institutionalized (Holland, 2003). In many, if not most, CEE countries today, a centralized, heavily biomedical and institutional health care sector remains in place. According to one author, ‘</w:t>
      </w:r>
      <w:proofErr w:type="gramStart"/>
      <w:r w:rsidRPr="0098453C">
        <w:rPr>
          <w:u w:val="single"/>
        </w:rPr>
        <w:t>The</w:t>
      </w:r>
      <w:proofErr w:type="gramEnd"/>
      <w:r w:rsidRPr="0098453C">
        <w:rPr>
          <w:u w:val="single"/>
        </w:rPr>
        <w:t xml:space="preserve"> model of institutionalized care for people with disabilities or chronic illness has not changed significantly … since the fall of communism in 1989’</w:t>
      </w:r>
      <w:r w:rsidRPr="0098453C">
        <w:rPr>
          <w:sz w:val="14"/>
        </w:rPr>
        <w:t xml:space="preserve"> (Holland, 2003, p. 133). A void remains with regard to community-based services. </w:t>
      </w:r>
      <w:r w:rsidRPr="0098453C">
        <w:rPr>
          <w:u w:val="single"/>
        </w:rPr>
        <w:t>Individuals with disabilities and their families who resist institutionalized care often are left to navigate many of their needs on their own</w:t>
      </w:r>
      <w:r w:rsidRPr="0098453C">
        <w:rPr>
          <w:sz w:val="14"/>
        </w:rPr>
        <w:t xml:space="preserve">. According to Klein and Parker: </w:t>
      </w:r>
      <w:r w:rsidRPr="0098453C">
        <w:rPr>
          <w:u w:val="single"/>
        </w:rPr>
        <w:t>Promotion of the rights of people with mental disabilities and the development of policies and practices for their care and support is rarely high on the governmental agenda.</w:t>
      </w:r>
      <w:r w:rsidRPr="0098453C">
        <w:rPr>
          <w:sz w:val="14"/>
        </w:rPr>
        <w:t xml:space="preserve"> Furthermore, the current fiscal crises threaten to make the already unacceptable conditions in these institutions much worse. Nor has the gradual advent of market economies automatically brought any relief. </w:t>
      </w:r>
      <w:r w:rsidRPr="0098453C">
        <w:rPr>
          <w:u w:val="single"/>
        </w:rPr>
        <w:t>The networks of community-based services that are essential to the social inclusion of people with mental disabilities remain drastically underdeveloped, particularly in rural areas</w:t>
      </w:r>
      <w:r w:rsidRPr="0098453C">
        <w:rPr>
          <w:sz w:val="14"/>
        </w:rPr>
        <w:t>. These factors illustrate the urgent need for change. (Klein &amp; Parker, 2003, p. 16)</w:t>
      </w:r>
    </w:p>
    <w:p w:rsidR="008E0DF1" w:rsidRPr="008E0DF1" w:rsidRDefault="008E0DF1" w:rsidP="008E0DF1"/>
    <w:p w:rsidR="00721D38" w:rsidRPr="00F933AF" w:rsidRDefault="00F933AF" w:rsidP="00F933AF">
      <w:pPr>
        <w:pStyle w:val="Heading2"/>
        <w:rPr>
          <w:rFonts w:cs="Calibri"/>
        </w:rPr>
      </w:pPr>
      <w:r w:rsidRPr="00F933AF">
        <w:rPr>
          <w:rFonts w:cs="Calibri"/>
        </w:rPr>
        <w:t>AT: Cybernetics</w:t>
      </w:r>
    </w:p>
    <w:p w:rsidR="00F933AF" w:rsidRPr="00F933AF" w:rsidRDefault="00F933AF" w:rsidP="00F933AF">
      <w:pPr>
        <w:pStyle w:val="Heading3"/>
        <w:rPr>
          <w:rFonts w:cs="Calibri"/>
        </w:rPr>
      </w:pPr>
      <w:r w:rsidRPr="00F933AF">
        <w:rPr>
          <w:rFonts w:cs="Calibri"/>
        </w:rPr>
        <w:t>Link Turn</w:t>
      </w:r>
    </w:p>
    <w:p w:rsidR="00721D38" w:rsidRPr="00F933AF" w:rsidRDefault="00721D38" w:rsidP="00721D38">
      <w:pPr>
        <w:pStyle w:val="Heading4"/>
        <w:rPr>
          <w:rStyle w:val="Style13ptBold"/>
          <w:rFonts w:cs="Calibri"/>
          <w:b/>
        </w:rPr>
      </w:pPr>
      <w:r w:rsidRPr="00F933AF">
        <w:rPr>
          <w:rStyle w:val="Style13ptBold"/>
          <w:rFonts w:cs="Calibri"/>
          <w:b/>
        </w:rPr>
        <w:t>Challenging ableism goes against technoscience’s re-conception of humanness</w:t>
      </w:r>
    </w:p>
    <w:p w:rsidR="00721D38" w:rsidRPr="00F933AF" w:rsidRDefault="00721D38" w:rsidP="00721D38">
      <w:pPr>
        <w:rPr>
          <w:rFonts w:cs="Calibri"/>
        </w:rPr>
      </w:pPr>
      <w:r w:rsidRPr="00F933AF">
        <w:rPr>
          <w:rStyle w:val="Style13ptBold"/>
          <w:rFonts w:cs="Calibri"/>
        </w:rPr>
        <w:t>Campbell 9</w:t>
      </w:r>
      <w:r w:rsidRPr="00F933AF">
        <w:rPr>
          <w:rFonts w:cs="Calibri"/>
        </w:rPr>
        <w:t xml:space="preserve"> (Fiona Kumari Campbell, Senior Lecturer In the School of Education and Social Work at the University of Dundee (Scotland), Adjunct Professor in Disability Studies with the Faculty of Medicine at the University of Kelaniya (Sri Lanka), PhD in Sociology, Humanities, and Law from </w:t>
      </w:r>
      <w:hyperlink r:id="rId240" w:tooltip="Queensland University of Technology" w:history="1">
        <w:r w:rsidRPr="00F933AF">
          <w:rPr>
            <w:rStyle w:val="Hyperlink"/>
            <w:rFonts w:cs="Calibri"/>
          </w:rPr>
          <w:t>Queensland University of Technology</w:t>
        </w:r>
      </w:hyperlink>
      <w:r w:rsidRPr="00F933AF">
        <w:rPr>
          <w:rFonts w:cs="Calibri"/>
        </w:rPr>
        <w:t xml:space="preserve"> (Australia), Certificate in Higher Research Degree Supervision in 2005 from </w:t>
      </w:r>
      <w:hyperlink r:id="rId241" w:history="1">
        <w:r w:rsidRPr="00F933AF">
          <w:rPr>
            <w:rStyle w:val="Hyperlink"/>
            <w:rFonts w:cs="Calibri"/>
          </w:rPr>
          <w:t>Griffith University</w:t>
        </w:r>
      </w:hyperlink>
      <w:r w:rsidRPr="00F933AF">
        <w:rPr>
          <w:rFonts w:cs="Calibri"/>
        </w:rPr>
        <w:t xml:space="preserve"> (Australia), author of #Ableism: An Interdisciplinary Introduction to Studies in Ableism and Textures of Ableism: Essays on Ablement, Silence and Voice, contributor to the International Advisory Board of the Socio-Legal Review, Journal of Literary and Cultural Disability Studies (England), Ethnographica: Journal of Disability and Culture (Belgium), the International Review of Disability Studies, and Associate Editor, Journal of Social Inclusion (Australia), the Scientific Board of the Italian Journal of Disability Studies (Italy), 2009, “Contours of Ableism: The Production of Disability and Abledness”, Palgrave MacMillan, https://www.freelists.org/archives/sig-dsu/08-2013/pdfyWdtytodrO.pdf)/CWB</w:t>
      </w:r>
    </w:p>
    <w:p w:rsidR="00721D38" w:rsidRPr="00F933AF" w:rsidRDefault="00721D38" w:rsidP="00721D38">
      <w:pPr>
        <w:rPr>
          <w:rFonts w:cs="Calibri"/>
          <w:sz w:val="16"/>
        </w:rPr>
      </w:pPr>
      <w:r w:rsidRPr="00F933AF">
        <w:rPr>
          <w:rFonts w:cs="Calibri"/>
          <w:sz w:val="16"/>
        </w:rPr>
        <w:t xml:space="preserve">The processes and practices of translation cannot be separated from the creation of that ordering category termed ‘disability’. </w:t>
      </w:r>
      <w:r w:rsidRPr="00F933AF">
        <w:rPr>
          <w:rStyle w:val="StyleUnderline"/>
          <w:rFonts w:cs="Calibri"/>
        </w:rPr>
        <w:t xml:space="preserve">For many people deemed disabled, in the world of technoscience their relationship with non-human actants has been profoundly cyborgical and hybridisable (e.g. the use of communication and adaptive devices, implants and transplants). As such the networks of association between human and non-human (sentient beings and machines) have always been and increasingly are pushing the boundaries of the practices of purification. The disabled body induces a fear as being a body out of control because of its appearance of uncontainability. The practices of purification insist on this being the case. Ableism’s constitutional divide posits two distinct and entirely clear ontological zones: disabled and abled (normate). </w:t>
      </w:r>
      <w:r w:rsidRPr="00F933AF">
        <w:rPr>
          <w:rFonts w:cs="Calibri"/>
          <w:sz w:val="16"/>
        </w:rPr>
        <w:t xml:space="preserve">Latour (1993, p. 11) explains, </w:t>
      </w:r>
      <w:proofErr w:type="gramStart"/>
      <w:r w:rsidRPr="00F933AF">
        <w:rPr>
          <w:rFonts w:cs="Calibri"/>
          <w:sz w:val="16"/>
        </w:rPr>
        <w:t>Without</w:t>
      </w:r>
      <w:proofErr w:type="gramEnd"/>
      <w:r w:rsidRPr="00F933AF">
        <w:rPr>
          <w:rFonts w:cs="Calibri"/>
          <w:sz w:val="16"/>
        </w:rPr>
        <w:t xml:space="preserve"> the first set, the practices of purification would be fruitless or pointless. Without the second, the work of translation would be slowed down, limited, or even ruled out. ... So long as we consider these two practices of translation and purification separately, we are truly modern – that is willingly subscribe to the critical project, even though that project is developed only through the proliferation of hybrids down below. As soon as we direct our attention simultaneously to the work of purification and the work of hybridization [translation], we immediately stop being wholly modern, and our future begins to change. </w:t>
      </w:r>
      <w:r w:rsidRPr="00F933AF">
        <w:rPr>
          <w:rStyle w:val="StyleUnderline"/>
          <w:rFonts w:cs="Calibri"/>
        </w:rPr>
        <w:t>The challenge then is to look beyond social context, at the interactivity between the processes and techniques of purification and translation, in particular to investigate what this interactivity clarifies and obfuscates</w:t>
      </w:r>
      <w:r w:rsidRPr="00F933AF">
        <w:rPr>
          <w:rFonts w:cs="Calibri"/>
          <w:sz w:val="16"/>
        </w:rPr>
        <w:t xml:space="preserve">. Even though Latour claims that purification is not an ideology in disguise, I would assert that the existence of processes of purification creates a simulation, if you like, of the conditions of naturalism. Latour’s discussion of whether relations are conscious and unconscious or are illusion and reality is an important one. He concludes that moderns are not unaware of what they do; rather it is the holding steadfast to dichotomies, the divides, which makes possible the processes of translation. We can, by analogy, argue that </w:t>
      </w:r>
      <w:r w:rsidRPr="00F933AF">
        <w:rPr>
          <w:rStyle w:val="StyleUnderline"/>
          <w:rFonts w:cs="Calibri"/>
        </w:rPr>
        <w:t>matters of intentionality or discourse and so forth are not critical to the emerging technologies of ableism, but rather it is the act of holding stoically to the distinction between abledness and disabledness. In contemporary developments in high-tech and biotechnologies</w:t>
      </w:r>
      <w:r w:rsidRPr="00F933AF">
        <w:rPr>
          <w:rFonts w:cs="Calibri"/>
          <w:sz w:val="16"/>
        </w:rPr>
        <w:t xml:space="preserve">, it is occasionally possible to witness the glitches in the purview of purification, whether that is in the </w:t>
      </w:r>
      <w:r w:rsidRPr="00F933AF">
        <w:rPr>
          <w:rStyle w:val="StyleUnderline"/>
          <w:rFonts w:cs="Calibri"/>
        </w:rPr>
        <w:t xml:space="preserve">debates over transhumanism, xenotransplantation or the emergent of new ‘life’ in the form of </w:t>
      </w:r>
      <w:r w:rsidRPr="00F933AF">
        <w:rPr>
          <w:rFonts w:cs="Calibri"/>
          <w:sz w:val="16"/>
          <w:szCs w:val="16"/>
        </w:rPr>
        <w:t>artificial intelligences</w:t>
      </w:r>
      <w:r w:rsidRPr="00F933AF">
        <w:rPr>
          <w:rStyle w:val="StyleUnderline"/>
          <w:rFonts w:cs="Calibri"/>
        </w:rPr>
        <w:t xml:space="preserve"> (A.I’s).</w:t>
      </w:r>
      <w:r w:rsidRPr="00F933AF">
        <w:rPr>
          <w:rFonts w:cs="Calibri"/>
          <w:sz w:val="16"/>
        </w:rPr>
        <w:t xml:space="preserve"> The confusion about where human life begins and ends harks back to the Enlightenment era where philosopher’s like Locke inquired ‘What is It?’ in trying to make sense of the </w:t>
      </w:r>
      <w:r w:rsidRPr="00F933AF">
        <w:rPr>
          <w:rStyle w:val="StyleUnderline"/>
          <w:rFonts w:cs="Calibri"/>
        </w:rPr>
        <w:t>humanness of changelings</w:t>
      </w:r>
      <w:r w:rsidRPr="00F933AF">
        <w:rPr>
          <w:rFonts w:cs="Calibri"/>
          <w:sz w:val="16"/>
        </w:rPr>
        <w:t xml:space="preserve"> (Campbell, 1999; Locke, 1979). </w:t>
      </w:r>
      <w:r w:rsidRPr="00F933AF">
        <w:rPr>
          <w:rStyle w:val="StyleUnderline"/>
          <w:rFonts w:cs="Calibri"/>
        </w:rPr>
        <w:t xml:space="preserve">The fortunes of technoscience continue to disrupt the fixity of defining disability and normalcy especially within the arenas of law and bioethics. Whilst anomalous bodies are undecidable in being open to endless and differing interpretations, an essentialised disabled body is subject to constant deferral – standing in reserve, awaiting and escaping </w:t>
      </w:r>
      <w:proofErr w:type="gramStart"/>
      <w:r w:rsidRPr="00F933AF">
        <w:rPr>
          <w:rStyle w:val="StyleUnderline"/>
          <w:rFonts w:cs="Calibri"/>
        </w:rPr>
        <w:t>able(</w:t>
      </w:r>
      <w:proofErr w:type="gramEnd"/>
      <w:r w:rsidRPr="00F933AF">
        <w:rPr>
          <w:rStyle w:val="StyleUnderline"/>
          <w:rFonts w:cs="Calibri"/>
        </w:rPr>
        <w:t xml:space="preserve">edness) through morphing technologies and as such exists in an ontologically tentative or provisional state. Latour points out the ultimate paradox of this modern constitutional divide is that whilst the proliferation of hybrids is allowed for, at the same time this constitution continues to deny the very existence of hybrid entities within its formulation </w:t>
      </w:r>
      <w:r w:rsidRPr="00F933AF">
        <w:rPr>
          <w:rFonts w:cs="Calibri"/>
          <w:sz w:val="16"/>
        </w:rPr>
        <w:t>(Latour, 1993)</w:t>
      </w:r>
      <w:proofErr w:type="gramStart"/>
      <w:r w:rsidRPr="00F933AF">
        <w:rPr>
          <w:rFonts w:cs="Calibri"/>
          <w:sz w:val="16"/>
        </w:rPr>
        <w:t>.</w:t>
      </w:r>
      <w:proofErr w:type="gramEnd"/>
      <w:r w:rsidRPr="00F933AF">
        <w:rPr>
          <w:rFonts w:cs="Calibri"/>
          <w:sz w:val="16"/>
        </w:rPr>
        <w:t xml:space="preserve"> Contemporary conditions suggest that it is not the event of denial that is operational; rather it is the ‘place’ or significance given to such ambiguous entities that disrupt the rather neat demarcation zones.</w:t>
      </w:r>
    </w:p>
    <w:p w:rsidR="00721D38" w:rsidRPr="00F933AF" w:rsidRDefault="00721D38" w:rsidP="00721D38">
      <w:pPr>
        <w:rPr>
          <w:rFonts w:cs="Calibri"/>
          <w:sz w:val="16"/>
        </w:rPr>
      </w:pPr>
    </w:p>
    <w:p w:rsidR="00721D38" w:rsidRPr="00F933AF" w:rsidRDefault="00183BF2" w:rsidP="00183BF2">
      <w:pPr>
        <w:pStyle w:val="Heading2"/>
      </w:pPr>
      <w:r>
        <w:t xml:space="preserve">AT: </w:t>
      </w:r>
      <w:r w:rsidR="00721D38" w:rsidRPr="00F933AF">
        <w:t>Biopolitics</w:t>
      </w:r>
    </w:p>
    <w:p w:rsidR="00721D38" w:rsidRPr="00F933AF" w:rsidRDefault="00721D38" w:rsidP="00721D38">
      <w:pPr>
        <w:pStyle w:val="Heading4"/>
        <w:rPr>
          <w:rFonts w:cs="Calibri"/>
        </w:rPr>
      </w:pPr>
      <w:r w:rsidRPr="00F933AF">
        <w:rPr>
          <w:rFonts w:cs="Calibri"/>
        </w:rPr>
        <w:t>Immigration restrictions and health care promotes inclusion of the disabled- counters biopower</w:t>
      </w:r>
    </w:p>
    <w:p w:rsidR="00721D38" w:rsidRPr="00F933AF" w:rsidRDefault="00721D38" w:rsidP="00721D38">
      <w:pPr>
        <w:rPr>
          <w:rFonts w:cs="Calibri"/>
        </w:rPr>
      </w:pPr>
      <w:r w:rsidRPr="00F933AF">
        <w:rPr>
          <w:rStyle w:val="Style13ptBold"/>
          <w:rFonts w:cs="Calibri"/>
        </w:rPr>
        <w:t>Mitchell 15</w:t>
      </w:r>
      <w:r w:rsidRPr="00F933AF">
        <w:rPr>
          <w:rFonts w:cs="Calibri"/>
        </w:rPr>
        <w:t xml:space="preserve"> (David T. Mitchell, faculty member in the Department of Disability and Human Development at the University of Illinois at Chicago, coeditor of Corporealities: Discourses of Disability, author of Precarity, Geopolitics, and the Matter of Disability, Ed. Sharon L. Snyder, 2015, “The Biopolitics of Disability neoliberalism, ablenationalism, and peripheral embodiment”, University of Michigan Press, https://www.press.umich.edu/7331366)/CWB</w:t>
      </w:r>
    </w:p>
    <w:p w:rsidR="00721D38" w:rsidRPr="00F933AF" w:rsidRDefault="00721D38" w:rsidP="00721D38">
      <w:pPr>
        <w:rPr>
          <w:rStyle w:val="StyleUnderline"/>
          <w:rFonts w:cs="Calibri"/>
        </w:rPr>
      </w:pPr>
      <w:r w:rsidRPr="00F933AF">
        <w:rPr>
          <w:rFonts w:cs="Calibri"/>
          <w:sz w:val="16"/>
        </w:rPr>
        <w:t xml:space="preserve">In referring to </w:t>
      </w:r>
      <w:r w:rsidRPr="00F933AF">
        <w:rPr>
          <w:rStyle w:val="StyleUnderline"/>
          <w:rFonts w:cs="Calibri"/>
        </w:rPr>
        <w:t>the biopolitics of disability</w:t>
      </w:r>
      <w:r w:rsidRPr="00F933AF">
        <w:rPr>
          <w:rFonts w:cs="Calibri"/>
          <w:sz w:val="16"/>
        </w:rPr>
        <w:t xml:space="preserve"> we </w:t>
      </w:r>
      <w:r w:rsidRPr="00F933AF">
        <w:rPr>
          <w:rStyle w:val="StyleUnderline"/>
          <w:rFonts w:cs="Calibri"/>
        </w:rPr>
        <w:t>identify a marked historical shift</w:t>
      </w:r>
      <w:r w:rsidRPr="00F933AF">
        <w:rPr>
          <w:rFonts w:cs="Calibri"/>
          <w:sz w:val="16"/>
        </w:rPr>
        <w:t xml:space="preserve"> in practices evolving initially during the primary eugenics period wherein lives with disabilities found their existences increasingly immobilized within the nation. </w:t>
      </w:r>
      <w:r w:rsidRPr="00F933AF">
        <w:rPr>
          <w:rStyle w:val="StyleUnderline"/>
          <w:rFonts w:cs="Calibri"/>
        </w:rPr>
        <w:t>Institutionalization</w:t>
      </w:r>
      <w:r w:rsidRPr="00F933AF">
        <w:rPr>
          <w:rFonts w:cs="Calibri"/>
          <w:sz w:val="16"/>
        </w:rPr>
        <w:t xml:space="preserve"> (chronic human warehousing), marriage prohibitions, involuntary sterilization, confinement within one’s home, </w:t>
      </w:r>
      <w:r w:rsidRPr="00F933AF">
        <w:rPr>
          <w:rStyle w:val="StyleUnderline"/>
          <w:rFonts w:cs="Calibri"/>
        </w:rPr>
        <w:t>inaccessibility of shared public space,</w:t>
      </w:r>
      <w:r w:rsidRPr="00F933AF">
        <w:rPr>
          <w:rFonts w:cs="Calibri"/>
          <w:sz w:val="16"/>
        </w:rPr>
        <w:t xml:space="preserve"> segregated education, </w:t>
      </w:r>
      <w:r w:rsidRPr="00F933AF">
        <w:rPr>
          <w:rStyle w:val="StyleUnderline"/>
          <w:rFonts w:cs="Calibri"/>
        </w:rPr>
        <w:t xml:space="preserve">and </w:t>
      </w:r>
      <w:r w:rsidRPr="00F933AF">
        <w:rPr>
          <w:rStyle w:val="Emphasis"/>
          <w:rFonts w:cs="Calibri"/>
        </w:rPr>
        <w:t>intensified immigration restrictions are all tactics employed by liberal governance practices not just to physically control, but to statistically graph and determine in minute detail the cultural parameters of life within which disabled people find themselves enfolded</w:t>
      </w:r>
      <w:r w:rsidRPr="00F933AF">
        <w:rPr>
          <w:rFonts w:cs="Calibri"/>
          <w:sz w:val="16"/>
        </w:rPr>
        <w:t xml:space="preserve">. We want to demonstrate throughout this book that control of the coordinates of </w:t>
      </w:r>
      <w:r w:rsidRPr="00F933AF">
        <w:rPr>
          <w:rStyle w:val="StyleUnderline"/>
          <w:rFonts w:cs="Calibri"/>
        </w:rPr>
        <w:t xml:space="preserve">what Georgio Agamben refers to as “bare biological life” among citizens in market capitalism has been fashioned on the basis of systems of oversight specific to disability and others occupying peripheral embodiments </w:t>
      </w:r>
      <w:r w:rsidRPr="00F933AF">
        <w:rPr>
          <w:rFonts w:cs="Calibri"/>
          <w:sz w:val="16"/>
        </w:rPr>
        <w:t xml:space="preserve">(Homo Sacer 1). This approach allows us to </w:t>
      </w:r>
      <w:r w:rsidRPr="00F933AF">
        <w:rPr>
          <w:rStyle w:val="StyleUnderline"/>
          <w:rFonts w:cs="Calibri"/>
        </w:rPr>
        <w:t>situate disability as a primary case of social justice rather than an exception to the rules of human governanc</w:t>
      </w:r>
      <w:r w:rsidRPr="00F933AF">
        <w:rPr>
          <w:rFonts w:cs="Calibri"/>
          <w:sz w:val="16"/>
        </w:rPr>
        <w:t>e. As Martha Nussbaum points out, “</w:t>
      </w:r>
      <w:r w:rsidRPr="00F933AF">
        <w:rPr>
          <w:rStyle w:val="StyleUnderline"/>
          <w:rFonts w:cs="Calibri"/>
        </w:rPr>
        <w:t>issues that seem extremely important for social justice—issues about the allocation of care, the labor involved in caring, and the social costs of promoting the fuller inclusion of disabled citizens—fail to come into focus or are explicitly deferred for later consideration</w:t>
      </w:r>
      <w:r w:rsidRPr="00F933AF">
        <w:rPr>
          <w:rFonts w:cs="Calibri"/>
          <w:sz w:val="16"/>
        </w:rPr>
        <w:t xml:space="preserve">” (431–32). Nussbaum exposes how </w:t>
      </w:r>
      <w:r w:rsidRPr="00F933AF">
        <w:rPr>
          <w:rStyle w:val="StyleUnderline"/>
          <w:rFonts w:cs="Calibri"/>
        </w:rPr>
        <w:t>neoliberalism, by treating disability as an exceptional case to be put off until later, involves national strategies of deferral as part of its efforts to “seize hold of life in order to suppress it” (Foucault, History of Sexuality 136).</w:t>
      </w:r>
    </w:p>
    <w:p w:rsidR="006F6EF3" w:rsidRDefault="006F6EF3" w:rsidP="006F6EF3">
      <w:pPr>
        <w:pStyle w:val="Heading4"/>
      </w:pPr>
      <w:r>
        <w:t>Public charge is a key vector of biopower—the regulation of the movement of immigrants through the constant fear of deportation traps them in a system of poverty and violence—the plan solves this by removing public charge</w:t>
      </w:r>
    </w:p>
    <w:p w:rsidR="006F6EF3" w:rsidRPr="000A4D9B" w:rsidRDefault="006F6EF3" w:rsidP="006F6EF3">
      <w:r>
        <w:rPr>
          <w:b/>
        </w:rPr>
        <w:t xml:space="preserve">Park 1 </w:t>
      </w:r>
      <w:r w:rsidRPr="001D4EEE">
        <w:rPr>
          <w:sz w:val="18"/>
          <w:szCs w:val="18"/>
        </w:rPr>
        <w:t>(Lisa Sun-Hee Park, Assistant Professor in the Ethnic Studies Department and the Urban Studies and Planning Program at the University of California, Hein Online,</w:t>
      </w:r>
      <w:r>
        <w:rPr>
          <w:sz w:val="18"/>
          <w:szCs w:val="18"/>
        </w:rPr>
        <w:t xml:space="preserve"> EBSCO Host,</w:t>
      </w:r>
      <w:r w:rsidRPr="001D4EEE">
        <w:rPr>
          <w:sz w:val="18"/>
          <w:szCs w:val="18"/>
        </w:rPr>
        <w:t xml:space="preserve"> 2001, “Perpetuation of Poverty Through ‘Public Charge,’”</w:t>
      </w:r>
      <w:r>
        <w:rPr>
          <w:sz w:val="18"/>
          <w:szCs w:val="18"/>
        </w:rPr>
        <w:t xml:space="preserve"> The perpetuation of poverty,</w:t>
      </w:r>
      <w:r w:rsidRPr="001D4EEE">
        <w:rPr>
          <w:sz w:val="18"/>
          <w:szCs w:val="18"/>
        </w:rPr>
        <w:t xml:space="preserve"> Denver University Law Review)</w:t>
      </w:r>
      <w:r>
        <w:rPr>
          <w:sz w:val="18"/>
          <w:szCs w:val="18"/>
        </w:rPr>
        <w:t>//jy</w:t>
      </w:r>
    </w:p>
    <w:p w:rsidR="006F6EF3" w:rsidRPr="00B860EA" w:rsidRDefault="006F6EF3" w:rsidP="006F6EF3">
      <w:pPr>
        <w:rPr>
          <w:sz w:val="12"/>
        </w:rPr>
      </w:pPr>
      <w:r w:rsidRPr="00B860EA">
        <w:rPr>
          <w:sz w:val="12"/>
        </w:rPr>
        <w:t xml:space="preserve">II. THE PERPETUATION OF POVERTY A. WELFARE AND IMMIGRATION REFORM AND IMMIGRANT WOMEN'S HEALTH </w:t>
      </w:r>
      <w:r w:rsidRPr="00B860EA">
        <w:rPr>
          <w:sz w:val="12"/>
          <w:szCs w:val="12"/>
        </w:rPr>
        <w:t>CARE</w:t>
      </w:r>
      <w:r w:rsidRPr="00B860EA">
        <w:rPr>
          <w:u w:val="single"/>
        </w:rPr>
        <w:t xml:space="preserve"> In the final version of the 1996 Welfare Reform, restrictions on immigrant welfare accounted for almost half of the total federal savings</w:t>
      </w:r>
      <w:proofErr w:type="gramStart"/>
      <w:r w:rsidRPr="00B860EA">
        <w:rPr>
          <w:u w:val="single"/>
        </w:rPr>
        <w:t>.(</w:t>
      </w:r>
      <w:proofErr w:type="gramEnd"/>
      <w:r w:rsidRPr="00B860EA">
        <w:rPr>
          <w:sz w:val="12"/>
        </w:rPr>
        <w:t>FN37) This is despite the fact that only about eight percent of the U.S. population are foreign-born as of 1990, and undocumented immigrants comprise about one percent of the U.S. population, or thirteen percent of the foreign born population</w:t>
      </w:r>
      <w:r w:rsidRPr="00B860EA">
        <w:rPr>
          <w:u w:val="single"/>
        </w:rPr>
        <w:t>. Ostensibly a budgetary measure, all the savings from eliminating almost all of the safety nets for immigrants come from denying benefits to legal -- not "illegal" -- immigrants. Undocumented immigrants are already ineligible for most major means-tested entitlement benefits</w:t>
      </w:r>
      <w:r w:rsidRPr="00B860EA">
        <w:rPr>
          <w:sz w:val="12"/>
        </w:rPr>
        <w:t xml:space="preserve">. Federal welfare and immigration reform legislation of 1996 added restrictions to the use of Medicaid by legal immigrants. </w:t>
      </w:r>
      <w:r w:rsidRPr="00B860EA">
        <w:rPr>
          <w:u w:val="single"/>
        </w:rPr>
        <w:t>The Personal Responsibility and Work Opportunity Reform Act of 1996 restricted immigrants' access to health care by more narrowly defining which immigrant populations were eligible for federal Medicaid funding. The Illegal Immigration Reform and Immigrant Responsibility Act of 1996 made it harder for more recent immigrants to establish income eligibility for Medicaid.</w:t>
      </w:r>
      <w:r w:rsidRPr="00B860EA">
        <w:rPr>
          <w:sz w:val="12"/>
        </w:rPr>
        <w:t xml:space="preserve"> The PRWORA created two categories of immigrants with respect to Medicaid eligibility: pre-and post-enactment immigrants.(FN38) The distinction was based on the relationship of an immigrant's date of entry to the date of the legislative change; those entering after August 22, 1996, were classified as post-enactment immigrants. States had the option of providing Medicaid coverage for pre-enactment qualified immigrants. Coverage of non-emergency services for legal post-enactment immigrants would have to be state-funded for the first five years of the immigrant's stay in the country. California opted to continue Medi-Cal coverage to legal immigrants irrespective of their date of entry to the U.S. However, </w:t>
      </w:r>
      <w:r w:rsidRPr="00B860EA">
        <w:rPr>
          <w:u w:val="single"/>
        </w:rPr>
        <w:t>state and local government agencies continued to require documentation of immigration status from applicants for means-tested programs</w:t>
      </w:r>
      <w:r w:rsidRPr="00B860EA">
        <w:rPr>
          <w:sz w:val="12"/>
        </w:rPr>
        <w:t xml:space="preserve">. The passage of these two laws facilitated the exchange of information regarding immigration status and the receipt of Medicaid-funded services between states and the INS. PRWORA explicitly prohibits the use of federal funds for Medicaid benefits other than emergency care for specific groups of immigrants. </w:t>
      </w:r>
      <w:r w:rsidRPr="00B860EA">
        <w:rPr>
          <w:u w:val="single"/>
        </w:rPr>
        <w:t>Therefore, unless they have a specified immigration status, immigrants are allowed only coverage for emergency care</w:t>
      </w:r>
      <w:r w:rsidRPr="00B860EA">
        <w:rPr>
          <w:sz w:val="12"/>
        </w:rPr>
        <w:t>. In the past, a Social Security card or birth certificate was sufficient to establish legal immigration status. Moreover</w:t>
      </w:r>
      <w:r w:rsidRPr="00B860EA">
        <w:rPr>
          <w:u w:val="single"/>
        </w:rPr>
        <w:t>, state and local governments are prohibited from restricting communication between state and local agencies and the INS regarding the immigration status of benefits applicants.</w:t>
      </w:r>
      <w:r w:rsidRPr="00B860EA">
        <w:rPr>
          <w:sz w:val="12"/>
        </w:rPr>
        <w:t xml:space="preserve"> This information link between the INS and DHS can occur through local Medi-Cal eligibility offices. When immigrants apply for Medi-Cal, the information they provide about their income and assets, as well as the information in documents they used to establish their California residency, can now be turned over legally to the INS. Currently in California, legal challenges to the implementation of welfare and immigration reforms and the use of state general funds have ensured the eligibility of low-income immigrants for Medi-Cal coverage of prenatal care and other pregnancy-related services. The problem, however, is that </w:t>
      </w:r>
      <w:r w:rsidRPr="00B860EA">
        <w:rPr>
          <w:u w:val="single"/>
        </w:rPr>
        <w:t>the policy implementations of the welfare and immigration reforms have created a chilling effect that has discouraged use of Medicaid by immigrants who are legally eligible in California.</w:t>
      </w:r>
      <w:r w:rsidRPr="00B860EA">
        <w:rPr>
          <w:sz w:val="12"/>
        </w:rPr>
        <w:t xml:space="preserve"> There is concern that a decline in Medi-Cal enrollment, and consequently prenatal care utilization, is occurring among low-income pregnant immigrant women. Studies have shown that </w:t>
      </w:r>
      <w:r w:rsidRPr="00B860EA">
        <w:rPr>
          <w:u w:val="single"/>
        </w:rPr>
        <w:t>uninsured women are less likely to make the recommended number of prenatal care visits, and they experience poorer birth outcomes than women with Medicaid</w:t>
      </w:r>
      <w:r w:rsidRPr="00B860EA">
        <w:rPr>
          <w:sz w:val="12"/>
        </w:rPr>
        <w:t xml:space="preserve">.(FN39) Furthermore', </w:t>
      </w:r>
      <w:r w:rsidRPr="00B860EA">
        <w:rPr>
          <w:u w:val="single"/>
        </w:rPr>
        <w:t>foreign-born women are more likely than U.S.-born women to be uninsured for prenatal care and are less likely to follow the recommended schedule of prenatal care visits</w:t>
      </w:r>
      <w:r w:rsidRPr="00B860EA">
        <w:rPr>
          <w:sz w:val="12"/>
        </w:rPr>
        <w:t xml:space="preserve">.(FN40) A minimum standard of fourteen visits starting no later than the third month of pregnancy is recommended by the American College of Obstetricians and Gynecologists.(FN41) During these visits, women are screened for potential pregnancy complications, which can require additional visits, especially in the latter months of pregnancy. </w:t>
      </w:r>
      <w:r w:rsidRPr="00B860EA">
        <w:rPr>
          <w:u w:val="single"/>
        </w:rPr>
        <w:t>Medicaid coverage for prenatal care is important in ensuring early and continuous use of prenatal care by women who would otherwise be uninsured for the care</w:t>
      </w:r>
      <w:r w:rsidRPr="00B860EA">
        <w:rPr>
          <w:sz w:val="12"/>
        </w:rPr>
        <w:t>. B. IMPACT OF PUBLIC CHARGE Among the various forms of collaboration between the state DHS agency and the federal INS agency</w:t>
      </w:r>
      <w:r w:rsidRPr="00B860EA">
        <w:rPr>
          <w:u w:val="single"/>
        </w:rPr>
        <w:t>, the issue of public charge is perhaps the most alarming to immigrant communities and those who serve them.</w:t>
      </w:r>
      <w:r w:rsidRPr="00B860EA">
        <w:rPr>
          <w:sz w:val="12"/>
        </w:rPr>
        <w:t xml:space="preserve"> The issue at stake is whether Medicaid, a non-cash public benefit, falls within the public charge domain since the benefit is not cash assistance, but health care coverage. </w:t>
      </w:r>
      <w:r w:rsidRPr="00B860EA">
        <w:rPr>
          <w:u w:val="single"/>
        </w:rPr>
        <w:t>The INS can prevent an immigrant they judge likely to become a public charge from obtaining legal permanent residency</w:t>
      </w:r>
      <w:r w:rsidRPr="00B860EA">
        <w:rPr>
          <w:sz w:val="12"/>
        </w:rPr>
        <w:t xml:space="preserve">. In addition, the INS can refuse readmission to the United States to immigrants who leave the country for more than 180 days, whom, when they attempt to reenter, are judged likely to become a public charge. </w:t>
      </w:r>
      <w:r w:rsidRPr="00B860EA">
        <w:rPr>
          <w:u w:val="single"/>
        </w:rPr>
        <w:t>The MS can also deport a person found to be a public charge,</w:t>
      </w:r>
      <w:r w:rsidRPr="00B860EA">
        <w:rPr>
          <w:sz w:val="12"/>
        </w:rPr>
        <w:t xml:space="preserve"> though this is rarely done. Since the 1996 enactments, information concerning people who apply for and receive Medi-Cal has been provided continuously to the state DHS office by local Medi-Cal eligibility agencies. In May of 1999, after pressure from immigrant health advocates, the federal government further clarified public charge criterion to exclude non-cash benefits, such as Medicaid and special-purpose cash benefits that are not intended for income maintenance.(FN42) However, </w:t>
      </w:r>
      <w:r w:rsidRPr="00B860EA">
        <w:rPr>
          <w:u w:val="single"/>
        </w:rPr>
        <w:t>the failure of the federal government to provide clarification on the potential impact of the use of non-cash benefits on future immigration status,</w:t>
      </w:r>
      <w:r w:rsidRPr="00B860EA">
        <w:rPr>
          <w:sz w:val="12"/>
        </w:rPr>
        <w:t xml:space="preserve"> almost three years after the passage of the legislation, </w:t>
      </w:r>
      <w:r w:rsidRPr="00B860EA">
        <w:rPr>
          <w:u w:val="single"/>
        </w:rPr>
        <w:t>had a significant impact on immigrant communities.</w:t>
      </w:r>
      <w:r w:rsidRPr="00B860EA">
        <w:rPr>
          <w:sz w:val="12"/>
        </w:rPr>
        <w:t xml:space="preserve"> Since 1994, the INS and state DHS officials have made public charge determinations based solely on the use of Medi-Cal.(FN43) This practice was in conflict with a written policy stating' that public charge determinations should be made on the basis of the individual's total circumstances, including age, health, family status, assets, resources, financial status, education, and skills. One community health care clinic director told us of an incident in which she received a phone call from a family member of someone who was having a heart attack. They had called to ask how much an ambulance would cost for a full fee, cash paying patient. Despite the fact that they were documented immigrants, they expressed fear of a public charge determination for using an ambulance as a public benefit. In another case, </w:t>
      </w:r>
      <w:r w:rsidRPr="00B860EA">
        <w:rPr>
          <w:u w:val="single"/>
        </w:rPr>
        <w:t>an immigrant woman in the Bay Area scalded herself badly in the bathtub</w:t>
      </w:r>
      <w:r w:rsidRPr="00B860EA">
        <w:rPr>
          <w:sz w:val="12"/>
        </w:rPr>
        <w:t xml:space="preserve">. The clinic director described the situation: </w:t>
      </w:r>
      <w:r w:rsidRPr="00B860EA">
        <w:rPr>
          <w:u w:val="single"/>
        </w:rPr>
        <w:t>[H]er family were all documented citizens</w:t>
      </w:r>
      <w:r w:rsidRPr="00B860EA">
        <w:rPr>
          <w:sz w:val="12"/>
        </w:rPr>
        <w:t xml:space="preserve"> and working in one of the suburbs. </w:t>
      </w:r>
      <w:r w:rsidRPr="00B860EA">
        <w:rPr>
          <w:u w:val="single"/>
        </w:rPr>
        <w:t>And she was so afraid of... getting her family in trouble, or getting herself in jeopardy that she didn't show up in the emergency room for 30 days after having scalded herself, and by then she was so infected that she was not able to survive</w:t>
      </w:r>
      <w:r w:rsidRPr="00B860EA">
        <w:rPr>
          <w:sz w:val="12"/>
        </w:rPr>
        <w:t>. She died</w:t>
      </w:r>
      <w:proofErr w:type="gramStart"/>
      <w:r w:rsidRPr="00B860EA">
        <w:rPr>
          <w:sz w:val="12"/>
        </w:rPr>
        <w:t>.(</w:t>
      </w:r>
      <w:proofErr w:type="gramEnd"/>
      <w:r w:rsidRPr="00B860EA">
        <w:rPr>
          <w:sz w:val="12"/>
        </w:rPr>
        <w:t>FN44) C. PORT OF ENTRY DETECTION PROGRAMS In California</w:t>
      </w:r>
      <w:r w:rsidRPr="00B860EA">
        <w:rPr>
          <w:u w:val="single"/>
        </w:rPr>
        <w:t>, the sharing of information between Medi-Cal and the INS around issues of public charge became institutionalized through the Port of Entry Fraud Detection programs.</w:t>
      </w:r>
      <w:r w:rsidRPr="00B860EA">
        <w:rPr>
          <w:sz w:val="12"/>
        </w:rPr>
        <w:t xml:space="preserve"> There were two such programs: the first was the Port of Entry Detection (PED) at the border of Mexico, and the second one expanded this program to include the Los Angeles International Airport and the San Francisco International Airport. This later program was called the California Airport Residency Program (CARR). The first Port of Entry Detection Program started in 1994. </w:t>
      </w:r>
      <w:r w:rsidRPr="00B860EA">
        <w:rPr>
          <w:u w:val="single"/>
        </w:rPr>
        <w:t>Under this program, INS officials shared information with DHS staff regarding non-citizen entrants they suspected might have illegally received Medi-Cal benefits.</w:t>
      </w:r>
      <w:r w:rsidRPr="00B860EA">
        <w:rPr>
          <w:sz w:val="12"/>
        </w:rPr>
        <w:t xml:space="preserve"> DHS staff used the INS assistance to identify potential cases of Medi-Cal fraud, especially with regard to California residency. The second program, the California Airport Residency Program began at the Los Angeles International Airport in 1994 and expanded to the San Francisco International Airport in 1996. Under this program, nonresidents returning to the country through the Los Angeles and San Francisco Airports were asked about their use of Medi-Cal</w:t>
      </w:r>
      <w:proofErr w:type="gramStart"/>
      <w:r w:rsidRPr="00B860EA">
        <w:rPr>
          <w:sz w:val="12"/>
        </w:rPr>
        <w:t>.(</w:t>
      </w:r>
      <w:proofErr w:type="gramEnd"/>
      <w:r w:rsidRPr="00B860EA">
        <w:rPr>
          <w:sz w:val="12"/>
        </w:rPr>
        <w:t xml:space="preserve">FN45) In many instances, </w:t>
      </w:r>
      <w:r w:rsidRPr="00B860EA">
        <w:rPr>
          <w:u w:val="single"/>
        </w:rPr>
        <w:t>immigrants who had received coverage legally in the past five years were required to repay the benefits before reentering the country. These demands for repayment were illegal, and</w:t>
      </w:r>
      <w:r w:rsidRPr="00B860EA">
        <w:rPr>
          <w:sz w:val="12"/>
        </w:rPr>
        <w:t xml:space="preserve"> in response to lawsuits and advocate pressures</w:t>
      </w:r>
      <w:r w:rsidRPr="00B860EA">
        <w:rPr>
          <w:u w:val="single"/>
        </w:rPr>
        <w:t>, a court injunction stopped this practice</w:t>
      </w:r>
      <w:proofErr w:type="gramStart"/>
      <w:r w:rsidRPr="00B860EA">
        <w:rPr>
          <w:sz w:val="12"/>
        </w:rPr>
        <w:t>.(</w:t>
      </w:r>
      <w:proofErr w:type="gramEnd"/>
      <w:r w:rsidRPr="00B860EA">
        <w:rPr>
          <w:sz w:val="12"/>
        </w:rPr>
        <w:t>FN46) However</w:t>
      </w:r>
      <w:r w:rsidRPr="00B860EA">
        <w:rPr>
          <w:u w:val="single"/>
        </w:rPr>
        <w:t xml:space="preserve">, despite the injunction </w:t>
      </w:r>
      <w:r w:rsidRPr="00B860EA">
        <w:rPr>
          <w:sz w:val="12"/>
        </w:rPr>
        <w:t xml:space="preserve">against forced repayments, </w:t>
      </w:r>
      <w:r w:rsidRPr="00B860EA">
        <w:rPr>
          <w:u w:val="single"/>
        </w:rPr>
        <w:t>the inspection process continued under stricter legal guidelines. DHS officials, unable to legally demand repayment for benefits consequently informed immigrants that they may "wish" to pay back claims paid by Medi-Cal for past health services</w:t>
      </w:r>
      <w:r w:rsidRPr="00B860EA">
        <w:rPr>
          <w:sz w:val="12"/>
        </w:rPr>
        <w:t>. During an interview, an official of the DHS office of Audits and Investigations explained that INS initially contacted DHS regarding beneficiary fraud by individuals entering the United States. DHS then created a pilot program in the San Diego Port. The INS officials first identified potential fraudulent beneficiaries and referred them to DHS for further investigation. In a separate office, DHS officials asked for proof of California residency and determined if the individuals had or were receiving AFDC or Medi-Cal. If they suspected residency fraud, then they referred them back to the INS with information about the results of their initial review and wrote a "notice of action" to the DHS field office to determine residency status and money owed for medical care or AFDC. This additional measure of referral to the field office was a procedural change from the past when DHS used to determine fraud solely on the initial meeting at the airport or port of entry. More recently, DHS referred cases to their field offices for independent review. At this point, DHS and the MS conducted separate investigations. The DHS official explained that most of the people detained at these points of entry were not undocumented immigrants. They had a temporary border pass, a U.S. tourist visa, or a U.S. temporary visa. One possible outcome of the DHS referral was the collection of repayments of potentially fraudulent claims paid by Medi-Cal in the past. Most of the cases were referred back to the INS with the understanding that no fraud was suspected. However</w:t>
      </w:r>
      <w:r w:rsidRPr="00B860EA">
        <w:rPr>
          <w:u w:val="single"/>
        </w:rPr>
        <w:t>, in some cases, immigrants were denied re-entry into the United States</w:t>
      </w:r>
      <w:r w:rsidRPr="00B860EA">
        <w:rPr>
          <w:sz w:val="12"/>
        </w:rPr>
        <w:t xml:space="preserve">. A hotline was created for complaints of inappropriate treatment within the DHS investigation process. This was in response to past problems with DHS officials demonstrating a lack of respect toward immigrants in this program. The DHS official we interviewed acknowledged this problem and stated that these issues had been resolved. In April 1999, the state Health and Human Services Agency terminated the two programs. A few days later, both the state assembly and senate budget subcommittees defunded the programs. These actions followed a particularly negative review of the programs by the Bureau of State Audits, declaring both Port of Entry Medi-Cal fraud detection programs "unjustified."(FN47) The audit cited operational and administrative deficiencies and found that the department was no longer recovering enough fraudulent Medi-Cal payments to justify its investment in these programs. In part, this was due to a class action challenging the California Department of Health Services' practice of colluding with the INS to demand repayment of Medicaid benefits received.(FN48) The settlement required the state DHS to return at least $3 million to immigrants who were improperly ordered to return Medi-Cal benefits at the port of entry fraud detection programs.(FN49) State auditors documented intimidation by way of threatened imprisonment or reduced chances for citizenship, and by demands for repayments higher than the actual cost of the Medi-Cal benefits received. About 1,500 families were eligible for refunds under this settlement. DHS contends that these programs were a separate issue from public charge, since they were concerned with benefit fraud and not whether an immigrant is or will become dependent on public benefits. However, public charge is a concern for the INS. It appears that, in effect, immigrants were screened for both issues of benefit fraud and public charge by two different governmental agencies within the same program. For immigrants in general, the differences between the two are subtle, if not insignificant. For them, the message is clear: using Medi-Cal is dangerous. According to the Auditor's report, </w:t>
      </w:r>
      <w:r w:rsidRPr="00B860EA">
        <w:rPr>
          <w:u w:val="single"/>
        </w:rPr>
        <w:t>using Medi-Cal was especially dangerous for immigrant women</w:t>
      </w:r>
      <w:r w:rsidRPr="00B860EA">
        <w:rPr>
          <w:sz w:val="12"/>
        </w:rPr>
        <w:t xml:space="preserve">. After reviewing 440 case files, the audit team found that </w:t>
      </w:r>
      <w:r w:rsidRPr="00B860EA">
        <w:rPr>
          <w:u w:val="single"/>
        </w:rPr>
        <w:t xml:space="preserve">ninety-seven percent of all the individuals investigated by the Port of Entry Programs were women. </w:t>
      </w:r>
      <w:r w:rsidRPr="00B860EA">
        <w:rPr>
          <w:sz w:val="12"/>
        </w:rPr>
        <w:t xml:space="preserve">Eighty-six percent were between twenty-one and forty years old, </w:t>
      </w:r>
      <w:r w:rsidRPr="00B860EA">
        <w:rPr>
          <w:u w:val="single"/>
        </w:rPr>
        <w:t>and eighty-nine percent of cases involved families with children.</w:t>
      </w:r>
      <w:r w:rsidRPr="00B860EA">
        <w:rPr>
          <w:sz w:val="12"/>
        </w:rPr>
        <w:t xml:space="preserve"> The report went on to add: The profiles of people investigated by the PED and CARR programs contrasted sharply with the general profile of people eligible for Medi-Cal benefits. For example, just under 20 percent of people eligible for Medi-Cal in July 1998 were between the ages of 21 and 40, yet this age group represented over 80 percent of the individuals investigated by both programs. In addition, women accounted for 50 percent of the people eligible for Medi-Cal benefits but comprised over 97 percent of the PED and CARR program investigations. Finally, in 1997, nonimmigrants and undocumented aliens living in California represented just 7 percent of the eligible Medi-Cal population. However, they accounted for at least 80 percent of the investigations for the programs</w:t>
      </w:r>
      <w:proofErr w:type="gramStart"/>
      <w:r w:rsidRPr="00B860EA">
        <w:rPr>
          <w:sz w:val="12"/>
        </w:rPr>
        <w:t>.(</w:t>
      </w:r>
      <w:proofErr w:type="gramEnd"/>
      <w:r w:rsidRPr="00B860EA">
        <w:rPr>
          <w:sz w:val="12"/>
        </w:rPr>
        <w:t xml:space="preserve">FN50) A key informant, a Bay Area community clinic director, had an opportunity to visit the California Airport Residency site in San Francisco in November 1997. She became concerned about the program after half a dozen of her clients reported having problems trying to re-enter the country. The director was able to set up a meeting with DHS and INS officials to find out how the program operated (it was not stated whether she spoke to the DHS and the INS together or separately). </w:t>
      </w:r>
      <w:r w:rsidRPr="00B860EA">
        <w:rPr>
          <w:u w:val="single"/>
        </w:rPr>
        <w:t>When asked how they chose particular people to interview, she learned that flights from Asian and Latin America, principally Mexico, and women of childbearing age were targeted</w:t>
      </w:r>
      <w:r w:rsidRPr="00B860EA">
        <w:rPr>
          <w:sz w:val="12"/>
        </w:rPr>
        <w:t>. She described the extra screening conducted near the customs checkpoint: They are looking at women of Asian and Latino origin, not who looked pregnant, but if they had little children with them or they were somewhere between the ages of 20 and 45, then (they were) asked a series of light interview questions. And in those light interview questions, [if] either determined that they had children within a certain period, then they would ask, who paid for it? What kind of insurance did you have? Who was your health care provider? And if someone ended up showing their Medi-Cal card, then they were totally in the next realm of interview</w:t>
      </w:r>
      <w:proofErr w:type="gramStart"/>
      <w:r w:rsidRPr="00B860EA">
        <w:rPr>
          <w:sz w:val="12"/>
        </w:rPr>
        <w:t>.(</w:t>
      </w:r>
      <w:proofErr w:type="gramEnd"/>
      <w:r w:rsidRPr="00B860EA">
        <w:rPr>
          <w:sz w:val="12"/>
        </w:rPr>
        <w:t>FN51) According to the clinic director</w:t>
      </w:r>
      <w:r w:rsidRPr="00B860EA">
        <w:rPr>
          <w:u w:val="single"/>
        </w:rPr>
        <w:t>, the process of determination appeared "purely arbitrary</w:t>
      </w:r>
      <w:r w:rsidRPr="00B860EA">
        <w:rPr>
          <w:sz w:val="12"/>
        </w:rPr>
        <w:t xml:space="preserve">." She went on to explain the complicated interplay between the federal TNS official and the state DHS representative. The exchanges played on the fact that there were parallel but conflicting agendas, laws, and interpretations of regulations. With the DHS official sitting quietly beside him, the INS agent would question the woman until she described applying for Medi-Cal after being advised at the county office of her eligibility. </w:t>
      </w:r>
      <w:r w:rsidRPr="00B860EA">
        <w:rPr>
          <w:u w:val="single"/>
        </w:rPr>
        <w:t>At that point, the INS agent would raise questions as to whether she was truly eligible and advise her to consider paying back the benefits to avoid being sent to court for an eligibility determination, or the even more severe penalty of being deported and permanently denied future entry. After instilling these doubts and fears, the woman was advised of the costs of the services she received and provided the opportunity to repay DHS.</w:t>
      </w:r>
      <w:r w:rsidRPr="00B860EA">
        <w:rPr>
          <w:sz w:val="12"/>
        </w:rPr>
        <w:t xml:space="preserve"> As a result of these intimidating practices, there were lines of immigrants at the airport waiting to pay back the health benefits they used through Medi-Cal. According to our interviewers, both the Port of Entry Detection and Airport Residency Programs have had a profound effect on immigrants throughout the state of California. The fact that documented immigrants who legitimately used health services could be asked to repay their Medicaid expenses, denied re-entry, and even deported by a seemingly arbitrary public charge determination were frightening propositions for all immigrants. </w:t>
      </w:r>
    </w:p>
    <w:p w:rsidR="006F6EF3" w:rsidRPr="006F6EF3" w:rsidRDefault="006F6EF3" w:rsidP="006F6EF3"/>
    <w:p w:rsidR="00721D38" w:rsidRPr="00F933AF" w:rsidRDefault="00721D38" w:rsidP="00721D38">
      <w:pPr>
        <w:rPr>
          <w:rFonts w:cs="Calibri"/>
          <w:sz w:val="16"/>
        </w:rPr>
      </w:pPr>
    </w:p>
    <w:p w:rsidR="00F933AF" w:rsidRPr="00F933AF" w:rsidRDefault="00F933AF" w:rsidP="00F933AF">
      <w:pPr>
        <w:pStyle w:val="Heading2"/>
        <w:rPr>
          <w:rFonts w:cs="Calibri"/>
        </w:rPr>
      </w:pPr>
      <w:r w:rsidRPr="00F933AF">
        <w:rPr>
          <w:rFonts w:cs="Calibri"/>
        </w:rPr>
        <w:t>AT: Agamben</w:t>
      </w:r>
    </w:p>
    <w:p w:rsidR="00721D38" w:rsidRPr="00F933AF" w:rsidRDefault="00721D38" w:rsidP="00721D38">
      <w:pPr>
        <w:pStyle w:val="Heading3"/>
        <w:rPr>
          <w:rStyle w:val="StyleUnderline"/>
          <w:rFonts w:cs="Calibri"/>
          <w:sz w:val="32"/>
        </w:rPr>
      </w:pPr>
      <w:r w:rsidRPr="00F933AF">
        <w:rPr>
          <w:rFonts w:cs="Calibri"/>
        </w:rPr>
        <w:t xml:space="preserve">Link Turn </w:t>
      </w:r>
    </w:p>
    <w:p w:rsidR="00721D38" w:rsidRPr="00F933AF" w:rsidRDefault="00721D38" w:rsidP="00721D38">
      <w:pPr>
        <w:pStyle w:val="Heading4"/>
        <w:rPr>
          <w:rFonts w:cs="Calibri"/>
        </w:rPr>
      </w:pPr>
      <w:r w:rsidRPr="00F933AF">
        <w:rPr>
          <w:rFonts w:cs="Calibri"/>
        </w:rPr>
        <w:t>Challenging ableism coincides with Agamben</w:t>
      </w:r>
    </w:p>
    <w:p w:rsidR="00721D38" w:rsidRPr="00F933AF" w:rsidRDefault="00721D38" w:rsidP="00721D38">
      <w:pPr>
        <w:rPr>
          <w:rFonts w:cs="Calibri"/>
        </w:rPr>
      </w:pPr>
      <w:r w:rsidRPr="00F933AF">
        <w:rPr>
          <w:rStyle w:val="Style13ptBold"/>
          <w:rFonts w:cs="Calibri"/>
        </w:rPr>
        <w:t>Campbell 9</w:t>
      </w:r>
      <w:r w:rsidRPr="00F933AF">
        <w:rPr>
          <w:rFonts w:cs="Calibri"/>
        </w:rPr>
        <w:t xml:space="preserve"> (Fiona Kumari Campbell, Senior Lecturer In the School of Education and Social Work at the University of Dundee (Scotland), Adjunct Professor in Disability Studies with the Faculty of Medicine at the University of Kelaniya (Sri Lanka), PhD in Sociology, Humanities, and Law from </w:t>
      </w:r>
      <w:hyperlink r:id="rId242" w:tooltip="Queensland University of Technology" w:history="1">
        <w:r w:rsidRPr="00F933AF">
          <w:rPr>
            <w:rStyle w:val="Hyperlink"/>
            <w:rFonts w:cs="Calibri"/>
          </w:rPr>
          <w:t>Queensland University of Technology</w:t>
        </w:r>
      </w:hyperlink>
      <w:r w:rsidRPr="00F933AF">
        <w:rPr>
          <w:rFonts w:cs="Calibri"/>
        </w:rPr>
        <w:t xml:space="preserve"> (Australia), Certificate in Higher Research Degree Supervision in 2005 from </w:t>
      </w:r>
      <w:hyperlink r:id="rId243" w:history="1">
        <w:r w:rsidRPr="00F933AF">
          <w:rPr>
            <w:rStyle w:val="Hyperlink"/>
            <w:rFonts w:cs="Calibri"/>
          </w:rPr>
          <w:t>Griffith University</w:t>
        </w:r>
      </w:hyperlink>
      <w:r w:rsidRPr="00F933AF">
        <w:rPr>
          <w:rFonts w:cs="Calibri"/>
        </w:rPr>
        <w:t xml:space="preserve"> (Australia), author of #Ableism: An Interdisciplinary Introduction to Studies in Ableism and Textures of Ableism: Essays on Ablement, Silence and Voice, contributor to the International Advisory Board of the Socio-Legal Review, Journal of Literary and Cultural Disability Studies (England), Ethnographica: Journal of Disability and Culture (Belgium), the International Review of Disability Studies, and Associate Editor, Journal of Social Inclusion (Australia), the Scientific Board of the Italian Journal of Disability Studies (Italy), 2009, “Contours of Ableism: The Production of Disability and Abledness”, Palgrave MacMillan, https://www.freelists.org/archives/sig-dsu/08-2013/pdfyWdtytodrO.pdf)/CWB</w:t>
      </w:r>
    </w:p>
    <w:p w:rsidR="00721D38" w:rsidRPr="00F933AF" w:rsidRDefault="00721D38" w:rsidP="00721D38">
      <w:pPr>
        <w:rPr>
          <w:rFonts w:cs="Calibri"/>
          <w:sz w:val="16"/>
          <w:szCs w:val="16"/>
        </w:rPr>
      </w:pPr>
      <w:r w:rsidRPr="00F933AF">
        <w:rPr>
          <w:rFonts w:cs="Calibri"/>
          <w:sz w:val="16"/>
        </w:rPr>
        <w:t xml:space="preserve">Contemporary conditions suggest that it is not the event of denial that is operational; rather it is the ‘place’ or significance given to such ambiguous entities that disrupt the rather neat demarcation zones. </w:t>
      </w:r>
      <w:r w:rsidRPr="00F933AF">
        <w:rPr>
          <w:rStyle w:val="StyleUnderline"/>
          <w:rFonts w:cs="Calibri"/>
        </w:rPr>
        <w:t>Practices of purification continue to rein in (successfully or otherwise) the chaos created by increasing ‘grey zones’ along the continuum of human/non-human difference.</w:t>
      </w:r>
      <w:r w:rsidRPr="00F933AF">
        <w:rPr>
          <w:rFonts w:cs="Calibri"/>
          <w:sz w:val="16"/>
        </w:rPr>
        <w:t xml:space="preserve"> In the governing of prostitution, Razack (1998) points to the creation of an ‘anomalous zone’ to contain and tolerate the deviance. </w:t>
      </w:r>
      <w:r w:rsidRPr="00F933AF">
        <w:rPr>
          <w:rStyle w:val="StyleUnderline"/>
          <w:rFonts w:cs="Calibri"/>
        </w:rPr>
        <w:t xml:space="preserve">In dealing with political prisoners, the despised, those interned in concentration camps and institutions, Agamben </w:t>
      </w:r>
      <w:r w:rsidRPr="00F933AF">
        <w:rPr>
          <w:rFonts w:cs="Calibri"/>
          <w:sz w:val="16"/>
        </w:rPr>
        <w:t xml:space="preserve">(1998, 2005) </w:t>
      </w:r>
      <w:r w:rsidRPr="00F933AF">
        <w:rPr>
          <w:rStyle w:val="StyleUnderline"/>
          <w:rFonts w:cs="Calibri"/>
        </w:rPr>
        <w:t>indicates the manufacturing of states of exception that exist beyond the law and spatiality to enable ‘treatments’ of those existing in the realm of a bare life. The significance of the enforcement of a constitutional divide, for the practices of ableism, is that such orderings are not just repressive but they are ultimately productive; they tell us stories, they contain narratives as to ‘whom’ we are and how we ‘should be’.</w:t>
      </w:r>
      <w:r w:rsidRPr="00F933AF">
        <w:rPr>
          <w:rFonts w:cs="Calibri"/>
          <w:sz w:val="16"/>
        </w:rPr>
        <w:t xml:space="preserve"> In the closing pages of We Have Never been Modern (1993), Latour argues that as </w:t>
      </w:r>
      <w:r w:rsidRPr="00F933AF">
        <w:rPr>
          <w:rStyle w:val="StyleUnderline"/>
          <w:rFonts w:cs="Calibri"/>
        </w:rPr>
        <w:t>science creates new definitions of being human</w:t>
      </w:r>
      <w:r w:rsidRPr="00F933AF">
        <w:rPr>
          <w:rFonts w:cs="Calibri"/>
          <w:sz w:val="16"/>
        </w:rPr>
        <w:t xml:space="preserve">, these new formations do not displace the older versions rather humanism is redistributed. </w:t>
      </w:r>
      <w:r w:rsidRPr="00F933AF">
        <w:rPr>
          <w:rStyle w:val="StyleUnderline"/>
          <w:rFonts w:cs="Calibri"/>
        </w:rPr>
        <w:t>I am not entirely convinced of this emergent multiplicity and expansion of ontologies of humanness</w:t>
      </w:r>
      <w:r w:rsidRPr="00F933AF">
        <w:rPr>
          <w:rFonts w:cs="Calibri"/>
          <w:sz w:val="16"/>
        </w:rPr>
        <w:t xml:space="preserve">. Contra Latour, </w:t>
      </w:r>
      <w:r w:rsidRPr="00F933AF">
        <w:rPr>
          <w:rStyle w:val="StyleUnderline"/>
          <w:rFonts w:cs="Calibri"/>
        </w:rPr>
        <w:t>Hayles</w:t>
      </w:r>
      <w:r w:rsidRPr="00F933AF">
        <w:rPr>
          <w:rFonts w:cs="Calibri"/>
          <w:sz w:val="16"/>
        </w:rPr>
        <w:t xml:space="preserve"> (1999) </w:t>
      </w:r>
      <w:r w:rsidRPr="00F933AF">
        <w:rPr>
          <w:rStyle w:val="StyleUnderline"/>
          <w:rFonts w:cs="Calibri"/>
        </w:rPr>
        <w:t>argues that should sentiency be conceptualised on the basis of informationalcy, this new rendering would amount to a profound shift in the theoretical markers used to categorise all life</w:t>
      </w:r>
      <w:r w:rsidRPr="00F933AF">
        <w:rPr>
          <w:rFonts w:cs="Calibri"/>
          <w:sz w:val="16"/>
        </w:rPr>
        <w:t xml:space="preserve"> (or what is ‘life’). </w:t>
      </w:r>
      <w:r w:rsidRPr="00F933AF">
        <w:rPr>
          <w:rStyle w:val="StyleUnderline"/>
          <w:rFonts w:cs="Calibri"/>
        </w:rPr>
        <w:t>In this moment there is a rallying of networks scurrying to squeeze new ontological formations of dis/ability into ‘old’ systems of ordering and thus attempt to avoid re-cognising an abundance of (post-marginal, post-peripheral) morphisms. Anthropomorphism becomes the catch cry of ableism.</w:t>
      </w:r>
      <w:r w:rsidRPr="00F933AF">
        <w:rPr>
          <w:rFonts w:cs="Calibri"/>
          <w:sz w:val="16"/>
        </w:rPr>
        <w:t xml:space="preserve"> </w:t>
      </w:r>
      <w:r w:rsidRPr="00F933AF">
        <w:rPr>
          <w:rFonts w:cs="Calibri"/>
          <w:sz w:val="16"/>
          <w:szCs w:val="16"/>
        </w:rPr>
        <w:t>In contrast, Amundson and Taira attribute a doctrinal posture to ableism in their suggestion that ‘ableism is a doctrine that falsely treats impairments as inherently and naturally horrible and blames the impairments themselves for the problems experienced by the people who have them’ (2005, p. 54). Whilst there is little argument with this presupposition, what is absent from the definition is any mention of ableism’s function in inaugurating the norm.</w:t>
      </w:r>
    </w:p>
    <w:p w:rsidR="00F933AF" w:rsidRPr="00F933AF" w:rsidRDefault="00F933AF" w:rsidP="00F933AF">
      <w:pPr>
        <w:pStyle w:val="Heading4"/>
        <w:rPr>
          <w:rFonts w:cs="Calibri"/>
        </w:rPr>
      </w:pPr>
      <w:r w:rsidRPr="00F933AF">
        <w:rPr>
          <w:rFonts w:cs="Calibri"/>
        </w:rPr>
        <w:t>The plan allows disabled to act as themselves- this resists subjectification to medical power, directly challenging biopower</w:t>
      </w:r>
    </w:p>
    <w:p w:rsidR="00F933AF" w:rsidRPr="00F933AF" w:rsidRDefault="00F933AF" w:rsidP="00F933AF">
      <w:pPr>
        <w:rPr>
          <w:rFonts w:cs="Calibri"/>
        </w:rPr>
      </w:pPr>
      <w:r w:rsidRPr="00F933AF">
        <w:rPr>
          <w:rStyle w:val="Style13ptBold"/>
          <w:rFonts w:cs="Calibri"/>
        </w:rPr>
        <w:t>Sullivan 5</w:t>
      </w:r>
      <w:r w:rsidRPr="00F933AF">
        <w:rPr>
          <w:rFonts w:cs="Calibri"/>
        </w:rPr>
        <w:t xml:space="preserve"> (Martin Sullivan, professor of disability studies at Massey University, served on the Expert Panel of People with Disabilities for the Health Research Council (2002-05), the National Ethics Advisory Committee (2001-07), New Zealand Guidelines Group (2008-11) and currently the NZDS 2016-26 Advisory Group, Ed. Shelley Tremain, 2005, “Subjected Bodies Paraplegia, Rehabilitation, and the Politics of Movement”, chapter one of “Foucault and the Government of Disability”, Published by University of Michigan Press, Project Muse)/CWB</w:t>
      </w:r>
    </w:p>
    <w:p w:rsidR="00F933AF" w:rsidRPr="00F933AF" w:rsidRDefault="00F933AF" w:rsidP="00F933AF">
      <w:pPr>
        <w:rPr>
          <w:rStyle w:val="StyleUnderline"/>
          <w:rFonts w:cs="Calibri"/>
        </w:rPr>
      </w:pPr>
      <w:r w:rsidRPr="00F933AF">
        <w:rPr>
          <w:rStyle w:val="StyleUnderline"/>
          <w:rFonts w:cs="Calibri"/>
        </w:rPr>
        <w:t>Following paralysis, there is a radical break in how paraplegics experience their bodies, in what they are physically able to do, and in the ways in which their bodies are interpreted socially, assigned meanings, and allocated space in which to do and be. Foucault’s notions of biopower, normalization, and the carceral network can help us to unravel the ways that paraplegics are constituted as subjects following their accidents; i</w:t>
      </w:r>
      <w:r w:rsidRPr="00F933AF">
        <w:rPr>
          <w:rFonts w:cs="Calibri"/>
          <w:sz w:val="16"/>
        </w:rPr>
        <w:t xml:space="preserve">n addition, the approach enables us to consider how, in various ways, </w:t>
      </w:r>
      <w:r w:rsidRPr="00F933AF">
        <w:rPr>
          <w:rStyle w:val="StyleUnderline"/>
          <w:rFonts w:cs="Calibri"/>
        </w:rPr>
        <w:t>they resist this subjectification. By drawing upon Foucault’s analysis of disciplinary institutions</w:t>
      </w:r>
      <w:r w:rsidRPr="00F933AF">
        <w:rPr>
          <w:rFonts w:cs="Calibri"/>
          <w:sz w:val="16"/>
        </w:rPr>
        <w:t xml:space="preserve"> (in particular, the institution of medicine), I show how the </w:t>
      </w:r>
      <w:r w:rsidRPr="00F933AF">
        <w:rPr>
          <w:rStyle w:val="StyleUnderline"/>
          <w:rFonts w:cs="Calibri"/>
        </w:rPr>
        <w:t>medical power</w:t>
      </w:r>
      <w:r w:rsidRPr="00F933AF">
        <w:rPr>
          <w:rFonts w:cs="Calibri"/>
          <w:sz w:val="16"/>
        </w:rPr>
        <w:t xml:space="preserve"> that </w:t>
      </w:r>
      <w:r w:rsidRPr="00F933AF">
        <w:rPr>
          <w:rStyle w:val="StyleUnderline"/>
          <w:rFonts w:cs="Calibri"/>
        </w:rPr>
        <w:t>circulates in a specific facility for the rehabilitation of spinal-cord-injured people is, in the first instance, directed at producing a certain type of body—a governable and, hence, productive body—and a certain type of subject—namely, the paraplegic body-subject.</w:t>
      </w:r>
      <w:r w:rsidRPr="00F933AF">
        <w:rPr>
          <w:rFonts w:cs="Calibri"/>
          <w:sz w:val="16"/>
        </w:rPr>
        <w:t xml:space="preserve"> I outline how this technique is enacted by drawing upon the experiences of ninety paraplegics who were rehabilitated (processed?) at the Otara Spinal Unit (OSU</w:t>
      </w:r>
      <w:proofErr w:type="gramStart"/>
      <w:r w:rsidRPr="00F933AF">
        <w:rPr>
          <w:rFonts w:cs="Calibri"/>
          <w:sz w:val="16"/>
        </w:rPr>
        <w:t>)1</w:t>
      </w:r>
      <w:proofErr w:type="gramEnd"/>
      <w:r w:rsidRPr="00F933AF">
        <w:rPr>
          <w:rFonts w:cs="Calibri"/>
          <w:sz w:val="16"/>
        </w:rPr>
        <w:t xml:space="preserve"> in Aotearoa New Zealand, during its first ten years of operation (1976–86). </w:t>
      </w:r>
      <w:r w:rsidRPr="00F933AF">
        <w:rPr>
          <w:rStyle w:val="StyleUnderline"/>
          <w:rFonts w:cs="Calibri"/>
        </w:rPr>
        <w:t>In particular, I focus on</w:t>
      </w:r>
      <w:r w:rsidRPr="00F933AF">
        <w:rPr>
          <w:rFonts w:cs="Calibri"/>
          <w:sz w:val="16"/>
        </w:rPr>
        <w:t xml:space="preserve"> the admission of recently-injured paraplegics to this rehabilitation hospital, </w:t>
      </w:r>
      <w:r w:rsidRPr="00F933AF">
        <w:rPr>
          <w:rStyle w:val="StyleUnderline"/>
          <w:rFonts w:cs="Calibri"/>
        </w:rPr>
        <w:t>the totalizing aspects of treating</w:t>
      </w:r>
      <w:r w:rsidRPr="00F933AF">
        <w:rPr>
          <w:rFonts w:cs="Calibri"/>
          <w:sz w:val="16"/>
        </w:rPr>
        <w:t xml:space="preserve"> motor </w:t>
      </w:r>
      <w:r w:rsidRPr="00F933AF">
        <w:rPr>
          <w:rStyle w:val="StyleUnderline"/>
          <w:rFonts w:cs="Calibri"/>
        </w:rPr>
        <w:t>impairment, and regimes of bodily maintenance in order to examine ways in which struggles between medical power and subjective resistance were engaged on the battlefield of paraplegic bodies in the context of a specific theater of war: the OSU.</w:t>
      </w:r>
    </w:p>
    <w:p w:rsidR="00F933AF" w:rsidRPr="00F933AF" w:rsidRDefault="00F933AF" w:rsidP="00F933AF">
      <w:pPr>
        <w:rPr>
          <w:rStyle w:val="StyleUnderline"/>
          <w:rFonts w:cs="Calibri"/>
        </w:rPr>
      </w:pPr>
    </w:p>
    <w:p w:rsidR="00F933AF" w:rsidRPr="00F933AF" w:rsidRDefault="00F933AF" w:rsidP="00721D38">
      <w:pPr>
        <w:rPr>
          <w:rFonts w:cs="Calibri"/>
          <w:sz w:val="16"/>
        </w:rPr>
      </w:pPr>
    </w:p>
    <w:p w:rsidR="00721D38" w:rsidRPr="00F933AF" w:rsidRDefault="00F933AF" w:rsidP="00F933AF">
      <w:pPr>
        <w:pStyle w:val="Heading2"/>
        <w:rPr>
          <w:rFonts w:cs="Calibri"/>
        </w:rPr>
      </w:pPr>
      <w:r w:rsidRPr="00F933AF">
        <w:rPr>
          <w:rFonts w:cs="Calibri"/>
        </w:rPr>
        <w:t xml:space="preserve">AT: Humanism </w:t>
      </w:r>
    </w:p>
    <w:p w:rsidR="00721D38" w:rsidRPr="00F933AF" w:rsidRDefault="00183BF2" w:rsidP="00721D38">
      <w:pPr>
        <w:pStyle w:val="Heading3"/>
        <w:rPr>
          <w:rFonts w:cs="Calibri"/>
        </w:rPr>
      </w:pPr>
      <w:r>
        <w:rPr>
          <w:rFonts w:cs="Calibri"/>
        </w:rPr>
        <w:t>Link T</w:t>
      </w:r>
      <w:r w:rsidR="00721D38" w:rsidRPr="00F933AF">
        <w:rPr>
          <w:rFonts w:cs="Calibri"/>
        </w:rPr>
        <w:t xml:space="preserve">urn </w:t>
      </w:r>
    </w:p>
    <w:p w:rsidR="00721D38" w:rsidRPr="00F933AF" w:rsidRDefault="00721D38" w:rsidP="00721D38">
      <w:pPr>
        <w:pStyle w:val="Heading4"/>
        <w:rPr>
          <w:rFonts w:cs="Calibri"/>
        </w:rPr>
      </w:pPr>
      <w:r w:rsidRPr="00F933AF">
        <w:rPr>
          <w:rFonts w:cs="Calibri"/>
        </w:rPr>
        <w:t>Ableism is a key narrative of humanist projection of the ideal citizen- plan ends comparison, differentiation, hierarchization, homogenization and exclusion in public charge policy challenging the hegemonic archetype</w:t>
      </w:r>
    </w:p>
    <w:p w:rsidR="00721D38" w:rsidRPr="00F933AF" w:rsidRDefault="00721D38" w:rsidP="00721D38">
      <w:pPr>
        <w:rPr>
          <w:rFonts w:cs="Calibri"/>
        </w:rPr>
      </w:pPr>
      <w:r w:rsidRPr="00F933AF">
        <w:rPr>
          <w:rStyle w:val="Style13ptBold"/>
          <w:rFonts w:cs="Calibri"/>
        </w:rPr>
        <w:t>Bahra 16</w:t>
      </w:r>
      <w:r w:rsidRPr="00F933AF">
        <w:rPr>
          <w:rFonts w:cs="Calibri"/>
        </w:rPr>
        <w:t xml:space="preserve"> (Ramanpreet Bahra, Master’s in Sociology from Wilfrid Laurier University, Fall 2016, “The Biopolitical Critique of the Notion of Being Human and an Affirmation of Lives”, http://scholars.wlu.ca/soci_mrp/9/?utm_source=scholars.wlu.ca%2Fsoci_mrp%2F9&amp;utm_medium=PDF&amp;utm_campaign=PDFCoverPages)/CWB</w:t>
      </w:r>
    </w:p>
    <w:p w:rsidR="00721D38" w:rsidRPr="00F933AF" w:rsidRDefault="00721D38" w:rsidP="00721D38">
      <w:pPr>
        <w:rPr>
          <w:rFonts w:cs="Calibri"/>
          <w:sz w:val="16"/>
        </w:rPr>
      </w:pPr>
      <w:r w:rsidRPr="00F933AF">
        <w:rPr>
          <w:rStyle w:val="StyleUnderline"/>
          <w:rFonts w:cs="Calibri"/>
        </w:rPr>
        <w:t>Throughout modern history, bodies have been subjugated, divided and terrorized under the auspice of knowledge/power by a master group through subsequent discourses of normativity. Relations of power are exercised over bodies making their subjectivity a constituted effect of discourses and knowledge regimes</w:t>
      </w:r>
      <w:r w:rsidRPr="00F933AF">
        <w:rPr>
          <w:rFonts w:cs="Calibri"/>
          <w:sz w:val="16"/>
        </w:rPr>
        <w:t xml:space="preserve"> (Erevelles 2002: 20). Forms of oppression due to such social discourses and supposed genealogies of truth are experienced quite differently among subaltern members of society, as in many ways they are not only felt on the body, but also embodied and transferred via affective tendencies. What is embodied, is this sense of not being good enough or in liberal humanist dialectics, non-quite human or non-human. </w:t>
      </w:r>
      <w:r w:rsidRPr="00F933AF">
        <w:rPr>
          <w:rStyle w:val="StyleUnderline"/>
          <w:rFonts w:cs="Calibri"/>
        </w:rPr>
        <w:t>The human template is exerted in the narratives and social practices of humanism and ableism, which consequently displace these ‘Othered body, positioning them as the non-human in this exclusionary binary of ableism. As a standardized tool, disabled, racialized and fat bodies are measured against it, ranked and marginalized on the basis of ‘who is human enough.’ In such hierarchies, bodies are ranked in terms of how close they are to the normate body, and subsequently marginalizing their difference by pathologizing it under social practices such as the eugenic movement or inaccessibility to space.</w:t>
      </w:r>
      <w:r w:rsidRPr="00F933AF">
        <w:rPr>
          <w:rFonts w:cs="Calibri"/>
          <w:sz w:val="16"/>
        </w:rPr>
        <w:t xml:space="preserve"> The Human Template and the Undesirable </w:t>
      </w:r>
      <w:proofErr w:type="gramStart"/>
      <w:r w:rsidRPr="00F933AF">
        <w:rPr>
          <w:rFonts w:cs="Calibri"/>
          <w:sz w:val="16"/>
        </w:rPr>
        <w:t>The</w:t>
      </w:r>
      <w:proofErr w:type="gramEnd"/>
      <w:r w:rsidRPr="00F933AF">
        <w:rPr>
          <w:rFonts w:cs="Calibri"/>
          <w:sz w:val="16"/>
        </w:rPr>
        <w:t xml:space="preserve"> politics of difference and its constructed binaries have situated the embodiment and experience of difference among citizens as being quite problematic and an undesirable attribute. In a culture of sameness, difference is compared and contrasted to the social scripts of the human template - a standard all members of strive to achieve (Overboe 2001, 2007a, 2012). The 19th century ideal of the perfect human began with just the rational male European body (Young 1990; Nayar 2014); however, with time the defining attributes of the optimal human continued to advance with the new found knowledge on the body continuing to keep it very exclusive. With this exclusivity and where sameness is celebrated, the human template is conceptualized as the preferred entity in comparison to other ‘less developed’ bodies, such as the racialized in early colonialism. Such theorization of difference through the human template continues to shine in social discourses of modern society as the ‘less developed’ are constructed as the degenerate body (Young 1990). The division of life and its resulting systemic violence and oppression comes from what Iris Young (1990) calls “</w:t>
      </w:r>
      <w:r w:rsidRPr="00F933AF">
        <w:rPr>
          <w:rStyle w:val="StyleUnderline"/>
          <w:rFonts w:cs="Calibri"/>
        </w:rPr>
        <w:t>cultural imperialism</w:t>
      </w:r>
      <w:r w:rsidRPr="00F933AF">
        <w:rPr>
          <w:rFonts w:cs="Calibri"/>
          <w:sz w:val="16"/>
        </w:rPr>
        <w:t>,” which w</w:t>
      </w:r>
      <w:r w:rsidRPr="00F933AF">
        <w:rPr>
          <w:rStyle w:val="StyleUnderline"/>
          <w:rFonts w:cs="Calibri"/>
        </w:rPr>
        <w:t>orks to position groups of people on a continuum with a status of normalcy or abnormalcy attached to their body, rendering them visible or invisible</w:t>
      </w:r>
      <w:r w:rsidRPr="00F933AF">
        <w:rPr>
          <w:rFonts w:cs="Calibri"/>
          <w:sz w:val="16"/>
        </w:rPr>
        <w:t xml:space="preserve"> (Young 1990). Cultural imperialism </w:t>
      </w:r>
      <w:r w:rsidRPr="00F933AF">
        <w:rPr>
          <w:rStyle w:val="StyleUnderline"/>
          <w:rFonts w:cs="Calibri"/>
        </w:rPr>
        <w:t>involves the</w:t>
      </w:r>
      <w:r w:rsidRPr="00F933AF">
        <w:rPr>
          <w:rFonts w:cs="Calibri"/>
          <w:sz w:val="16"/>
        </w:rPr>
        <w:t xml:space="preserve"> stereotyping and </w:t>
      </w:r>
      <w:r w:rsidRPr="00F933AF">
        <w:rPr>
          <w:rStyle w:val="StyleUnderline"/>
          <w:rFonts w:cs="Calibri"/>
        </w:rPr>
        <w:t>marginalization of certain groups of people as the ‘Other’ in order to justify and dominate; as they are considered to be different or deviating from the norm in all ways possible.</w:t>
      </w:r>
      <w:r w:rsidRPr="00F933AF">
        <w:rPr>
          <w:rFonts w:cs="Calibri"/>
          <w:sz w:val="16"/>
        </w:rPr>
        <w:t xml:space="preserve"> The dialogues of cultural imperialism continue to preserve hegemonic ideals, values and experiences as normative and universal; while continuing to oppress the already marginalized through its forms of inequalities (Young 1990: 123). The construction and ‘othering’ of colonized groups is sustained by the hegemonic ideals that underscore the human template. Young (1990) suggests that in this politics of power and difference, bodies become imprisoned in their difference as they do not fit the human template. The human template as mentioned earlier is the white male body, but has been further defined as heterosexual and nondisabled (Overboe 2012; Nayar 2014). </w:t>
      </w:r>
      <w:r w:rsidRPr="00F933AF">
        <w:rPr>
          <w:rStyle w:val="StyleUnderline"/>
          <w:rFonts w:cs="Calibri"/>
        </w:rPr>
        <w:t>These markers of identity have become the hegemonic archetype</w:t>
      </w:r>
      <w:r w:rsidRPr="00F933AF">
        <w:rPr>
          <w:rFonts w:cs="Calibri"/>
          <w:sz w:val="16"/>
        </w:rPr>
        <w:t xml:space="preserve"> of the human that all societal members must aspire to attain, in order </w:t>
      </w:r>
      <w:r w:rsidRPr="00F933AF">
        <w:rPr>
          <w:rStyle w:val="StyleUnderline"/>
          <w:rFonts w:cs="Calibri"/>
        </w:rPr>
        <w:t>to be considered fully human and the ideal citizen</w:t>
      </w:r>
      <w:r w:rsidRPr="00F933AF">
        <w:rPr>
          <w:rFonts w:cs="Calibri"/>
          <w:sz w:val="16"/>
        </w:rPr>
        <w:t xml:space="preserve">. This standardized tool presents two polarities at the extremes of the human template continuum: the human, who is self-reflexive and conscious and the non-human who lacks self-reflexivity (Overboe 2009). The non-human’s lack of that self-reflexivity is “taken for granted as an inferior” and “as a questionable existence,” as society has and continues to follow the human register (Overboe 2009: 241). Anyone who fails to meet the requirements of this humanist concept is inherently considered to be lacking and abnormal following the normal and abnormal binary. As a result, </w:t>
      </w:r>
      <w:r w:rsidRPr="00F933AF">
        <w:rPr>
          <w:rStyle w:val="StyleUnderline"/>
          <w:rFonts w:cs="Calibri"/>
        </w:rPr>
        <w:t>the abnormal non-human becomes an object of the state that is stripped of all human qualities and rights</w:t>
      </w:r>
      <w:r w:rsidRPr="00F933AF">
        <w:rPr>
          <w:rFonts w:cs="Calibri"/>
          <w:sz w:val="16"/>
        </w:rPr>
        <w:t xml:space="preserve">. There has been an emerging notion of equality and diversity in contemporary society; however, the human template still continues to have a powerful role in establishing deviancy and normalcy in all circles of life. In fact, it continues to work in the pipelines of social structures and discourses quite evasively. Humanism is reified in the language, cultural meaning and social behaviour as it is performed unconsciously, allowing cultural imperialist and/or the human template to be subconsciously followed. Young (1990) suggests “our society enacts the oppression of cultural imperialism to a large degree through feelings and reactions” (124), allowing the politics of difference to permeate at all measures even under the illusion of diversity. The normalizing gaze with the help of the human template assesses the body according to a hierarchical standard, in order to define and devalue groups in relation to social norms and ideologies (Young 1990). </w:t>
      </w:r>
      <w:r w:rsidRPr="00F933AF">
        <w:rPr>
          <w:rStyle w:val="StyleUnderline"/>
          <w:rFonts w:cs="Calibri"/>
        </w:rPr>
        <w:t>This very notion of assessing bodies on the basis of humanism is what Foucault calls a “device through which powerful groups and institutions were able to control other individuals and groups” via administrative practices</w:t>
      </w:r>
      <w:r w:rsidRPr="00F933AF">
        <w:rPr>
          <w:rFonts w:cs="Calibri"/>
          <w:sz w:val="16"/>
        </w:rPr>
        <w:t xml:space="preserve"> (Foucault in Nayar 2014: 14). As a result, both individual and collective bodies deemed to be different become prey to this homogenous ideology that suppresses anyone that strays from the dominant paradigm. A mode of </w:t>
      </w:r>
      <w:r w:rsidRPr="00F933AF">
        <w:rPr>
          <w:rStyle w:val="StyleUnderline"/>
          <w:rFonts w:cs="Calibri"/>
        </w:rPr>
        <w:t>judgement and/or recognition is used within</w:t>
      </w:r>
      <w:r w:rsidRPr="00F933AF">
        <w:rPr>
          <w:rFonts w:cs="Calibri"/>
          <w:sz w:val="16"/>
        </w:rPr>
        <w:t xml:space="preserve"> this normalizing society to bring full in effect the binary of the human and non-human. There are five operations that come into effect when working towards normalizing individuals. The following tenets are: </w:t>
      </w:r>
      <w:r w:rsidRPr="00F933AF">
        <w:rPr>
          <w:rStyle w:val="StyleUnderline"/>
          <w:rFonts w:cs="Calibri"/>
        </w:rPr>
        <w:t>comparison, differentiation, hierarchization, homogenization and exclusion (Foucault 1995</w:t>
      </w:r>
      <w:r w:rsidRPr="00F933AF">
        <w:rPr>
          <w:rFonts w:cs="Calibri"/>
          <w:sz w:val="16"/>
        </w:rPr>
        <w:t xml:space="preserve">: 183; Young 1990). These five operators of the normalizing gaze allow a mode of judgement function as it differentiates individuals from one another and opens up a hierarchy in terms of that very difference such as race (ie. whiteness and colourism), gender and ability, and the position of power attached to such bodies (Young 1990; Overboe 2009). Whiteness is taken for granted as it is naturalized in the conceptualization of the acceptable body, as the rational subject is at the highest level of the hierarchy; whereas, the Black body is made to be passive, barbaric, and irrational placing them at the lowest position of the hierarchy (Annamma et al. 2013; Nayar 2014). For instance, Saartjie Sara Baartman, a female racialized body, was paraded around as an abnormal monster because her body illustrated the opposite of what a normative body should look like. Her body was hierarchized on a double bind in the paradox of humanism, as it was not just her female body that was problematized, but also her racially different body resulting in whiteness and the male gaze to be privileged. </w:t>
      </w:r>
      <w:r w:rsidRPr="00F933AF">
        <w:rPr>
          <w:rStyle w:val="StyleUnderline"/>
          <w:rFonts w:cs="Calibri"/>
        </w:rPr>
        <w:t>The classification of qualities is something which the normalizing society helps form</w:t>
      </w:r>
      <w:r w:rsidRPr="00F933AF">
        <w:rPr>
          <w:rFonts w:cs="Calibri"/>
          <w:sz w:val="16"/>
        </w:rPr>
        <w:t>. Within this normalizing society, a humanist gaze enacts this strand of politics that puts difference in a mode of judgment by a privileged group</w:t>
      </w:r>
    </w:p>
    <w:p w:rsidR="00721D38" w:rsidRPr="00F933AF" w:rsidRDefault="00721D38" w:rsidP="00721D38">
      <w:pPr>
        <w:rPr>
          <w:rFonts w:cs="Calibri"/>
        </w:rPr>
      </w:pPr>
    </w:p>
    <w:p w:rsidR="00721D38" w:rsidRPr="00F933AF" w:rsidRDefault="00721D38" w:rsidP="00721D38">
      <w:pPr>
        <w:pStyle w:val="Heading4"/>
        <w:rPr>
          <w:rFonts w:cs="Calibri"/>
        </w:rPr>
      </w:pPr>
      <w:r w:rsidRPr="00F933AF">
        <w:rPr>
          <w:rFonts w:cs="Calibri"/>
        </w:rPr>
        <w:t>Transhumanism exacerbates ableism</w:t>
      </w:r>
    </w:p>
    <w:p w:rsidR="00721D38" w:rsidRPr="00F933AF" w:rsidRDefault="00721D38" w:rsidP="00721D38">
      <w:pPr>
        <w:rPr>
          <w:rFonts w:cs="Calibri"/>
        </w:rPr>
      </w:pPr>
      <w:r w:rsidRPr="00F933AF">
        <w:rPr>
          <w:rStyle w:val="Style13ptBold"/>
          <w:rFonts w:cs="Calibri"/>
        </w:rPr>
        <w:t>Hall 17</w:t>
      </w:r>
      <w:r w:rsidRPr="00F933AF">
        <w:rPr>
          <w:rFonts w:cs="Calibri"/>
        </w:rPr>
        <w:t xml:space="preserve"> (Melinda Hall, Ph.D. in philosophy from Vanderbilt University, assistant professor of philosophy at Stetson University, published in the International Journal of Feminist Approaches to Bioethics, Philosophy Compass, Disability Studies Quarterly, 2017, “The Bioethics of Enhancement,: Transhumanism, Disability and Biopolitics”, Lexington Books, Google Books)/CWB</w:t>
      </w:r>
    </w:p>
    <w:p w:rsidR="00721D38" w:rsidRPr="00F933AF" w:rsidRDefault="00721D38" w:rsidP="00721D38">
      <w:pPr>
        <w:rPr>
          <w:rFonts w:cs="Calibri"/>
          <w:sz w:val="16"/>
        </w:rPr>
      </w:pPr>
      <w:r w:rsidRPr="00F933AF">
        <w:rPr>
          <w:rFonts w:cs="Calibri"/>
          <w:sz w:val="16"/>
        </w:rPr>
        <w:t xml:space="preserve">Disability rights projects and advocacy should tackle the issues covered in this chapter, and transhumanism presents no resources to do so; in fact, </w:t>
      </w:r>
      <w:r w:rsidRPr="00F933AF">
        <w:rPr>
          <w:rStyle w:val="StyleUnderline"/>
          <w:rFonts w:cs="Calibri"/>
        </w:rPr>
        <w:t>trans</w:t>
      </w:r>
      <w:r w:rsidRPr="00F933AF">
        <w:rPr>
          <w:rStyle w:val="StyleUnderline"/>
          <w:rFonts w:cs="Calibri"/>
        </w:rPr>
        <w:softHyphen/>
        <w:t>humanist thinking provides theoretical support for linking disability with risk</w:t>
      </w:r>
      <w:r w:rsidRPr="00F933AF">
        <w:rPr>
          <w:rFonts w:cs="Calibri"/>
          <w:sz w:val="16"/>
        </w:rPr>
        <w:t xml:space="preserve">. My consideration of the </w:t>
      </w:r>
      <w:r w:rsidRPr="00F933AF">
        <w:rPr>
          <w:rStyle w:val="StyleUnderline"/>
          <w:rFonts w:cs="Calibri"/>
        </w:rPr>
        <w:t>transhumanist strategies</w:t>
      </w:r>
      <w:r w:rsidRPr="00F933AF">
        <w:rPr>
          <w:rFonts w:cs="Calibri"/>
          <w:sz w:val="16"/>
        </w:rPr>
        <w:t xml:space="preserve"> of </w:t>
      </w:r>
      <w:r w:rsidRPr="00F933AF">
        <w:rPr>
          <w:rStyle w:val="StyleUnderline"/>
          <w:rFonts w:cs="Calibri"/>
        </w:rPr>
        <w:t>transcending embodiment and selecting embryos</w:t>
      </w:r>
      <w:r w:rsidRPr="00F933AF">
        <w:rPr>
          <w:rFonts w:cs="Calibri"/>
          <w:sz w:val="16"/>
        </w:rPr>
        <w:t xml:space="preserve"> in earlier chapters of this book yields the conclusion that transhumanism does not ameliorate stigmas connected with disability. Instead, transhumanism can </w:t>
      </w:r>
      <w:r w:rsidRPr="00F933AF">
        <w:rPr>
          <w:rStyle w:val="StyleUnderline"/>
          <w:rFonts w:cs="Calibri"/>
        </w:rPr>
        <w:t>exacerbate ableism</w:t>
      </w:r>
      <w:r w:rsidRPr="00F933AF">
        <w:rPr>
          <w:rFonts w:cs="Calibri"/>
          <w:sz w:val="16"/>
        </w:rPr>
        <w:t xml:space="preserve">. Transhumanists strategies aim to </w:t>
      </w:r>
      <w:r w:rsidRPr="00F933AF">
        <w:rPr>
          <w:rStyle w:val="StyleUnderline"/>
          <w:rFonts w:cs="Calibri"/>
        </w:rPr>
        <w:t>create bulwarks against risk—risks associated with embodied vulner</w:t>
      </w:r>
      <w:r w:rsidRPr="00F933AF">
        <w:rPr>
          <w:rStyle w:val="StyleUnderline"/>
          <w:rFonts w:cs="Calibri"/>
        </w:rPr>
        <w:softHyphen/>
        <w:t>ability and genetic deviance.</w:t>
      </w:r>
      <w:r w:rsidRPr="00F933AF">
        <w:rPr>
          <w:rFonts w:cs="Calibri"/>
          <w:sz w:val="16"/>
        </w:rPr>
        <w:t xml:space="preserve"> The portrait of embodiment as risk in </w:t>
      </w:r>
      <w:r w:rsidRPr="00F933AF">
        <w:rPr>
          <w:rStyle w:val="StyleUnderline"/>
          <w:rFonts w:cs="Calibri"/>
        </w:rPr>
        <w:t>transhu</w:t>
      </w:r>
      <w:r w:rsidRPr="00F933AF">
        <w:rPr>
          <w:rStyle w:val="StyleUnderline"/>
          <w:rFonts w:cs="Calibri"/>
        </w:rPr>
        <w:softHyphen/>
        <w:t>manist accounts establish</w:t>
      </w:r>
      <w:r w:rsidRPr="00F933AF">
        <w:rPr>
          <w:rFonts w:cs="Calibri"/>
          <w:sz w:val="16"/>
        </w:rPr>
        <w:t xml:space="preserve">es </w:t>
      </w:r>
      <w:r w:rsidRPr="00F933AF">
        <w:rPr>
          <w:rStyle w:val="StyleUnderline"/>
          <w:rFonts w:cs="Calibri"/>
        </w:rPr>
        <w:t>disability as the symbol of a feared outcome and a stand-in for death. Instead of seeing disability as a complex interrelationship between the body, social structures, and social norms, disability is reduced to a biological fact about the body and reframed as the outcome of technophobia and a too-complacent posture toward death. Transhumanists seek to eliminate or mitigate dependence and vulnerabil</w:t>
      </w:r>
      <w:r w:rsidRPr="00F933AF">
        <w:rPr>
          <w:rStyle w:val="StyleUnderline"/>
          <w:rFonts w:cs="Calibri"/>
        </w:rPr>
        <w:softHyphen/>
        <w:t>ity, while disability rights proponents seek to drain stigmatizing power from these concepts and embrace differences of all kinds. Transhumanists make a universalizing gesture when they categorize all humans as deficient, but this move serves to merely shift, rather than ameliorate, stigma connected to defi</w:t>
      </w:r>
      <w:r w:rsidRPr="00F933AF">
        <w:rPr>
          <w:rStyle w:val="StyleUnderline"/>
          <w:rFonts w:cs="Calibri"/>
        </w:rPr>
        <w:softHyphen/>
        <w:t>ciency—thus maintaining and even strengthening ableism.</w:t>
      </w:r>
      <w:r w:rsidRPr="00F933AF">
        <w:rPr>
          <w:rFonts w:cs="Calibri"/>
          <w:sz w:val="16"/>
        </w:rPr>
        <w:t xml:space="preserve"> Transhumanists enjoy strong institutional influence in </w:t>
      </w:r>
      <w:r w:rsidRPr="00F933AF">
        <w:rPr>
          <w:rStyle w:val="StyleUnderline"/>
          <w:rFonts w:cs="Calibri"/>
        </w:rPr>
        <w:t>bioethics and</w:t>
      </w:r>
      <w:r w:rsidRPr="00F933AF">
        <w:rPr>
          <w:rFonts w:cs="Calibri"/>
          <w:sz w:val="16"/>
        </w:rPr>
        <w:t xml:space="preserve"> have advanced arguments in regard to </w:t>
      </w:r>
      <w:r w:rsidRPr="00F933AF">
        <w:rPr>
          <w:rStyle w:val="StyleUnderline"/>
          <w:rFonts w:cs="Calibri"/>
        </w:rPr>
        <w:t>which particular human traits are required for a life of quality</w:t>
      </w:r>
      <w:r w:rsidRPr="00F933AF">
        <w:rPr>
          <w:rFonts w:cs="Calibri"/>
          <w:sz w:val="16"/>
        </w:rPr>
        <w:t xml:space="preserve">. In effect, they </w:t>
      </w:r>
      <w:r w:rsidRPr="00F933AF">
        <w:rPr>
          <w:rStyle w:val="StyleUnderline"/>
          <w:rFonts w:cs="Calibri"/>
        </w:rPr>
        <w:t>ask the biopolitical question: Who should live?</w:t>
      </w:r>
      <w:r w:rsidRPr="00F933AF">
        <w:rPr>
          <w:rFonts w:cs="Calibri"/>
          <w:sz w:val="16"/>
        </w:rPr>
        <w:t xml:space="preserve"> </w:t>
      </w:r>
      <w:r w:rsidRPr="00F933AF">
        <w:rPr>
          <w:rStyle w:val="StyleUnderline"/>
          <w:rFonts w:cs="Calibri"/>
        </w:rPr>
        <w:t>Ensuing dis</w:t>
      </w:r>
      <w:r w:rsidRPr="00F933AF">
        <w:rPr>
          <w:rStyle w:val="StyleUnderline"/>
          <w:rFonts w:cs="Calibri"/>
        </w:rPr>
        <w:softHyphen/>
        <w:t>cussions affect all people whose lives are taken to be inherently less valuable than the lives of other people, but they especially affect the lives of persons with disabilities. We must fight ableism, in all its forms</w:t>
      </w:r>
      <w:r w:rsidRPr="00F933AF">
        <w:rPr>
          <w:rFonts w:cs="Calibri"/>
          <w:sz w:val="16"/>
        </w:rPr>
        <w:t>—from the genetic counselor’s office to the family home—</w:t>
      </w:r>
      <w:r w:rsidRPr="00F933AF">
        <w:rPr>
          <w:rStyle w:val="StyleUnderline"/>
          <w:rFonts w:cs="Calibri"/>
        </w:rPr>
        <w:t>if we are to fight the violence and neglect to which persons with disabilities are too often subject.</w:t>
      </w:r>
    </w:p>
    <w:p w:rsidR="006F6EF3" w:rsidRDefault="006F6EF3" w:rsidP="00F933AF">
      <w:pPr>
        <w:pStyle w:val="Heading2"/>
        <w:rPr>
          <w:rFonts w:cs="Calibri"/>
        </w:rPr>
      </w:pPr>
      <w:r>
        <w:rPr>
          <w:rFonts w:cs="Calibri"/>
        </w:rPr>
        <w:t>AT: Gender K</w:t>
      </w:r>
    </w:p>
    <w:p w:rsidR="00D1176E" w:rsidRDefault="00D1176E" w:rsidP="00D1176E">
      <w:pPr>
        <w:pStyle w:val="Heading3"/>
      </w:pPr>
      <w:r>
        <w:t xml:space="preserve">Link Turn – Ableism Reps </w:t>
      </w:r>
    </w:p>
    <w:p w:rsidR="00D1176E" w:rsidRDefault="00D1176E" w:rsidP="00D1176E">
      <w:pPr>
        <w:pStyle w:val="Heading4"/>
      </w:pPr>
      <w:r>
        <w:t>Representations of public charge grounds for inadmissibility are securitizing and turn the link</w:t>
      </w:r>
    </w:p>
    <w:p w:rsidR="00D1176E" w:rsidRPr="00573C5E" w:rsidRDefault="00D1176E" w:rsidP="00D1176E">
      <w:r w:rsidRPr="00AD2F25">
        <w:rPr>
          <w:rStyle w:val="Style13ptBold"/>
        </w:rPr>
        <w:t>EL-LAHIB 15</w:t>
      </w:r>
      <w:r>
        <w:t xml:space="preserve"> </w:t>
      </w:r>
      <w:r w:rsidRPr="00AD2F25">
        <w:t>(YAHYA EL-LAHIB, Faculty of Social Work, University of Calgary, Alberta, Canada</w:t>
      </w:r>
      <w:r>
        <w:t>, "</w:t>
      </w:r>
      <w:r w:rsidRPr="00AD2F25">
        <w:t xml:space="preserve"> </w:t>
      </w:r>
      <w:r>
        <w:t>The Inadmissible “Other”: Discourses of Ableism and Colonialism in Canadian Immigration", 7-13-15,</w:t>
      </w:r>
      <w:r w:rsidRPr="00AD2F25">
        <w:t xml:space="preserve"> Journal of Progressive Human Services, https://www-tandfonline-com.proxy.lib.umich.edu/doi/pdf/10.1080/10428232.2015.1063355?needAccess=true)</w:t>
      </w:r>
      <w:r>
        <w:t>//AO</w:t>
      </w:r>
    </w:p>
    <w:p w:rsidR="00D1176E" w:rsidRPr="00573C5E" w:rsidRDefault="00D1176E" w:rsidP="00D1176E">
      <w:pPr>
        <w:rPr>
          <w:sz w:val="8"/>
        </w:rPr>
      </w:pPr>
      <w:r w:rsidRPr="00573C5E">
        <w:rPr>
          <w:sz w:val="8"/>
        </w:rPr>
        <w:t xml:space="preserve">Applying CDA to the selected documents reveals that </w:t>
      </w:r>
      <w:r w:rsidRPr="005741E3">
        <w:rPr>
          <w:u w:val="single"/>
        </w:rPr>
        <w:t>discourses concerning</w:t>
      </w:r>
      <w:r>
        <w:rPr>
          <w:u w:val="single"/>
        </w:rPr>
        <w:t xml:space="preserve"> </w:t>
      </w:r>
      <w:r w:rsidRPr="005741E3">
        <w:rPr>
          <w:u w:val="single"/>
        </w:rPr>
        <w:t>risk and protection are the central lenses that determine the inadmissibility</w:t>
      </w:r>
      <w:r>
        <w:rPr>
          <w:u w:val="single"/>
        </w:rPr>
        <w:t xml:space="preserve"> </w:t>
      </w:r>
      <w:r w:rsidRPr="005741E3">
        <w:rPr>
          <w:u w:val="single"/>
        </w:rPr>
        <w:t>but not the admissibility of immigration applicants. In other words, immigration</w:t>
      </w:r>
      <w:r>
        <w:rPr>
          <w:u w:val="single"/>
        </w:rPr>
        <w:t xml:space="preserve"> </w:t>
      </w:r>
      <w:r w:rsidRPr="005741E3">
        <w:rPr>
          <w:u w:val="single"/>
        </w:rPr>
        <w:t>or permanent-residency applicants are seen as potential risks until</w:t>
      </w:r>
      <w:r>
        <w:rPr>
          <w:u w:val="single"/>
        </w:rPr>
        <w:t xml:space="preserve"> </w:t>
      </w:r>
      <w:r w:rsidRPr="005741E3">
        <w:rPr>
          <w:u w:val="single"/>
        </w:rPr>
        <w:t>they are proven otherwise, and the responsibility of the immigration policies</w:t>
      </w:r>
      <w:r>
        <w:rPr>
          <w:u w:val="single"/>
        </w:rPr>
        <w:t xml:space="preserve"> </w:t>
      </w:r>
      <w:r w:rsidRPr="005741E3">
        <w:rPr>
          <w:u w:val="single"/>
        </w:rPr>
        <w:t>is to protect Canada and Canadians from these potential risks</w:t>
      </w:r>
      <w:r w:rsidRPr="00573C5E">
        <w:rPr>
          <w:sz w:val="8"/>
        </w:rPr>
        <w:t xml:space="preserve">. Specifically, all three documents use discourses of protecting Canadians from health, security, and criminality risks perceived to be imposed by immigration applicants. These discourses could be illustrated through an examination of the language used in these documents; examples of words and phrases that appear consistently throughout the documents are risk; security; surveillance; violence; terrorism; threat; (en)danger; protection; safety of Canadians (e.g., ENF 1, p. 3; ENF 2, p. 5; ENF 3, p. 4); “danger to (the) public” (e.g., ENF 1, p. 5; ENF 2, p. 52; ENF 3, p. 6); “danger to the (national) security of Canada” (ENF 1, p. 8; ENF 2, p. 20); “danger to the public and the security of Canada” (ENF 3, p. 30); “danger to the public health” (ENF 1, p. 5; ENF 2, p. 24). </w:t>
      </w:r>
      <w:r w:rsidRPr="005741E3">
        <w:rPr>
          <w:u w:val="single"/>
        </w:rPr>
        <w:t>The use of such language sets the tone for immigration officers and</w:t>
      </w:r>
      <w:r>
        <w:rPr>
          <w:u w:val="single"/>
        </w:rPr>
        <w:t xml:space="preserve"> </w:t>
      </w:r>
      <w:r w:rsidRPr="005741E3">
        <w:rPr>
          <w:u w:val="single"/>
        </w:rPr>
        <w:t>others reviewing files to see applicants as potential threats rather than as</w:t>
      </w:r>
      <w:r>
        <w:rPr>
          <w:u w:val="single"/>
        </w:rPr>
        <w:t xml:space="preserve"> </w:t>
      </w:r>
      <w:r w:rsidRPr="005741E3">
        <w:rPr>
          <w:u w:val="single"/>
        </w:rPr>
        <w:t xml:space="preserve">potential contributors to the Canadian social fabric. </w:t>
      </w:r>
      <w:r w:rsidRPr="00573C5E">
        <w:rPr>
          <w:sz w:val="8"/>
        </w:rPr>
        <w:t xml:space="preserve">With language such as this, not only are officers guided to seeing applicants as risks, they are discoursed to fulfill a duty and responsibility to protect Canada and Canadians. </w:t>
      </w:r>
      <w:r w:rsidRPr="005741E3">
        <w:rPr>
          <w:u w:val="single"/>
        </w:rPr>
        <w:t>Such language also plays up the discourses of the “Others” as threats</w:t>
      </w:r>
      <w:r w:rsidRPr="00573C5E">
        <w:rPr>
          <w:sz w:val="8"/>
        </w:rPr>
        <w:t xml:space="preserve"> to Canada; I return to this subject later in the discussion. This finding about the emphasis on risk and protection can be further illustrated through an examination not only of the language but also of the objectives of the documents, all of which identify protection from risk as an important guiding element to determine admissibility and inadmissibility. The following are excerpts from the program objectives outlined in documents ENF 1; similar objectives are highlighted in ENF 2 and ENF 3: </w:t>
      </w:r>
      <w:r w:rsidRPr="00573C5E">
        <w:rPr>
          <w:rFonts w:hint="eastAsia"/>
          <w:sz w:val="8"/>
        </w:rPr>
        <w:t>●</w:t>
      </w:r>
      <w:r w:rsidRPr="00573C5E">
        <w:rPr>
          <w:rFonts w:hint="eastAsia"/>
          <w:sz w:val="8"/>
        </w:rPr>
        <w:t xml:space="preserve"> To protect the health and safety of Canadians and to maintain the security </w:t>
      </w:r>
      <w:r w:rsidRPr="00573C5E">
        <w:rPr>
          <w:sz w:val="8"/>
        </w:rPr>
        <w:t xml:space="preserve">of Canadian society </w:t>
      </w:r>
      <w:r w:rsidRPr="00573C5E">
        <w:rPr>
          <w:rFonts w:hint="eastAsia"/>
          <w:sz w:val="8"/>
        </w:rPr>
        <w:t>●</w:t>
      </w:r>
      <w:r w:rsidRPr="00573C5E">
        <w:rPr>
          <w:rFonts w:hint="eastAsia"/>
          <w:sz w:val="8"/>
        </w:rPr>
        <w:t xml:space="preserve"> To promote international justice and security by fostering respect for </w:t>
      </w:r>
      <w:r w:rsidRPr="00573C5E">
        <w:rPr>
          <w:sz w:val="8"/>
        </w:rPr>
        <w:t xml:space="preserve">human rights and by denying access to Canadian territory to persons who are criminals or security risks (ENF 1, p. 3). Another illustration is found in the criteria defining the role of the Minister of Public Safety and Emergency Preparedness in document ENF 2: </w:t>
      </w:r>
      <w:r w:rsidRPr="000866E5">
        <w:rPr>
          <w:u w:val="single"/>
        </w:rPr>
        <w:t>applicants must prove to the Minister that their “presence in Canada would</w:t>
      </w:r>
      <w:r>
        <w:rPr>
          <w:u w:val="single"/>
        </w:rPr>
        <w:t xml:space="preserve"> </w:t>
      </w:r>
      <w:r w:rsidRPr="000866E5">
        <w:rPr>
          <w:u w:val="single"/>
        </w:rPr>
        <w:t>not be detrimental to the national interest”</w:t>
      </w:r>
      <w:r w:rsidRPr="00573C5E">
        <w:rPr>
          <w:sz w:val="8"/>
        </w:rPr>
        <w:t xml:space="preserve"> (p. 7). Unlike these discourses concerning risk and protection, if the documents were to reflect human rights and international justice oriented discourses to immigration (as stated in the above objectives), they would consider protection of all those involved in the immigration process, including applicants with disabilities, and not simply begin with an assumption of risk posed by applicants from whom Canadians need protection. </w:t>
      </w:r>
      <w:r w:rsidRPr="000866E5">
        <w:rPr>
          <w:u w:val="single"/>
        </w:rPr>
        <w:t>The above excerpts allude to the idea that the starting point to process</w:t>
      </w:r>
      <w:r>
        <w:rPr>
          <w:u w:val="single"/>
        </w:rPr>
        <w:t xml:space="preserve"> </w:t>
      </w:r>
      <w:r w:rsidRPr="000866E5">
        <w:rPr>
          <w:u w:val="single"/>
        </w:rPr>
        <w:t>applications is to rule out inadmissibility, and applicants can be admissible</w:t>
      </w:r>
      <w:r>
        <w:rPr>
          <w:u w:val="single"/>
        </w:rPr>
        <w:t xml:space="preserve"> </w:t>
      </w:r>
      <w:r w:rsidRPr="000866E5">
        <w:rPr>
          <w:u w:val="single"/>
        </w:rPr>
        <w:t>only if they manage to provide grounds that support their admissibility</w:t>
      </w:r>
      <w:r>
        <w:rPr>
          <w:u w:val="single"/>
        </w:rPr>
        <w:t xml:space="preserve"> </w:t>
      </w:r>
      <w:r w:rsidRPr="000866E5">
        <w:rPr>
          <w:u w:val="single"/>
        </w:rPr>
        <w:t xml:space="preserve">claims. </w:t>
      </w:r>
      <w:r w:rsidRPr="00573C5E">
        <w:rPr>
          <w:sz w:val="8"/>
        </w:rPr>
        <w:t xml:space="preserve">They are potentially admissible only once they have been through a series of examinations to prove that they do not pose potential criminal, medical, or security threats to Canada as noted in the criteria listed in ENF 2 (p. 4). The heavy emphasis on risk and protection discourses is problematic for several reasons. First, these discourses reinforce and reflect the idea that Canada stands as a unified nation that rallies behind being protected from potential risks and dangers assumed to be posed by immigration applicants (Thobani, 2000). This allows for violations of human rights, ableism, racism, and neocolonial policies and practices to be normalized, accepted, and unchallenged. </w:t>
      </w:r>
      <w:r w:rsidRPr="00085388">
        <w:rPr>
          <w:u w:val="single"/>
        </w:rPr>
        <w:t>These discourses prioritize the protection of Canada and</w:t>
      </w:r>
      <w:r>
        <w:rPr>
          <w:u w:val="single"/>
        </w:rPr>
        <w:t xml:space="preserve"> </w:t>
      </w:r>
      <w:r w:rsidRPr="00085388">
        <w:rPr>
          <w:u w:val="single"/>
        </w:rPr>
        <w:t>Canadians before addressing any other concerns and at the expense of</w:t>
      </w:r>
      <w:r>
        <w:rPr>
          <w:u w:val="single"/>
        </w:rPr>
        <w:t xml:space="preserve"> </w:t>
      </w:r>
      <w:r w:rsidRPr="00085388">
        <w:rPr>
          <w:u w:val="single"/>
        </w:rPr>
        <w:t xml:space="preserve">human-rights protections. </w:t>
      </w:r>
      <w:r w:rsidRPr="00573C5E">
        <w:rPr>
          <w:sz w:val="8"/>
        </w:rPr>
        <w:t xml:space="preserve">There is an implicit idea that Canadian residents or citizens are worthy of being protected. </w:t>
      </w:r>
      <w:r w:rsidRPr="00085388">
        <w:rPr>
          <w:u w:val="single"/>
        </w:rPr>
        <w:t>The question here is not to challenge</w:t>
      </w:r>
      <w:r>
        <w:rPr>
          <w:u w:val="single"/>
        </w:rPr>
        <w:t xml:space="preserve"> </w:t>
      </w:r>
      <w:r w:rsidRPr="00085388">
        <w:rPr>
          <w:u w:val="single"/>
        </w:rPr>
        <w:t>why Canada and Canadians are being protected, but to challenge</w:t>
      </w:r>
      <w:r>
        <w:rPr>
          <w:u w:val="single"/>
        </w:rPr>
        <w:t xml:space="preserve"> </w:t>
      </w:r>
      <w:r w:rsidRPr="00085388">
        <w:rPr>
          <w:u w:val="single"/>
        </w:rPr>
        <w:t>why protection is not being considered as a universal human right and why</w:t>
      </w:r>
      <w:r>
        <w:rPr>
          <w:u w:val="single"/>
        </w:rPr>
        <w:t xml:space="preserve"> </w:t>
      </w:r>
      <w:r w:rsidRPr="00085388">
        <w:rPr>
          <w:u w:val="single"/>
        </w:rPr>
        <w:t>applicants are first considered through an inadmissibility lens.</w:t>
      </w:r>
      <w:r>
        <w:rPr>
          <w:u w:val="single"/>
        </w:rPr>
        <w:t xml:space="preserve"> </w:t>
      </w:r>
      <w:r w:rsidRPr="00573C5E">
        <w:rPr>
          <w:sz w:val="8"/>
        </w:rPr>
        <w:t xml:space="preserve">Second, the overemphasis on risk and protection discourses could serve as a way to discipline resistance attempts to these potentially oppressive policies and practices; attempts to challenge such policies or practices would be delegitimized on the grounds that they could undermine national security and interests due to threats assumed to be posed by potentially inadmissible applicants. Consequently, by being discoursed as potential risks that require every means of protection, immigration applicants may discipline and distance themselves from any category that may hinder or endanger the outcomes of their applications. As Taylor (2004) notes, discourses are used in policies to control the outcomes; in this case, discourses about risk and protection are used to keep “unwanted” immigrants out. However, future research could examine the potential counterdiscourses and resistance strategies used every day by such officers. Reinforcing Ableism </w:t>
      </w:r>
      <w:r w:rsidRPr="00085388">
        <w:rPr>
          <w:u w:val="single"/>
        </w:rPr>
        <w:t>The discourses about risk and protection reflect and reinforce a normative</w:t>
      </w:r>
      <w:r>
        <w:rPr>
          <w:u w:val="single"/>
        </w:rPr>
        <w:t xml:space="preserve"> </w:t>
      </w:r>
      <w:r w:rsidRPr="00085388">
        <w:rPr>
          <w:u w:val="single"/>
        </w:rPr>
        <w:t>standard of health and ability</w:t>
      </w:r>
      <w:r w:rsidRPr="00573C5E">
        <w:rPr>
          <w:sz w:val="8"/>
        </w:rPr>
        <w:t xml:space="preserve">, which immigration applicants must meet to be admissible. This standard is echoed in the following criteria stated in ENF 1 and repeated in ENF 2 (p. 24): </w:t>
      </w:r>
      <w:r w:rsidRPr="00085388">
        <w:rPr>
          <w:u w:val="single"/>
        </w:rPr>
        <w:t>A foreign national is inadmissible on health grounds if their health condition</w:t>
      </w:r>
      <w:r>
        <w:rPr>
          <w:u w:val="single"/>
        </w:rPr>
        <w:t xml:space="preserve"> </w:t>
      </w:r>
      <w:r w:rsidRPr="00573C5E">
        <w:rPr>
          <w:sz w:val="8"/>
        </w:rPr>
        <w:t xml:space="preserve">(a) is likely to be a danger to public health; (b) is likely to be a danger to public safety; or (c) </w:t>
      </w:r>
      <w:r w:rsidRPr="00085388">
        <w:rPr>
          <w:u w:val="single"/>
        </w:rPr>
        <w:t>might reasonably be expected to cause</w:t>
      </w:r>
      <w:r>
        <w:rPr>
          <w:u w:val="single"/>
        </w:rPr>
        <w:t xml:space="preserve"> </w:t>
      </w:r>
      <w:r w:rsidRPr="00085388">
        <w:rPr>
          <w:u w:val="single"/>
        </w:rPr>
        <w:t>excessive demand on health or social services.</w:t>
      </w:r>
      <w:r w:rsidRPr="00573C5E">
        <w:rPr>
          <w:sz w:val="8"/>
        </w:rPr>
        <w:t xml:space="preserve"> (ENF 1, p. 5 &amp; pp. 21–22) As the above excerpt demonstrates, there are universal expectations that stipulate health conditions for admissibility: an admissible applicant does not pose any “danger” to the health and safety of Canadians or does not cause any “excessive demand on health and social services.” Once again, we see the discourses concerning risk and protection reinforced in the above excerpt because the focus of admissibility criteria is centered on the idea of danger and unreasonable demands, which is problematic for two reasons. First, because there is no specification of what constitutes danger, and all health conditions are discussed in a homogeneous way, applicants could potentially be inadmissible based on a broad assumption of what constitutes risk. For example, it could be questioned whether people with infectious diseases are treated in the same way as those with stable health conditions or disabilities such as polio. The documents are vague and do not contain specifications about what constitutes danger to public health and safety. Even if we were to accept that the admissibility criteria are framed on the basis of risk and protection, it would be problematic to assume that all people with health conditions can be treated as a homogeneous group. This type of assumption would lead not only to generalizations about inadmissibility but also to erasures of differences and unique experiences as well as to the potential contributions that applicants with various disabilities or health conditions may provide to Canadian society. Second, the emphasis on danger is problematic because it could be used to reinforce sanism. Based on the construction of people living with mental health histories as being “violent” and “unpredictable” (Poole at al., 2012), they may be automatically deemed inadmissible because they could be assumed to pose an “uncontrollable” (unpredictable) risk to public safety. In other words, the lens of risk as seen in the emphasis on danger can actually become a hidden, yet real, barrier for people with mental health histories when they apply to immigrate to Canada. The vaguely and broadly defined health criteria for admissibility would mean that </w:t>
      </w:r>
      <w:r w:rsidRPr="00085388">
        <w:rPr>
          <w:u w:val="single"/>
        </w:rPr>
        <w:t>if applicants desire to be admissible, they need to meet health standards</w:t>
      </w:r>
      <w:r>
        <w:rPr>
          <w:u w:val="single"/>
        </w:rPr>
        <w:t xml:space="preserve"> </w:t>
      </w:r>
      <w:r w:rsidRPr="00085388">
        <w:rPr>
          <w:u w:val="single"/>
        </w:rPr>
        <w:t>that may be impossible for them to attain due to a medical condition</w:t>
      </w:r>
      <w:r>
        <w:rPr>
          <w:u w:val="single"/>
        </w:rPr>
        <w:t xml:space="preserve"> </w:t>
      </w:r>
      <w:r w:rsidRPr="00085388">
        <w:rPr>
          <w:u w:val="single"/>
        </w:rPr>
        <w:t>or disability. This is problematic because health and medical requirements</w:t>
      </w:r>
      <w:r>
        <w:rPr>
          <w:u w:val="single"/>
        </w:rPr>
        <w:t xml:space="preserve"> </w:t>
      </w:r>
      <w:r w:rsidRPr="00085388">
        <w:rPr>
          <w:u w:val="single"/>
        </w:rPr>
        <w:t>for admissibility could be used as gatekeepers to keep unwanted populations</w:t>
      </w:r>
      <w:r>
        <w:rPr>
          <w:u w:val="single"/>
        </w:rPr>
        <w:t xml:space="preserve"> </w:t>
      </w:r>
      <w:r w:rsidRPr="00085388">
        <w:rPr>
          <w:u w:val="single"/>
        </w:rPr>
        <w:t>(e.g., people with disabilities) out, despite Canada’s commitments to</w:t>
      </w:r>
      <w:r>
        <w:rPr>
          <w:u w:val="single"/>
        </w:rPr>
        <w:t xml:space="preserve"> </w:t>
      </w:r>
      <w:r w:rsidRPr="00085388">
        <w:rPr>
          <w:u w:val="single"/>
        </w:rPr>
        <w:t>human rights and international justice.</w:t>
      </w:r>
      <w:r w:rsidRPr="00573C5E">
        <w:rPr>
          <w:sz w:val="8"/>
        </w:rPr>
        <w:t xml:space="preserve"> In this case, what becomes evident is a conflict between the articulated commitment to human rights and international justice on the one hand and, on the other hand, the also-stated guidelines that reinforce ableism through the use of risk and protection discourses. In fact, Canada’s commitments to human rights and international justice have been stated clearly in the documents, as the following excerpts indicate: </w:t>
      </w:r>
      <w:r w:rsidRPr="00573C5E">
        <w:rPr>
          <w:rFonts w:hint="eastAsia"/>
          <w:sz w:val="8"/>
        </w:rPr>
        <w:t>●</w:t>
      </w:r>
      <w:r w:rsidRPr="00573C5E">
        <w:rPr>
          <w:rFonts w:hint="eastAsia"/>
          <w:sz w:val="8"/>
        </w:rPr>
        <w:t xml:space="preserve"> ...to promote international justice and security by fostering respect for </w:t>
      </w:r>
      <w:r w:rsidRPr="00573C5E">
        <w:rPr>
          <w:sz w:val="8"/>
        </w:rPr>
        <w:t xml:space="preserve">human rights and by denying access to Canadian territory to persons who are criminals or security risks (ENF 1, p. 3). [Also repeated in ENF 3, p. 4] </w:t>
      </w:r>
      <w:r w:rsidRPr="00573C5E">
        <w:rPr>
          <w:rFonts w:hint="eastAsia"/>
          <w:sz w:val="8"/>
        </w:rPr>
        <w:t>●</w:t>
      </w:r>
      <w:r w:rsidRPr="00573C5E">
        <w:rPr>
          <w:rFonts w:hint="eastAsia"/>
          <w:sz w:val="8"/>
        </w:rPr>
        <w:t xml:space="preserve"> ...to ensure that decisions taken under the Immigration and Refugee </w:t>
      </w:r>
      <w:r w:rsidRPr="00573C5E">
        <w:rPr>
          <w:sz w:val="8"/>
        </w:rPr>
        <w:t xml:space="preserve">Protection Act are consistent with the Canadian Charter of Rights and Freedoms (ENF 2, p. 4, italics in original text). </w:t>
      </w:r>
      <w:r w:rsidRPr="00AD2DCB">
        <w:rPr>
          <w:u w:val="single"/>
        </w:rPr>
        <w:t>The contradictions evident in these documents are that human rights</w:t>
      </w:r>
      <w:r>
        <w:rPr>
          <w:u w:val="single"/>
        </w:rPr>
        <w:t xml:space="preserve"> </w:t>
      </w:r>
      <w:r w:rsidRPr="00AD2DCB">
        <w:rPr>
          <w:u w:val="single"/>
        </w:rPr>
        <w:t>really apply only to certain groups (able-bodied applicants with no medical</w:t>
      </w:r>
      <w:r>
        <w:rPr>
          <w:u w:val="single"/>
        </w:rPr>
        <w:t xml:space="preserve"> </w:t>
      </w:r>
      <w:r w:rsidRPr="00AD2DCB">
        <w:rPr>
          <w:u w:val="single"/>
        </w:rPr>
        <w:t>or health conditions)</w:t>
      </w:r>
      <w:r w:rsidRPr="00573C5E">
        <w:rPr>
          <w:sz w:val="8"/>
        </w:rPr>
        <w:t xml:space="preserve">. Like Hanes (2009), I would argue that </w:t>
      </w:r>
      <w:r w:rsidRPr="00AD2DCB">
        <w:rPr>
          <w:u w:val="single"/>
        </w:rPr>
        <w:t>this is</w:t>
      </w:r>
      <w:r>
        <w:rPr>
          <w:u w:val="single"/>
        </w:rPr>
        <w:t xml:space="preserve"> </w:t>
      </w:r>
      <w:r w:rsidRPr="00AD2DCB">
        <w:rPr>
          <w:u w:val="single"/>
        </w:rPr>
        <w:t>ableism and is problematic because it reinforces universal and normative</w:t>
      </w:r>
      <w:r>
        <w:rPr>
          <w:u w:val="single"/>
        </w:rPr>
        <w:t xml:space="preserve"> </w:t>
      </w:r>
      <w:r w:rsidRPr="00AD2DCB">
        <w:rPr>
          <w:u w:val="single"/>
        </w:rPr>
        <w:t>understandings of who is considered to be healthy and, thus, a potentially</w:t>
      </w:r>
      <w:r>
        <w:rPr>
          <w:u w:val="single"/>
        </w:rPr>
        <w:t xml:space="preserve"> </w:t>
      </w:r>
      <w:r w:rsidRPr="00AD2DCB">
        <w:rPr>
          <w:u w:val="single"/>
        </w:rPr>
        <w:t>admissible candidate for immigration.</w:t>
      </w:r>
      <w:r w:rsidRPr="00573C5E">
        <w:rPr>
          <w:sz w:val="8"/>
        </w:rPr>
        <w:t xml:space="preserve"> A real commitment to human rights would assume that the only universality is that of human rights, without any caveats or compartmentalization based on body or health status. The only exceptions to the above criteria are related to family sponsorship applicants or refugee claimants, as stated in the document ENF 1. Specifically, the document states that an exception to medical criteria of inadmissibility applies to an applicant who has been determined to be a member of the family class and to be the spouse, common-law partner or child of a sponsor within the meaning of the regulations; has applied for a permanent resident visa as a Convention refugee or a person in similar circumstances (ENF 1, p. 22) However, recent cases documented in the scholarship show that even though there are exceptions to the health requirement as it applies to family sponsorship, </w:t>
      </w:r>
      <w:r w:rsidRPr="00573C5E">
        <w:rPr>
          <w:u w:val="single"/>
        </w:rPr>
        <w:t>people with disabilities have been ordered to leave Canada</w:t>
      </w:r>
      <w:r>
        <w:rPr>
          <w:u w:val="single"/>
        </w:rPr>
        <w:t xml:space="preserve"> </w:t>
      </w:r>
      <w:r w:rsidRPr="00573C5E">
        <w:rPr>
          <w:u w:val="single"/>
        </w:rPr>
        <w:t>because they are assumed to potentially pose “excessive” demands</w:t>
      </w:r>
      <w:r w:rsidRPr="00573C5E">
        <w:rPr>
          <w:sz w:val="8"/>
        </w:rPr>
        <w:t xml:space="preserve"> (El-Lahib &amp; Wehbi, 2012; Ethno-Racial People with Disabilities Coalition, 2005; Hanes, 2009). This idea reminds us of Thobani’s (2007) critique that racism has been evident in immigration policies through the perpetuation of assumptions that immigrants may be abusing Canadian “generosity.” </w:t>
      </w:r>
      <w:r w:rsidRPr="00573C5E">
        <w:rPr>
          <w:u w:val="single"/>
        </w:rPr>
        <w:t>In addition to standardized and normative ideas about health and ability</w:t>
      </w:r>
      <w:r>
        <w:rPr>
          <w:u w:val="single"/>
        </w:rPr>
        <w:t xml:space="preserve"> </w:t>
      </w:r>
      <w:r w:rsidRPr="00573C5E">
        <w:rPr>
          <w:u w:val="single"/>
        </w:rPr>
        <w:t>as requirements for admissibility, the documents are problematic because</w:t>
      </w:r>
      <w:r>
        <w:rPr>
          <w:u w:val="single"/>
        </w:rPr>
        <w:t xml:space="preserve"> </w:t>
      </w:r>
      <w:r w:rsidRPr="00573C5E">
        <w:rPr>
          <w:u w:val="single"/>
        </w:rPr>
        <w:t>they reinforce dominant discourses concerning dependency and care that</w:t>
      </w:r>
      <w:r>
        <w:rPr>
          <w:u w:val="single"/>
        </w:rPr>
        <w:t xml:space="preserve"> </w:t>
      </w:r>
      <w:r w:rsidRPr="00573C5E">
        <w:rPr>
          <w:u w:val="single"/>
        </w:rPr>
        <w:t>shape and define the marginalizing experiences of people with disabilities.</w:t>
      </w:r>
      <w:r>
        <w:rPr>
          <w:u w:val="single"/>
        </w:rPr>
        <w:t xml:space="preserve"> </w:t>
      </w:r>
      <w:r w:rsidRPr="00573C5E">
        <w:rPr>
          <w:sz w:val="8"/>
        </w:rPr>
        <w:t>Even though people with disabilities are not specifically named in the documents, they are potentially inadmissible if they are assumed to pose excessive demands on the social and health services system (Hanes, 2009). Furthermore, this assumption reflects and reinforces the discourses about dependency and care that shape the ways in which people with disabilities are seen in the policy and in the public spheres (Chapman, 2012; Fine &amp; Glendinning, 2005; Poole et al., 2012). This is clearly evident in the following excerpt from ENF 1 (repeated again in ENF 2, p. 28): Foreign nationals are inadmissible for financial reasons if they are or will be unable or unwilling to support themselves or any other person who is dependent on them and have not satisfied an officer that adequate arrangement for care and support, other than those that involve social assistance, have been made (ENF 1, p. 5).</w:t>
      </w:r>
    </w:p>
    <w:p w:rsidR="00D1176E" w:rsidRPr="005741E3" w:rsidRDefault="00D1176E" w:rsidP="00D1176E"/>
    <w:p w:rsidR="00D1176E" w:rsidRPr="00D1176E" w:rsidRDefault="00D1176E" w:rsidP="00D1176E"/>
    <w:p w:rsidR="006F6EF3" w:rsidRPr="000525CF" w:rsidRDefault="00B059DC" w:rsidP="006F6EF3">
      <w:pPr>
        <w:pStyle w:val="Heading3"/>
        <w:rPr>
          <w:u w:val="none"/>
        </w:rPr>
      </w:pPr>
      <w:r>
        <w:t>Alt Fails</w:t>
      </w:r>
    </w:p>
    <w:p w:rsidR="006F6EF3" w:rsidRDefault="006F6EF3" w:rsidP="006F6EF3">
      <w:pPr>
        <w:pStyle w:val="Heading4"/>
      </w:pPr>
      <w:r w:rsidRPr="000525CF">
        <w:t>The feminization of poverty is colorblind, totalistic, and ignores the role of</w:t>
      </w:r>
      <w:r>
        <w:t xml:space="preserve"> capital in shaping women’s experiences—the alt fails to deconstruct the complex intersection of race, gender, and socioeconomic class </w:t>
      </w:r>
    </w:p>
    <w:p w:rsidR="006F6EF3" w:rsidRPr="00A82680" w:rsidRDefault="006F6EF3" w:rsidP="006F6EF3">
      <w:pPr>
        <w:rPr>
          <w:sz w:val="18"/>
          <w:szCs w:val="18"/>
        </w:rPr>
      </w:pPr>
      <w:r>
        <w:rPr>
          <w:b/>
        </w:rPr>
        <w:t xml:space="preserve">Park 1 </w:t>
      </w:r>
      <w:r w:rsidRPr="001D4EEE">
        <w:rPr>
          <w:sz w:val="18"/>
          <w:szCs w:val="18"/>
        </w:rPr>
        <w:t>(Lisa Sun-Hee Park, Assistant Professor in the Ethnic Studies Department and the Urban Studies and Planning Program at the University of California, Hein Online,</w:t>
      </w:r>
      <w:r>
        <w:rPr>
          <w:sz w:val="18"/>
          <w:szCs w:val="18"/>
        </w:rPr>
        <w:t xml:space="preserve"> EBSCO Host,</w:t>
      </w:r>
      <w:r w:rsidRPr="001D4EEE">
        <w:rPr>
          <w:sz w:val="18"/>
          <w:szCs w:val="18"/>
        </w:rPr>
        <w:t xml:space="preserve"> 2001, “Perpetuation of Poverty Through ‘Public Charge,’”</w:t>
      </w:r>
      <w:r>
        <w:rPr>
          <w:sz w:val="18"/>
          <w:szCs w:val="18"/>
        </w:rPr>
        <w:t xml:space="preserve"> The Feminization of Poverty Model: A Critique,</w:t>
      </w:r>
      <w:r w:rsidRPr="001D4EEE">
        <w:rPr>
          <w:sz w:val="18"/>
          <w:szCs w:val="18"/>
        </w:rPr>
        <w:t xml:space="preserve"> Denver University Law Review)</w:t>
      </w:r>
      <w:r>
        <w:rPr>
          <w:sz w:val="18"/>
          <w:szCs w:val="18"/>
        </w:rPr>
        <w:t>//jy</w:t>
      </w:r>
    </w:p>
    <w:p w:rsidR="006F6EF3" w:rsidRPr="00A82680" w:rsidRDefault="006F6EF3" w:rsidP="006F6EF3">
      <w:pPr>
        <w:rPr>
          <w:sz w:val="12"/>
        </w:rPr>
      </w:pPr>
      <w:r w:rsidRPr="00A82680">
        <w:rPr>
          <w:sz w:val="12"/>
        </w:rPr>
        <w:t xml:space="preserve">THE FEMINIZATION OF POVERTY MODEL: A CRITIQUE </w:t>
      </w:r>
      <w:r w:rsidRPr="00A82680">
        <w:rPr>
          <w:u w:val="single"/>
        </w:rPr>
        <w:t>The issue of public charge highlights</w:t>
      </w:r>
      <w:r w:rsidRPr="00A82680">
        <w:rPr>
          <w:sz w:val="12"/>
        </w:rPr>
        <w:t xml:space="preserve"> a number of criticisms raised by Athena Mutua in response to the relevance of </w:t>
      </w:r>
      <w:r w:rsidRPr="00A82680">
        <w:rPr>
          <w:u w:val="single"/>
        </w:rPr>
        <w:t xml:space="preserve">the feminization of poverty </w:t>
      </w:r>
      <w:r w:rsidRPr="00A82680">
        <w:rPr>
          <w:sz w:val="12"/>
        </w:rPr>
        <w:t>as a descriptive or analytic tool</w:t>
      </w:r>
      <w:proofErr w:type="gramStart"/>
      <w:r w:rsidRPr="00A82680">
        <w:rPr>
          <w:sz w:val="12"/>
        </w:rPr>
        <w:t>.(</w:t>
      </w:r>
      <w:proofErr w:type="gramEnd"/>
      <w:r w:rsidRPr="00A82680">
        <w:rPr>
          <w:sz w:val="12"/>
        </w:rPr>
        <w:t xml:space="preserve">FN14) Its utility is certainly questionable in the case of low-income immigrant women. In line with earlier critiques, </w:t>
      </w:r>
      <w:r w:rsidRPr="00A82680">
        <w:rPr>
          <w:u w:val="single"/>
        </w:rPr>
        <w:t xml:space="preserve">the </w:t>
      </w:r>
      <w:r w:rsidRPr="00A82680">
        <w:rPr>
          <w:b/>
          <w:u w:val="single"/>
        </w:rPr>
        <w:t>feminization of poverty model does not adequately address the various conditions of poverty for immigrant families</w:t>
      </w:r>
      <w:r w:rsidRPr="00A82680">
        <w:rPr>
          <w:u w:val="single"/>
        </w:rPr>
        <w:t>.</w:t>
      </w:r>
      <w:r w:rsidRPr="00A82680">
        <w:rPr>
          <w:sz w:val="12"/>
        </w:rPr>
        <w:t xml:space="preserve"> This section will outline four specific assumptions that contradict the experiences of low-income immigrant women. </w:t>
      </w:r>
      <w:r w:rsidRPr="00A82680">
        <w:rPr>
          <w:u w:val="single"/>
        </w:rPr>
        <w:t>First, the model's assumption that women are "falling into" poverty is incorrect</w:t>
      </w:r>
      <w:r w:rsidRPr="00A82680">
        <w:rPr>
          <w:sz w:val="12"/>
        </w:rPr>
        <w:t xml:space="preserve"> in this case.(FN15) </w:t>
      </w:r>
      <w:r w:rsidRPr="00A82680">
        <w:rPr>
          <w:u w:val="single"/>
        </w:rPr>
        <w:t>Most of these women and their families in this public charge dilemma were already living below the poverty line and have been their entire lives. Instead of asking how they fell into a state of poverty, a more relevant question is: how is their poverty maintained</w:t>
      </w:r>
      <w:r w:rsidRPr="00A82680">
        <w:rPr>
          <w:sz w:val="12"/>
        </w:rPr>
        <w:t xml:space="preserve"> and what are their everyday experiences and strategies in dealing with these barriers to mobility</w:t>
      </w:r>
      <w:r w:rsidRPr="00A82680">
        <w:rPr>
          <w:u w:val="single"/>
        </w:rPr>
        <w:t>? Second, the model minimizes the role of race as a cause of poverty among immigrants. The issue of race is prominent in understanding the experiences of immigrants, and as such, immigration policy is justly viewed through a "racial" lens.</w:t>
      </w:r>
      <w:r w:rsidRPr="00A82680">
        <w:rPr>
          <w:sz w:val="12"/>
        </w:rPr>
        <w:t xml:space="preserve"> This is true historically and contemporarily. For instance, the Chinese Exclusion law of 1882 was a racist immigration policy directed towards Chinese immigrant workers who were viewed as immoral interlopers</w:t>
      </w:r>
      <w:proofErr w:type="gramStart"/>
      <w:r w:rsidRPr="00A82680">
        <w:rPr>
          <w:sz w:val="12"/>
        </w:rPr>
        <w:t>.(</w:t>
      </w:r>
      <w:proofErr w:type="gramEnd"/>
      <w:r w:rsidRPr="00A82680">
        <w:rPr>
          <w:sz w:val="12"/>
        </w:rPr>
        <w:t>FN16) Today, Latinos comprise forty percent of the incoming immigrants and Asians comprise another forty percent.(FN17) This dramatic change in racial composition has stirred the emotions of nationalistic and ethnocentric political forces opposed on principle to a sizable foreign-born population. These sentiments were solidified with the passage of California's Proposition 187</w:t>
      </w:r>
      <w:proofErr w:type="gramStart"/>
      <w:r w:rsidRPr="00A82680">
        <w:rPr>
          <w:sz w:val="12"/>
        </w:rPr>
        <w:t>.(</w:t>
      </w:r>
      <w:proofErr w:type="gramEnd"/>
      <w:r w:rsidRPr="00A82680">
        <w:rPr>
          <w:sz w:val="12"/>
        </w:rPr>
        <w:t xml:space="preserve">FN18) Lynn H. Fujiwara writes: Proposition 187 reflected fears that undocumented immigrants were overutilizing public resources such as health care, education, and economic assistance at the expense of poor working-class "Americans." </w:t>
      </w:r>
      <w:r w:rsidRPr="00A82680">
        <w:rPr>
          <w:u w:val="single"/>
        </w:rPr>
        <w:t>Racial-gendered images of migrant women crossing the border to have their children and receive medical care through state-funded health care services played on working-and middle-class voters' resentments against "nonAmericans" who allegedly received benefits from their tax dollars</w:t>
      </w:r>
      <w:r w:rsidRPr="00A82680">
        <w:rPr>
          <w:sz w:val="12"/>
        </w:rPr>
        <w:t xml:space="preserve">.(FN19) Similar sentiments also apply to the 1996 Welfare and Immigration reforms. Anti-immigration proponents successfully linked immigrants with crime, welfare, and illegality. Fujiwara states, </w:t>
      </w:r>
      <w:proofErr w:type="gramStart"/>
      <w:r w:rsidRPr="00A82680">
        <w:rPr>
          <w:u w:val="single"/>
        </w:rPr>
        <w:t>The</w:t>
      </w:r>
      <w:proofErr w:type="gramEnd"/>
      <w:r w:rsidRPr="00A82680">
        <w:rPr>
          <w:u w:val="single"/>
        </w:rPr>
        <w:t xml:space="preserve"> imagery that drove anti-Latino sentiments traded on stereotypes of Latina fertility. These sentiments gained momentum from claims that Latinos overuse public health services and education and take jobs from "American citizens</w:t>
      </w:r>
      <w:r w:rsidRPr="00A82680">
        <w:rPr>
          <w:sz w:val="12"/>
        </w:rPr>
        <w:t>."(FN20) In looking at the case of low-income immigrant Latinas</w:t>
      </w:r>
      <w:r w:rsidRPr="00A82680">
        <w:rPr>
          <w:u w:val="single"/>
        </w:rPr>
        <w:t>, it is clear that their immigration status contributes to their race, gender, and class experience (and vice versa).</w:t>
      </w:r>
      <w:r w:rsidRPr="00A82680">
        <w:rPr>
          <w:sz w:val="12"/>
        </w:rPr>
        <w:t xml:space="preserve"> To highlight simply their gendered status misinforms the context of their experiences. </w:t>
      </w:r>
      <w:r w:rsidRPr="00A82680">
        <w:rPr>
          <w:u w:val="single"/>
        </w:rPr>
        <w:t>Third, the feminization of poverty model is criticized for mistakenly treating all women as member's of an oppressed group or class equally vulnerable to poverty</w:t>
      </w:r>
      <w:proofErr w:type="gramStart"/>
      <w:r w:rsidRPr="00A82680">
        <w:rPr>
          <w:u w:val="single"/>
        </w:rPr>
        <w:t>.</w:t>
      </w:r>
      <w:r w:rsidRPr="00A82680">
        <w:rPr>
          <w:sz w:val="12"/>
        </w:rPr>
        <w:t>(</w:t>
      </w:r>
      <w:proofErr w:type="gramEnd"/>
      <w:r w:rsidRPr="00A82680">
        <w:rPr>
          <w:sz w:val="12"/>
        </w:rPr>
        <w:t xml:space="preserve">FN21) This criticism is related to the earlier statement regarding the secondary or "epiphenomenal" treatment of race.(FN22) Here, the lessons learned through the work of feminist scholars of color in regard to "rethinking" theories of racial-ethnic families appear appropriate. More specifically, </w:t>
      </w:r>
      <w:r w:rsidRPr="00A82680">
        <w:rPr>
          <w:u w:val="single"/>
        </w:rPr>
        <w:t>the understanding of family patterns as "relational" applies here</w:t>
      </w:r>
      <w:proofErr w:type="gramStart"/>
      <w:r w:rsidRPr="00A82680">
        <w:rPr>
          <w:sz w:val="12"/>
        </w:rPr>
        <w:t>.(</w:t>
      </w:r>
      <w:proofErr w:type="gramEnd"/>
      <w:r w:rsidRPr="00A82680">
        <w:rPr>
          <w:sz w:val="12"/>
        </w:rPr>
        <w:t xml:space="preserve">FN23) Evelyn Nakano Glenn writes that </w:t>
      </w:r>
      <w:r w:rsidRPr="00A82680">
        <w:rPr>
          <w:u w:val="single"/>
        </w:rPr>
        <w:t>"[r]elational means that race/gender categories are positioned and that they gain meaning in relation to each other."(</w:t>
      </w:r>
      <w:r w:rsidRPr="00A82680">
        <w:rPr>
          <w:sz w:val="12"/>
        </w:rPr>
        <w:t xml:space="preserve">FN24) Another scholar has added </w:t>
      </w:r>
      <w:r w:rsidRPr="00A82680">
        <w:rPr>
          <w:u w:val="single"/>
        </w:rPr>
        <w:t>that examining race, class, and gender allows us to better understand the world where some people's privilege depends on oppressing and exploitating others</w:t>
      </w:r>
      <w:proofErr w:type="gramStart"/>
      <w:r w:rsidRPr="00A82680">
        <w:rPr>
          <w:u w:val="single"/>
        </w:rPr>
        <w:t>.(</w:t>
      </w:r>
      <w:proofErr w:type="gramEnd"/>
      <w:r w:rsidRPr="00A82680">
        <w:rPr>
          <w:sz w:val="12"/>
        </w:rPr>
        <w:t>FN25) S</w:t>
      </w:r>
      <w:r w:rsidRPr="00A82680">
        <w:rPr>
          <w:u w:val="single"/>
        </w:rPr>
        <w:t>imply focusing on the gendered aspect of poverty obscures the fact that some women are privileged by the oppression and continued poverty of other women. In this way, women can be oppressors as well as the oppresse</w:t>
      </w:r>
      <w:r w:rsidRPr="00A82680">
        <w:rPr>
          <w:sz w:val="12"/>
        </w:rPr>
        <w:t>d, depending upon their race, class, and immigration status (sexuality and disability are, of course, other possible sources of privilege and oppression). Perhaps the strongest evidence is presented in studies of domestic labor in the United States, wherein middle-class white women benefit from the subjugated status of low-income immigrant women</w:t>
      </w:r>
      <w:proofErr w:type="gramStart"/>
      <w:r w:rsidRPr="00A82680">
        <w:rPr>
          <w:sz w:val="12"/>
        </w:rPr>
        <w:t>.(</w:t>
      </w:r>
      <w:proofErr w:type="gramEnd"/>
      <w:r w:rsidRPr="00A82680">
        <w:rPr>
          <w:sz w:val="12"/>
        </w:rPr>
        <w:t xml:space="preserve">FN26) </w:t>
      </w:r>
      <w:r w:rsidRPr="00A82680">
        <w:rPr>
          <w:u w:val="single"/>
        </w:rPr>
        <w:t>Fourth, the feminization of poverty model ignores "the role of the capitalist economy in creating and perpetuating poverty."(</w:t>
      </w:r>
      <w:r w:rsidRPr="00A82680">
        <w:rPr>
          <w:sz w:val="12"/>
        </w:rPr>
        <w:t>FN27</w:t>
      </w:r>
      <w:r w:rsidRPr="00A82680">
        <w:rPr>
          <w:u w:val="single"/>
        </w:rPr>
        <w:t>) For immigrant communities, the larger capitalist or global economy is central to understanding their experiences.</w:t>
      </w:r>
      <w:r w:rsidRPr="00A82680">
        <w:rPr>
          <w:sz w:val="12"/>
        </w:rPr>
        <w:t xml:space="preserve"> The next section will address this fourth point in more detail to illustrate the deep connections between the larger capitalist economy and the state of low-income immigrant communities. </w:t>
      </w:r>
      <w:r w:rsidRPr="00A82680">
        <w:rPr>
          <w:u w:val="single"/>
        </w:rPr>
        <w:t>The increasing global nature of capital, in conjunction with recent welfare and immigration reforms, has helped contribute to the continuing presence of poverty within immigrant communities.</w:t>
      </w:r>
      <w:r w:rsidRPr="00A82680">
        <w:rPr>
          <w:sz w:val="12"/>
        </w:rPr>
        <w:t xml:space="preserve"> Many </w:t>
      </w:r>
      <w:r w:rsidRPr="00A82680">
        <w:rPr>
          <w:u w:val="single"/>
        </w:rPr>
        <w:t>low-income immigrant women</w:t>
      </w:r>
      <w:r w:rsidRPr="00A82680">
        <w:rPr>
          <w:sz w:val="12"/>
        </w:rPr>
        <w:t xml:space="preserve">, the vast majority of whom migrate as workers, </w:t>
      </w:r>
      <w:r w:rsidRPr="00A82680">
        <w:rPr>
          <w:u w:val="single"/>
        </w:rPr>
        <w:t>experience a double-edged sword in that they enter the U.S. as a result of growing transnational markets while at the same time, face anti-immigrant legislation that punishes their arrival</w:t>
      </w:r>
      <w:r w:rsidRPr="00A82680">
        <w:rPr>
          <w:sz w:val="12"/>
        </w:rPr>
        <w:t xml:space="preserve">. While immigrant women's cheap labor is in demand in the United States, the basic needs of workers and their families are denied.(FN28) </w:t>
      </w:r>
      <w:r w:rsidRPr="00A82680">
        <w:rPr>
          <w:u w:val="single"/>
        </w:rPr>
        <w:t>Despite recent efforts to restrict the flow of immigrants, the creation of global capital, military, and economic linkages continue to foster large-scale immigration to the United States</w:t>
      </w:r>
      <w:r w:rsidRPr="00A82680">
        <w:rPr>
          <w:sz w:val="12"/>
        </w:rPr>
        <w:t xml:space="preserve">.(FN29) </w:t>
      </w:r>
      <w:r w:rsidRPr="00A82680">
        <w:rPr>
          <w:u w:val="single"/>
        </w:rPr>
        <w:t>The growing prominence of established immigrant enclaves in major urban cities, along with globalization of production, decline of manufacturing, and the growth of the service sector have expanded the supply of low-wage jobs</w:t>
      </w:r>
      <w:r w:rsidRPr="00A82680">
        <w:rPr>
          <w:sz w:val="12"/>
        </w:rPr>
        <w:t xml:space="preserve">, including temporary and part-time jobs. </w:t>
      </w:r>
      <w:r w:rsidRPr="00A82680">
        <w:rPr>
          <w:u w:val="single"/>
        </w:rPr>
        <w:t>And this in turn, helps fuel continued migration</w:t>
      </w:r>
      <w:r w:rsidRPr="00A82680">
        <w:rPr>
          <w:sz w:val="12"/>
        </w:rPr>
        <w:t xml:space="preserve">. The increased movement of goods and services brings with it an increased movement of people.(FN30) In this way, immigration is a form of labor mobility, sustained by interpersonal networks bridging points of origin and points of destination.(FN31) </w:t>
      </w:r>
      <w:r w:rsidRPr="00A82680">
        <w:rPr>
          <w:u w:val="single"/>
        </w:rPr>
        <w:t>The decline of the traditional industrial work force and the rise of new industries based on immigrant labor occurred as the relative power between workers and management shifted through the substitution of low-wage, unorganized workers for high-wage, organized labor</w:t>
      </w:r>
      <w:r w:rsidRPr="00A82680">
        <w:rPr>
          <w:sz w:val="12"/>
        </w:rPr>
        <w:t xml:space="preserve">.(FN32) Immigrants from Asia, the Caribbean, and Latin America played an important role in this transition.(FN33) </w:t>
      </w:r>
      <w:r w:rsidRPr="00A82680">
        <w:rPr>
          <w:u w:val="single"/>
        </w:rPr>
        <w:t>While the use of</w:t>
      </w:r>
      <w:r w:rsidRPr="00A82680">
        <w:rPr>
          <w:sz w:val="12"/>
        </w:rPr>
        <w:t xml:space="preserve"> Asian and Mexican </w:t>
      </w:r>
      <w:r w:rsidRPr="00A82680">
        <w:rPr>
          <w:u w:val="single"/>
        </w:rPr>
        <w:t>immigrants who are easily disposable</w:t>
      </w:r>
      <w:r w:rsidRPr="00A82680">
        <w:rPr>
          <w:sz w:val="12"/>
        </w:rPr>
        <w:t xml:space="preserve"> (i.e., reserve labor) </w:t>
      </w:r>
      <w:r w:rsidRPr="00A82680">
        <w:rPr>
          <w:u w:val="single"/>
        </w:rPr>
        <w:t>is not new, the circumstances leading to migration as well as the gender composition of immigrants have changed.</w:t>
      </w:r>
      <w:r w:rsidRPr="00A82680">
        <w:rPr>
          <w:sz w:val="12"/>
        </w:rPr>
        <w:t xml:space="preserve"> Perhaps one of </w:t>
      </w:r>
      <w:r w:rsidRPr="00A82680">
        <w:rPr>
          <w:u w:val="single"/>
        </w:rPr>
        <w:t>the most significant effects of foreign investment in export production is the uprooting of people from traditional modes of existence</w:t>
      </w:r>
      <w:r w:rsidRPr="00A82680">
        <w:rPr>
          <w:sz w:val="12"/>
        </w:rPr>
        <w:t>. In export manufacturing, the catalyst for the disruption of traditional work structures is the massive recruitment of young women into jobs in the new industrial zones</w:t>
      </w:r>
      <w:proofErr w:type="gramStart"/>
      <w:r w:rsidRPr="00A82680">
        <w:rPr>
          <w:sz w:val="12"/>
        </w:rPr>
        <w:t>.(</w:t>
      </w:r>
      <w:proofErr w:type="gramEnd"/>
      <w:r w:rsidRPr="00A82680">
        <w:rPr>
          <w:sz w:val="12"/>
        </w:rPr>
        <w:t xml:space="preserve">FN34) </w:t>
      </w:r>
      <w:r w:rsidRPr="00A82680">
        <w:rPr>
          <w:u w:val="single"/>
        </w:rPr>
        <w:t>Young women comprise the vast majority of the workers in</w:t>
      </w:r>
      <w:r w:rsidRPr="00A82680">
        <w:rPr>
          <w:sz w:val="12"/>
        </w:rPr>
        <w:t xml:space="preserve"> these </w:t>
      </w:r>
      <w:r w:rsidRPr="00A82680">
        <w:rPr>
          <w:u w:val="single"/>
        </w:rPr>
        <w:t>export processing industrial zones.</w:t>
      </w:r>
      <w:r w:rsidRPr="00A82680">
        <w:rPr>
          <w:sz w:val="12"/>
        </w:rPr>
        <w:t xml:space="preserve"> The most obvious reason is their cheap labor, but in addition, </w:t>
      </w:r>
      <w:r w:rsidRPr="00A82680">
        <w:rPr>
          <w:u w:val="single"/>
        </w:rPr>
        <w:t>young women in patriarchal societies are seen by foreign employers as obedient and disciplined workers, willing to do tedious, high-precision work and put up with working conditions that others would not tolerate</w:t>
      </w:r>
      <w:proofErr w:type="gramStart"/>
      <w:r w:rsidRPr="00A82680">
        <w:rPr>
          <w:sz w:val="12"/>
        </w:rPr>
        <w:t>.(</w:t>
      </w:r>
      <w:proofErr w:type="gramEnd"/>
      <w:r w:rsidRPr="00A82680">
        <w:rPr>
          <w:sz w:val="12"/>
        </w:rPr>
        <w:t xml:space="preserve">FN35) This mobilization of large numbers of women into wage labor disrupts the traditional, often non-wage work patterns. To make matters worse, </w:t>
      </w:r>
      <w:r w:rsidRPr="00A82680">
        <w:rPr>
          <w:u w:val="single"/>
        </w:rPr>
        <w:t>this entry into wage labor' is generally a one-way proposition, wherein as traditional economic opportunities in rural areas shrink, it becomes difficult, if not impossible, for workers to return home if they are laid off or unsuccessful in their job search</w:t>
      </w:r>
      <w:r w:rsidRPr="00A82680">
        <w:rPr>
          <w:sz w:val="12"/>
        </w:rPr>
        <w:t>. For workers in these situations, emigration is one of very few options available</w:t>
      </w:r>
      <w:proofErr w:type="gramStart"/>
      <w:r w:rsidRPr="00A82680">
        <w:rPr>
          <w:sz w:val="12"/>
        </w:rPr>
        <w:t>.(</w:t>
      </w:r>
      <w:proofErr w:type="gramEnd"/>
      <w:r w:rsidRPr="00A82680">
        <w:rPr>
          <w:sz w:val="12"/>
        </w:rPr>
        <w:t xml:space="preserve">FN36) </w:t>
      </w:r>
      <w:r w:rsidRPr="00A82680">
        <w:rPr>
          <w:u w:val="single"/>
        </w:rPr>
        <w:t>Once</w:t>
      </w:r>
      <w:r w:rsidRPr="00A82680">
        <w:rPr>
          <w:sz w:val="12"/>
        </w:rPr>
        <w:t xml:space="preserve"> here </w:t>
      </w:r>
      <w:r w:rsidRPr="00A82680">
        <w:rPr>
          <w:u w:val="single"/>
        </w:rPr>
        <w:t>in the United States, social policies</w:t>
      </w:r>
      <w:r w:rsidRPr="00A82680">
        <w:rPr>
          <w:sz w:val="12"/>
        </w:rPr>
        <w:t xml:space="preserve"> such as the 1996 Welfare Reform and Immigration Acts work to </w:t>
      </w:r>
      <w:r w:rsidRPr="00A82680">
        <w:rPr>
          <w:u w:val="single"/>
        </w:rPr>
        <w:t>maintain immigrant families' poverty by creating barriers to social services such as health care. Low-income immigrants are forced to either pay out of pocket or forego care. In this way, many immigrants with little financial means find themselves with a substantial amount of debt</w:t>
      </w:r>
      <w:r w:rsidRPr="00A82680">
        <w:rPr>
          <w:sz w:val="12"/>
        </w:rPr>
        <w:t xml:space="preserve">. These legislative policies criminalize the use of health care. </w:t>
      </w:r>
      <w:r w:rsidRPr="00A82680">
        <w:rPr>
          <w:b/>
          <w:u w:val="single"/>
        </w:rPr>
        <w:t>The fear of potential public charge determinations not only poses a significant barrier to adequate care but also serves as a tangible barrier between those who are valued in this society and those who are not</w:t>
      </w:r>
      <w:r w:rsidRPr="00A82680">
        <w:rPr>
          <w:u w:val="single"/>
        </w:rPr>
        <w:t>. For many low-income immigrant women, their combined status as female, low-income, racial minority, and immigrant helps to define them as marginal or undeserving.</w:t>
      </w:r>
      <w:r w:rsidRPr="00A82680">
        <w:rPr>
          <w:sz w:val="12"/>
        </w:rPr>
        <w:t xml:space="preserve"> </w:t>
      </w:r>
    </w:p>
    <w:p w:rsidR="008B491B" w:rsidRPr="00F933AF" w:rsidRDefault="00F933AF" w:rsidP="00F933AF">
      <w:pPr>
        <w:pStyle w:val="Heading2"/>
        <w:rPr>
          <w:rFonts w:cs="Calibri"/>
        </w:rPr>
      </w:pPr>
      <w:r w:rsidRPr="00F933AF">
        <w:rPr>
          <w:rFonts w:cs="Calibri"/>
        </w:rPr>
        <w:t>AT: Citizenship K</w:t>
      </w:r>
    </w:p>
    <w:p w:rsidR="00721D38" w:rsidRPr="00F933AF" w:rsidRDefault="00F933AF" w:rsidP="00721D38">
      <w:pPr>
        <w:pStyle w:val="Heading3"/>
        <w:rPr>
          <w:rFonts w:cs="Calibri"/>
        </w:rPr>
      </w:pPr>
      <w:r w:rsidRPr="00F933AF">
        <w:rPr>
          <w:rFonts w:cs="Calibri"/>
        </w:rPr>
        <w:t xml:space="preserve">Link Turn </w:t>
      </w:r>
    </w:p>
    <w:p w:rsidR="00721D38" w:rsidRPr="00F933AF" w:rsidRDefault="00721D38" w:rsidP="00721D38">
      <w:pPr>
        <w:pStyle w:val="Heading4"/>
        <w:rPr>
          <w:rFonts w:cs="Calibri"/>
        </w:rPr>
      </w:pPr>
      <w:r w:rsidRPr="00F933AF">
        <w:rPr>
          <w:rFonts w:cs="Calibri"/>
        </w:rPr>
        <w:t>Public charge is used to deport “undesirable” immigrants- plan limits government control over redrawing who can be citizens</w:t>
      </w:r>
    </w:p>
    <w:p w:rsidR="00721D38" w:rsidRPr="00F933AF" w:rsidRDefault="00721D38" w:rsidP="00721D38">
      <w:pPr>
        <w:rPr>
          <w:rFonts w:cs="Calibri"/>
        </w:rPr>
      </w:pPr>
      <w:r w:rsidRPr="00F933AF">
        <w:rPr>
          <w:rStyle w:val="Style13ptBold"/>
          <w:rFonts w:cs="Calibri"/>
        </w:rPr>
        <w:t>Price 15</w:t>
      </w:r>
      <w:r w:rsidRPr="00F933AF">
        <w:rPr>
          <w:rFonts w:cs="Calibri"/>
        </w:rPr>
        <w:t xml:space="preserve"> (Polly J. Price, Professor of Law and Associate Dean of Faculty at Emory University, May 2015, “Infecting the Body Politic: Observations on Health Security and the "Undesirable" Immigrant”, </w:t>
      </w:r>
      <w:proofErr w:type="gramStart"/>
      <w:r w:rsidRPr="00F933AF">
        <w:rPr>
          <w:rFonts w:cs="Calibri"/>
        </w:rPr>
        <w:t>The</w:t>
      </w:r>
      <w:proofErr w:type="gramEnd"/>
      <w:r w:rsidRPr="00F933AF">
        <w:rPr>
          <w:rFonts w:cs="Calibri"/>
        </w:rPr>
        <w:t xml:space="preserve"> University of Kansas Law Review, LexisNexis)/CWB</w:t>
      </w:r>
    </w:p>
    <w:p w:rsidR="00721D38" w:rsidRPr="00F933AF" w:rsidRDefault="00721D38" w:rsidP="00721D38">
      <w:pPr>
        <w:rPr>
          <w:rFonts w:cs="Calibri"/>
          <w:sz w:val="16"/>
        </w:rPr>
      </w:pPr>
      <w:r w:rsidRPr="00F933AF">
        <w:rPr>
          <w:rStyle w:val="StyleUnderline"/>
          <w:rFonts w:cs="Calibri"/>
        </w:rPr>
        <w:t>The Public Health Service attempted to provide national standards for "constitutional psychopathic inferiority," but the broad categories left ample room for unchecked discretion and abuse by</w:t>
      </w:r>
      <w:r w:rsidRPr="00F933AF">
        <w:rPr>
          <w:rFonts w:cs="Calibri"/>
          <w:sz w:val="16"/>
        </w:rPr>
        <w:t xml:space="preserve"> both state and federal </w:t>
      </w:r>
      <w:r w:rsidRPr="00F933AF">
        <w:rPr>
          <w:rStyle w:val="StyleUnderline"/>
          <w:rFonts w:cs="Calibri"/>
        </w:rPr>
        <w:t>medical officials</w:t>
      </w:r>
      <w:r w:rsidRPr="00F933AF">
        <w:rPr>
          <w:rFonts w:cs="Calibri"/>
          <w:sz w:val="16"/>
        </w:rPr>
        <w:t xml:space="preserve">. State </w:t>
      </w:r>
      <w:r w:rsidRPr="00F933AF">
        <w:rPr>
          <w:rStyle w:val="StyleUnderline"/>
          <w:rFonts w:cs="Calibri"/>
        </w:rPr>
        <w:t>officials desired to rid themselves of "undesirable" non-citizens</w:t>
      </w:r>
      <w:r w:rsidRPr="00F933AF">
        <w:rPr>
          <w:rFonts w:cs="Calibri"/>
          <w:sz w:val="16"/>
        </w:rPr>
        <w:t xml:space="preserve"> housed in state institutions. </w:t>
      </w:r>
      <w:r w:rsidRPr="00F933AF">
        <w:rPr>
          <w:rStyle w:val="StyleUnderline"/>
          <w:rFonts w:cs="Calibri"/>
        </w:rPr>
        <w:t>The solution was to deport these undesirables.</w:t>
      </w:r>
      <w:r w:rsidRPr="00F933AF">
        <w:rPr>
          <w:rFonts w:cs="Calibri"/>
          <w:sz w:val="16"/>
        </w:rPr>
        <w:t xml:space="preserve"> In 1926, for example, 796 persons were </w:t>
      </w:r>
      <w:r w:rsidRPr="00F933AF">
        <w:rPr>
          <w:rStyle w:val="StyleUnderline"/>
          <w:rFonts w:cs="Calibri"/>
        </w:rPr>
        <w:t>deported for "insanity" or</w:t>
      </w:r>
      <w:r w:rsidRPr="00F933AF">
        <w:rPr>
          <w:rFonts w:cs="Calibri"/>
          <w:sz w:val="16"/>
        </w:rPr>
        <w:t xml:space="preserve"> "epilepsy," 257 for "</w:t>
      </w:r>
      <w:r w:rsidRPr="00F933AF">
        <w:rPr>
          <w:rStyle w:val="StyleUnderline"/>
          <w:rFonts w:cs="Calibri"/>
        </w:rPr>
        <w:t>other mental conditions," and</w:t>
      </w:r>
      <w:r w:rsidRPr="00F933AF">
        <w:rPr>
          <w:rFonts w:cs="Calibri"/>
          <w:sz w:val="16"/>
        </w:rPr>
        <w:t xml:space="preserve"> 887 as "</w:t>
      </w:r>
      <w:r w:rsidRPr="00F933AF">
        <w:rPr>
          <w:rStyle w:val="StyleUnderline"/>
          <w:rFonts w:cs="Calibri"/>
        </w:rPr>
        <w:t>likely to become a public charge,"</w:t>
      </w:r>
      <w:r w:rsidRPr="00F933AF">
        <w:rPr>
          <w:rFonts w:cs="Calibri"/>
          <w:sz w:val="16"/>
        </w:rPr>
        <w:t xml:space="preserve"> out of nearly 11,000 total deportations that year. </w:t>
      </w:r>
      <w:proofErr w:type="gramStart"/>
      <w:r w:rsidRPr="00F933AF">
        <w:rPr>
          <w:rFonts w:cs="Calibri"/>
          <w:sz w:val="16"/>
        </w:rPr>
        <w:t>n124</w:t>
      </w:r>
      <w:proofErr w:type="gramEnd"/>
      <w:r w:rsidRPr="00F933AF">
        <w:rPr>
          <w:rFonts w:cs="Calibri"/>
          <w:sz w:val="16"/>
        </w:rPr>
        <w:t xml:space="preserve"> Similar categorical deportation numbers occurred in 1930. </w:t>
      </w:r>
      <w:proofErr w:type="gramStart"/>
      <w:r w:rsidRPr="00F933AF">
        <w:rPr>
          <w:rFonts w:cs="Calibri"/>
          <w:sz w:val="16"/>
        </w:rPr>
        <w:t>n125</w:t>
      </w:r>
      <w:proofErr w:type="gramEnd"/>
      <w:r w:rsidRPr="00F933AF">
        <w:rPr>
          <w:rFonts w:cs="Calibri"/>
          <w:sz w:val="16"/>
        </w:rPr>
        <w:t xml:space="preserve"> In later decades the bases for deportation are not categorized, but we know the practice continued because of cases like that of Mrs. Leon. </w:t>
      </w:r>
      <w:proofErr w:type="gramStart"/>
      <w:r w:rsidRPr="00F933AF">
        <w:rPr>
          <w:rFonts w:cs="Calibri"/>
          <w:sz w:val="16"/>
        </w:rPr>
        <w:t>n126</w:t>
      </w:r>
      <w:proofErr w:type="gramEnd"/>
      <w:r w:rsidRPr="00F933AF">
        <w:rPr>
          <w:rFonts w:cs="Calibri"/>
          <w:sz w:val="16"/>
        </w:rPr>
        <w:t xml:space="preserve"> This </w:t>
      </w:r>
      <w:r w:rsidRPr="00F933AF">
        <w:rPr>
          <w:rStyle w:val="StyleUnderline"/>
          <w:rFonts w:cs="Calibri"/>
        </w:rPr>
        <w:t>brief history provides</w:t>
      </w:r>
      <w:r w:rsidRPr="00F933AF">
        <w:rPr>
          <w:rFonts w:cs="Calibri"/>
          <w:sz w:val="16"/>
        </w:rPr>
        <w:t xml:space="preserve"> some illustration of the </w:t>
      </w:r>
      <w:r w:rsidRPr="00F933AF">
        <w:rPr>
          <w:rStyle w:val="StyleUnderline"/>
          <w:rFonts w:cs="Calibri"/>
        </w:rPr>
        <w:t>link between becoming a "public charge" and the social control of the "undesirable" immigrant. There was little if any change over time in the views of federal lawmakers. Congress fear</w:t>
      </w:r>
      <w:r w:rsidRPr="00F933AF">
        <w:rPr>
          <w:rFonts w:cs="Calibri"/>
          <w:sz w:val="16"/>
        </w:rPr>
        <w:t xml:space="preserve">ed </w:t>
      </w:r>
      <w:r w:rsidRPr="00F933AF">
        <w:rPr>
          <w:rStyle w:val="StyleUnderline"/>
          <w:rFonts w:cs="Calibri"/>
        </w:rPr>
        <w:t>that a liberal immigration policy encouraged other nations to export their own undesirable citizens. Congress also made possible reciprocal "dumping" by the United States. Persons with mental illness or disability were the prime targets of this form of foreign policy.</w:t>
      </w:r>
    </w:p>
    <w:p w:rsidR="00721D38" w:rsidRDefault="00F933AF" w:rsidP="00F933AF">
      <w:pPr>
        <w:pStyle w:val="Heading2"/>
        <w:rPr>
          <w:rFonts w:cs="Calibri"/>
        </w:rPr>
      </w:pPr>
      <w:r w:rsidRPr="00F933AF">
        <w:rPr>
          <w:rFonts w:cs="Calibri"/>
        </w:rPr>
        <w:t>AT: Liberalism Bad</w:t>
      </w:r>
    </w:p>
    <w:p w:rsidR="001902FF" w:rsidRPr="001902FF" w:rsidRDefault="001902FF" w:rsidP="001902FF">
      <w:pPr>
        <w:pStyle w:val="Heading3"/>
      </w:pPr>
      <w:r>
        <w:t>Liberalism Good</w:t>
      </w:r>
    </w:p>
    <w:p w:rsidR="00721D38" w:rsidRPr="00F933AF" w:rsidRDefault="00721D38" w:rsidP="00721D38">
      <w:pPr>
        <w:pStyle w:val="Heading4"/>
        <w:rPr>
          <w:rFonts w:cs="Calibri"/>
        </w:rPr>
      </w:pPr>
      <w:r w:rsidRPr="00F933AF">
        <w:rPr>
          <w:rFonts w:cs="Calibri"/>
        </w:rPr>
        <w:t>Challenging marginalization of the disabled through care accommodation refutes Western liberal culture of individual rights and universal humanity</w:t>
      </w:r>
    </w:p>
    <w:p w:rsidR="00721D38" w:rsidRPr="00F933AF" w:rsidRDefault="00721D38" w:rsidP="00721D38">
      <w:pPr>
        <w:rPr>
          <w:rFonts w:cs="Calibri"/>
        </w:rPr>
      </w:pPr>
      <w:r w:rsidRPr="00F933AF">
        <w:rPr>
          <w:rStyle w:val="Style13ptBold"/>
          <w:rFonts w:cs="Calibri"/>
        </w:rPr>
        <w:t>Wardlaw 10</w:t>
      </w:r>
      <w:r w:rsidRPr="00F933AF">
        <w:rPr>
          <w:rFonts w:cs="Calibri"/>
        </w:rPr>
        <w:t xml:space="preserve"> (Margaret P. Wardlaw, PhD in the Medical Humanities from the University of Texas, Fellow at University of Washington School of Medicine, recipient of the John P. McGovern Award in Oslerian Medicine, the Joseph E. Pearlman Research Award, and was the only medical student ever to have been admitted to the American Osler Society, contributor to Feminist Approaches to Bioethics, Religion and Medicine, The Persisting Osler, and The American Journal of Bioethics, Fall 2010, “The right-to-die exception: How the discourse of individual rights impoverishes bioethical discussions of disability and what we can do about it”, International Journal of Feminist Approaches to Bioethics, Vol. 3, No. 2, Special Issue: Disability Studies in Feminist Bioethics, University of Toronto Press, JSTOR)/CWB</w:t>
      </w:r>
    </w:p>
    <w:p w:rsidR="00721D38" w:rsidRPr="00F933AF" w:rsidRDefault="00721D38" w:rsidP="00721D38">
      <w:pPr>
        <w:rPr>
          <w:rFonts w:cs="Calibri"/>
          <w:sz w:val="16"/>
        </w:rPr>
      </w:pPr>
      <w:r w:rsidRPr="00F933AF">
        <w:rPr>
          <w:rStyle w:val="StyleUnderline"/>
          <w:rFonts w:cs="Calibri"/>
        </w:rPr>
        <w:t>Major considerations of disability studies—such as provision of care, accommodation for disabled people, and issues surrounding institutionalization—have been consistently marginalized in American</w:t>
      </w:r>
      <w:r w:rsidRPr="00F933AF">
        <w:rPr>
          <w:rFonts w:cs="Calibri"/>
          <w:sz w:val="16"/>
        </w:rPr>
        <w:t xml:space="preserve"> bioethical </w:t>
      </w:r>
      <w:r w:rsidRPr="00F933AF">
        <w:rPr>
          <w:rStyle w:val="StyleUnderline"/>
          <w:rFonts w:cs="Calibri"/>
        </w:rPr>
        <w:t>discourse</w:t>
      </w:r>
      <w:r w:rsidRPr="00F933AF">
        <w:rPr>
          <w:rFonts w:cs="Calibri"/>
          <w:sz w:val="16"/>
        </w:rPr>
        <w:t xml:space="preserve">. The right to die, however, stands out as a paradigmatic bioethical debate. </w:t>
      </w:r>
      <w:r w:rsidRPr="00F933AF">
        <w:rPr>
          <w:rStyle w:val="StyleUnderline"/>
          <w:rFonts w:cs="Calibri"/>
        </w:rPr>
        <w:t>Why do advocates for expanding the volition and self-direction of disabled people emerge from the periphery only to help those disabled people who choose death? And why do the majority of people assume an unrealistically low quality of life for those with disabilities?</w:t>
      </w:r>
      <w:r w:rsidRPr="00F933AF">
        <w:rPr>
          <w:rFonts w:cs="Calibri"/>
          <w:sz w:val="16"/>
        </w:rPr>
        <w:t xml:space="preserve"> This paper will argue that </w:t>
      </w:r>
      <w:r w:rsidRPr="00F933AF">
        <w:rPr>
          <w:rStyle w:val="StyleUnderline"/>
          <w:rFonts w:cs="Calibri"/>
        </w:rPr>
        <w:t xml:space="preserve">the dominance of the Western liberal tradition in American culture motivates both these phenomena: by emphasizing individual rights over duties and responsibilities, assuming the isolated and independent rights-bearer as the prototypical person, and evoking an unrealistically atomistic view of human interaction. As an alternative, I offer a framework rooted in feminist ethics </w:t>
      </w:r>
      <w:r w:rsidRPr="00F933AF">
        <w:rPr>
          <w:rFonts w:cs="Calibri"/>
          <w:sz w:val="16"/>
        </w:rPr>
        <w:t xml:space="preserve">that emphasizes context, gives moral weight to human relationships, </w:t>
      </w:r>
      <w:r w:rsidRPr="00F933AF">
        <w:rPr>
          <w:rStyle w:val="StyleUnderline"/>
          <w:rFonts w:cs="Calibri"/>
        </w:rPr>
        <w:t xml:space="preserve">abandons the problematic ideal of a lone rights-bearer, and emphasizes the mutual vulnerability of embodied individuals. The disability studies perspective has been consistently marginalized in twentieth-century American </w:t>
      </w:r>
      <w:r w:rsidRPr="00F933AF">
        <w:rPr>
          <w:rFonts w:cs="Calibri"/>
          <w:sz w:val="16"/>
        </w:rPr>
        <w:t>bio</w:t>
      </w:r>
      <w:r w:rsidRPr="00F933AF">
        <w:rPr>
          <w:rStyle w:val="StyleUnderline"/>
          <w:rFonts w:cs="Calibri"/>
        </w:rPr>
        <w:t>ethical discourse</w:t>
      </w:r>
      <w:r w:rsidRPr="00F933AF">
        <w:rPr>
          <w:rFonts w:cs="Calibri"/>
          <w:sz w:val="16"/>
        </w:rPr>
        <w:t xml:space="preserve">. Like Ralph Ellison’s nameless protagonist who is “invisible . . . simply because people refuse to see me” (Ellison 1995, 3), both </w:t>
      </w:r>
      <w:r w:rsidRPr="00F933AF">
        <w:rPr>
          <w:rStyle w:val="StyleUnderline"/>
          <w:rFonts w:cs="Calibri"/>
        </w:rPr>
        <w:t>disabled people</w:t>
      </w:r>
      <w:r w:rsidRPr="00F933AF">
        <w:rPr>
          <w:rFonts w:cs="Calibri"/>
          <w:sz w:val="16"/>
        </w:rPr>
        <w:t xml:space="preserve"> and disability studies perspectives have been </w:t>
      </w:r>
      <w:r w:rsidRPr="00F933AF">
        <w:rPr>
          <w:rStyle w:val="StyleUnderline"/>
          <w:rFonts w:cs="Calibri"/>
        </w:rPr>
        <w:t xml:space="preserve">conspicuously absent from mainstream </w:t>
      </w:r>
      <w:r w:rsidRPr="00F933AF">
        <w:rPr>
          <w:rFonts w:cs="Calibri"/>
          <w:sz w:val="16"/>
        </w:rPr>
        <w:t xml:space="preserve">contemporary bioethical </w:t>
      </w:r>
      <w:r w:rsidRPr="00F933AF">
        <w:rPr>
          <w:rStyle w:val="StyleUnderline"/>
          <w:rFonts w:cs="Calibri"/>
        </w:rPr>
        <w:t>inquiries</w:t>
      </w:r>
      <w:r w:rsidRPr="00F933AF">
        <w:rPr>
          <w:rFonts w:cs="Calibri"/>
          <w:sz w:val="16"/>
        </w:rPr>
        <w:t xml:space="preserve">. Considerations of provision, accommodation, and institutionalization have been </w:t>
      </w:r>
      <w:r w:rsidRPr="00F933AF">
        <w:rPr>
          <w:rStyle w:val="StyleUnderline"/>
          <w:rFonts w:cs="Calibri"/>
        </w:rPr>
        <w:t>pushed to the periphery of discourse.</w:t>
      </w:r>
      <w:r w:rsidRPr="00F933AF">
        <w:rPr>
          <w:rFonts w:cs="Calibri"/>
          <w:sz w:val="16"/>
        </w:rPr>
        <w:t xml:space="preserve"> The lament of Ellison’s invisible man—“I have . . . been called one thing and then another while no one really wished to hear what I called myself” (</w:t>
      </w:r>
      <w:proofErr w:type="gramStart"/>
      <w:r w:rsidRPr="00F933AF">
        <w:rPr>
          <w:rFonts w:cs="Calibri"/>
          <w:sz w:val="16"/>
        </w:rPr>
        <w:t>ibid.,</w:t>
      </w:r>
      <w:proofErr w:type="gramEnd"/>
      <w:r w:rsidRPr="00F933AF">
        <w:rPr>
          <w:rFonts w:cs="Calibri"/>
          <w:sz w:val="16"/>
        </w:rPr>
        <w:t xml:space="preserve"> 573)—remains relevant. In contrast to this general marginalization, </w:t>
      </w:r>
      <w:r w:rsidRPr="00F933AF">
        <w:rPr>
          <w:rStyle w:val="StyleUnderline"/>
          <w:rFonts w:cs="Calibri"/>
        </w:rPr>
        <w:t>debate surrounding the right to die stands out as a major exception. Assisted suicide, refusal of life-saving medical care, and euthanasia have led to paradigmatic</w:t>
      </w:r>
      <w:r w:rsidRPr="00F933AF">
        <w:rPr>
          <w:rFonts w:cs="Calibri"/>
          <w:sz w:val="16"/>
        </w:rPr>
        <w:t xml:space="preserve"> bio</w:t>
      </w:r>
      <w:r w:rsidRPr="00F933AF">
        <w:rPr>
          <w:rStyle w:val="StyleUnderline"/>
          <w:rFonts w:cs="Calibri"/>
        </w:rPr>
        <w:t>ethical debate</w:t>
      </w:r>
      <w:r w:rsidRPr="00F933AF">
        <w:rPr>
          <w:rFonts w:cs="Calibri"/>
          <w:sz w:val="16"/>
        </w:rPr>
        <w:t xml:space="preserve">s garnering substantial attention for disabled people. Underpinning this “right-to-die exception” is a consistent underestimation of the quality of life with disability by nondisabled people. </w:t>
      </w:r>
      <w:r w:rsidRPr="00F933AF">
        <w:rPr>
          <w:rStyle w:val="StyleUnderline"/>
          <w:rFonts w:cs="Calibri"/>
        </w:rPr>
        <w:t>The dominance of the Western liberal tradition in American culture and the ideal of the person as an independent rights-bearer somewhat paradoxically motivate both passionate advocacy for the individual right to die, as well as generalized indifference to disabled persons who have become symbols of dependence.</w:t>
      </w:r>
      <w:r w:rsidRPr="00F933AF">
        <w:rPr>
          <w:rFonts w:cs="Calibri"/>
          <w:sz w:val="16"/>
        </w:rPr>
        <w:t xml:space="preserve"> I suggest that a framework rooted in feminist ethics that emphasizes the mutual vulnerability inherent in embodiment, attends to context, and gives moral weight to human relationships is a more useful paradigm for motivating and engaging issues of disability in bioethics and medical humanities.</w:t>
      </w:r>
    </w:p>
    <w:p w:rsidR="00721D38" w:rsidRPr="00F933AF" w:rsidRDefault="00721D38" w:rsidP="008B491B">
      <w:pPr>
        <w:rPr>
          <w:rFonts w:cs="Calibri"/>
        </w:rPr>
      </w:pPr>
    </w:p>
    <w:p w:rsidR="00E5343F" w:rsidRPr="00F933AF" w:rsidRDefault="00E5343F" w:rsidP="00E5343F">
      <w:pPr>
        <w:rPr>
          <w:rFonts w:cs="Calibri"/>
          <w:sz w:val="14"/>
        </w:rPr>
      </w:pPr>
    </w:p>
    <w:p w:rsidR="00E5343F" w:rsidRPr="00F933AF" w:rsidRDefault="00E5343F" w:rsidP="00E5343F">
      <w:pPr>
        <w:pStyle w:val="Heading1"/>
        <w:rPr>
          <w:rFonts w:cs="Calibri"/>
        </w:rPr>
      </w:pPr>
      <w:r w:rsidRPr="00F933AF">
        <w:rPr>
          <w:rFonts w:cs="Calibri"/>
        </w:rPr>
        <w:t xml:space="preserve">Neg </w:t>
      </w:r>
    </w:p>
    <w:p w:rsidR="00721D38" w:rsidRPr="00F933AF" w:rsidRDefault="00035F66" w:rsidP="00035F66">
      <w:pPr>
        <w:pStyle w:val="Heading1"/>
      </w:pPr>
      <w:r>
        <w:t>Case</w:t>
      </w:r>
    </w:p>
    <w:p w:rsidR="00E65063" w:rsidRDefault="00E65063" w:rsidP="00E65063">
      <w:pPr>
        <w:pStyle w:val="Heading2"/>
      </w:pPr>
      <w:r>
        <w:t xml:space="preserve">Solvency </w:t>
      </w:r>
    </w:p>
    <w:p w:rsidR="00E65063" w:rsidRPr="00F933AF" w:rsidRDefault="00E65063" w:rsidP="00E65063">
      <w:pPr>
        <w:pStyle w:val="Heading4"/>
        <w:rPr>
          <w:rFonts w:cs="Calibri"/>
        </w:rPr>
      </w:pPr>
      <w:r w:rsidRPr="00F933AF">
        <w:rPr>
          <w:rFonts w:cs="Calibri"/>
        </w:rPr>
        <w:t>Public charge restrictions overlooked in face of labor demand</w:t>
      </w:r>
    </w:p>
    <w:p w:rsidR="00E65063" w:rsidRPr="00F933AF" w:rsidRDefault="00E65063" w:rsidP="00E65063">
      <w:pPr>
        <w:rPr>
          <w:rFonts w:cs="Calibri"/>
        </w:rPr>
      </w:pPr>
      <w:r w:rsidRPr="00F933AF">
        <w:rPr>
          <w:rStyle w:val="Style13ptBold"/>
          <w:rFonts w:cs="Calibri"/>
        </w:rPr>
        <w:t>Lim 13</w:t>
      </w:r>
      <w:r w:rsidRPr="00F933AF">
        <w:rPr>
          <w:rFonts w:cs="Calibri"/>
        </w:rPr>
        <w:t xml:space="preserve"> (Julian Lim, law degree from UC Berkley, PhD in history from Cornell, assistant professor of History at Arizona State University, author of 2017 Porous Borders: Multiracial Migrations and the Law in the U.S.-Mexico Borderlands, August 2013, “Immigration, Asylum, and Citizenship: A More Holistic Approach”, California Law Review, Vol. 101, No. 4, California Law Review, JSTOR)/CWB</w:t>
      </w:r>
    </w:p>
    <w:p w:rsidR="00E65063" w:rsidRPr="00F933AF" w:rsidRDefault="00E65063" w:rsidP="00E65063">
      <w:pPr>
        <w:rPr>
          <w:rStyle w:val="StyleUnderline"/>
          <w:rFonts w:cs="Calibri"/>
        </w:rPr>
      </w:pPr>
      <w:r w:rsidRPr="00F933AF">
        <w:rPr>
          <w:rFonts w:cs="Calibri"/>
          <w:sz w:val="16"/>
        </w:rPr>
        <w:t xml:space="preserve">Such </w:t>
      </w:r>
      <w:r w:rsidRPr="00F933AF">
        <w:rPr>
          <w:rStyle w:val="StyleUnderline"/>
          <w:rFonts w:cs="Calibri"/>
        </w:rPr>
        <w:t>Mexican immigrants could have been turned away entirely and excluded at the border as "persons likely to become public charges" or for health reasons.120 But</w:t>
      </w:r>
      <w:r w:rsidRPr="00F933AF">
        <w:rPr>
          <w:rFonts w:cs="Calibri"/>
          <w:sz w:val="16"/>
        </w:rPr>
        <w:t xml:space="preserve"> the Department of Labor and local </w:t>
      </w:r>
      <w:r w:rsidRPr="00F933AF">
        <w:rPr>
          <w:rStyle w:val="StyleUnderline"/>
          <w:rFonts w:cs="Calibri"/>
        </w:rPr>
        <w:t>immigration officials had long established a practice of maintaining a more porous border for Mexicans, applying immigration restrictions more flexibly to accommodate the demand for Mexican labor in the American Southwest. As long as U.S. employers needed laborers, officials admitted Mexican immigrants even if they possessed no funds and "only the clothes upon their backs," because as immigration officials explained, "they secured employment at self supporting wages almost immediately upon stepping across the line."</w:t>
      </w:r>
      <w:r w:rsidRPr="00F933AF">
        <w:rPr>
          <w:rFonts w:cs="Calibri"/>
          <w:sz w:val="16"/>
        </w:rPr>
        <w:t xml:space="preserve">121 Thus, as Patrick Ettinger argues, </w:t>
      </w:r>
      <w:r w:rsidRPr="00F933AF">
        <w:rPr>
          <w:rStyle w:val="StyleUnderline"/>
          <w:rFonts w:cs="Calibri"/>
        </w:rPr>
        <w:t>border authorities participated in constructing a permeable border by "accommodating immigration laws to the waxing and waning demand for Mexican workers . . . during this period."122 Legal designations thus remained malleable, and the demand for labor in the United States could redefine a Mexican refugee at the border from an excludable pauper to an admissible immigrant.123 In fact, it seemed to work in the Mexican immigrant's favor to present himself as a potential laborer as opposed to a political refugee.</w:t>
      </w:r>
    </w:p>
    <w:p w:rsidR="00E65063" w:rsidRPr="00F933AF" w:rsidRDefault="00E65063" w:rsidP="00E65063">
      <w:pPr>
        <w:pStyle w:val="Heading4"/>
        <w:rPr>
          <w:rFonts w:cs="Calibri"/>
        </w:rPr>
      </w:pPr>
      <w:r w:rsidRPr="00F933AF">
        <w:rPr>
          <w:rFonts w:cs="Calibri"/>
        </w:rPr>
        <w:t>Public charge inadmissibility hardly followed- health care doesn’t affect</w:t>
      </w:r>
    </w:p>
    <w:p w:rsidR="00E65063" w:rsidRPr="00F933AF" w:rsidRDefault="00E65063" w:rsidP="00E65063">
      <w:pPr>
        <w:rPr>
          <w:rFonts w:cs="Calibri"/>
        </w:rPr>
      </w:pPr>
      <w:r w:rsidRPr="00F933AF">
        <w:rPr>
          <w:rStyle w:val="Style13ptBold"/>
          <w:rFonts w:cs="Calibri"/>
        </w:rPr>
        <w:t>Fraser and Bruno 17</w:t>
      </w:r>
      <w:r w:rsidRPr="00F933AF">
        <w:rPr>
          <w:rFonts w:cs="Calibri"/>
        </w:rPr>
        <w:t xml:space="preserve"> (Hilary T. Fraser, partner of immigration law at Miller Mayer since 1991, member of the American Immigration Lawyers Association and New York State and local bar associations, law degree from Cornell, Sandra Bruno, Associate in Miller Mayer’s Immigration practice group, member of the New York and Illinois State bars, law degree from Tulane University, 7/6/17, “Public Charge Ground of Inadmissibility”, https://www.natlawreview.com/article/public-charge-ground-inadmissibility)/CWB</w:t>
      </w:r>
    </w:p>
    <w:p w:rsidR="00E65063" w:rsidRDefault="00E65063" w:rsidP="00E65063">
      <w:pPr>
        <w:rPr>
          <w:rFonts w:cs="Calibri"/>
          <w:sz w:val="16"/>
        </w:rPr>
      </w:pPr>
      <w:r w:rsidRPr="00F933AF">
        <w:rPr>
          <w:rFonts w:cs="Calibri"/>
          <w:sz w:val="16"/>
        </w:rPr>
        <w:t xml:space="preserve">The old-fashioned term “public charge” causes consternation among individuals seeking to understand what behaviors may cause a green card holder or visitor to lose or be refused U.S. immigration status. Under INA Section 212(a)(4), an individual seeking admission to the United States or seeking to adjust status to that of an individual lawfully admitted for permanent residence (green card) is inadmissible if the individual, “at the time of application for admission or adjustment of status, is likely at any time to become a public charge.” U.S. immigration law defines “public charge” as a person who, by way of poverty, insanity, disease, or disability, would become a charge upon the public. </w:t>
      </w:r>
      <w:r w:rsidRPr="00F933AF">
        <w:rPr>
          <w:rStyle w:val="StyleUnderline"/>
          <w:rFonts w:cs="Calibri"/>
        </w:rPr>
        <w:t>In short, a public charge is an individual who is dependent on the government for subsistence. However, foreign nationals should be aware that receiving public benefits does not automatically constitute public charge inadmissibility.</w:t>
      </w:r>
      <w:r w:rsidRPr="00F933AF">
        <w:rPr>
          <w:rFonts w:cs="Calibri"/>
          <w:sz w:val="16"/>
        </w:rPr>
        <w:t xml:space="preserve"> Significantly, public charge inadmissibility is only considered in the context of applying for admission to the United States or adjustment of status (“AOS”). It is not a factor considered during the naturalization process. In other words, </w:t>
      </w:r>
      <w:r w:rsidRPr="00F933AF">
        <w:rPr>
          <w:rStyle w:val="StyleUnderline"/>
          <w:rFonts w:cs="Calibri"/>
        </w:rPr>
        <w:t>eligibility for naturalization is not affected by an individual’s status as a public charge. Additionally, public charge is not applicable during adjudication of Form I-829, Petition by Entrepreneur to Remove Conditions.</w:t>
      </w:r>
      <w:r w:rsidRPr="00F933AF">
        <w:rPr>
          <w:rFonts w:cs="Calibri"/>
          <w:sz w:val="16"/>
        </w:rPr>
        <w:t xml:space="preserve"> Determination of an Individual as a Public Charge In determining whether a foreign national meets the definition of public charge inadmissibility, a number of factors must be considered, including age, health, family status, assets, resources, financial status, education, and skills. </w:t>
      </w:r>
      <w:r w:rsidRPr="00F933AF">
        <w:rPr>
          <w:rStyle w:val="StyleUnderline"/>
          <w:rFonts w:cs="Calibri"/>
        </w:rPr>
        <w:t xml:space="preserve">Congress uses the “totality of the circumstances” to determine if an individual is or will be a public charge. Other than not filing Form I-864, Affidavit of Support, when required, no single factor will determine whether an individual is a public charge. For most cases, a </w:t>
      </w:r>
      <w:r w:rsidRPr="00F933AF">
        <w:rPr>
          <w:rFonts w:cs="Calibri"/>
          <w:sz w:val="16"/>
        </w:rPr>
        <w:t>properly filed, non-fraudulent</w:t>
      </w:r>
      <w:r w:rsidRPr="00F933AF">
        <w:rPr>
          <w:rStyle w:val="StyleUnderline"/>
          <w:rFonts w:cs="Calibri"/>
        </w:rPr>
        <w:t xml:space="preserve"> I-864 will sufficiently overcome the possibility of public charge inadmissibility</w:t>
      </w:r>
      <w:r w:rsidRPr="00F933AF">
        <w:rPr>
          <w:rFonts w:cs="Calibri"/>
          <w:sz w:val="16"/>
        </w:rPr>
        <w:t xml:space="preserve">. Note that the U.S. Department of State may find the foreign national likely to be a public charge, regardless of an I-864 on file, if the applicant has identifiable personal characteristics such as extreme age, chronic illness, or physical and/or mental handicaps. In each case, </w:t>
      </w:r>
      <w:r w:rsidRPr="00F933AF">
        <w:rPr>
          <w:rStyle w:val="StyleUnderline"/>
          <w:rFonts w:cs="Calibri"/>
        </w:rPr>
        <w:t>it is important to notice which benefits are subject to public charge inadmissibility and which benefits are not</w:t>
      </w:r>
      <w:r w:rsidRPr="00F933AF">
        <w:rPr>
          <w:rFonts w:cs="Calibri"/>
          <w:sz w:val="16"/>
        </w:rPr>
        <w:t xml:space="preserve">. Benefits Subject to Public Charge </w:t>
      </w:r>
      <w:proofErr w:type="gramStart"/>
      <w:r w:rsidRPr="00F933AF">
        <w:rPr>
          <w:rFonts w:cs="Calibri"/>
          <w:sz w:val="16"/>
        </w:rPr>
        <w:t>To</w:t>
      </w:r>
      <w:proofErr w:type="gramEnd"/>
      <w:r w:rsidRPr="00F933AF">
        <w:rPr>
          <w:rFonts w:cs="Calibri"/>
          <w:sz w:val="16"/>
        </w:rPr>
        <w:t xml:space="preserve"> determine inadmissibility, immigration law specifies a public charge as a foreign national that accepts cash assistance for income maintenance at the federal, state or local level. Cash assistance programs include Supplemental Security Income and Temporary Assistance for Needy Families. </w:t>
      </w:r>
      <w:r w:rsidRPr="00F933AF">
        <w:rPr>
          <w:rStyle w:val="StyleUnderline"/>
          <w:rFonts w:cs="Calibri"/>
        </w:rPr>
        <w:t>However, receipt of such benefits does not automatically make a foreign national inadmissible, ineligible to adjust status, or deportable, as each determination is made on a case-by-case basis</w:t>
      </w:r>
      <w:r w:rsidRPr="00F933AF">
        <w:rPr>
          <w:rFonts w:cs="Calibri"/>
          <w:sz w:val="16"/>
        </w:rPr>
        <w:t xml:space="preserve">. Additionally, Medicaid used to support foreign nationals residing in long-term care, such as in nursing homes or mental health institutions, may also be considered in a public charge evaluation. Short-term care for rehabilitation is not subject to the public charge consideration. Benefits Not Subject to Public Charge </w:t>
      </w:r>
      <w:r w:rsidRPr="00F933AF">
        <w:rPr>
          <w:rStyle w:val="StyleUnderline"/>
          <w:rFonts w:cs="Calibri"/>
        </w:rPr>
        <w:t>Under agency guidelines, non-cash benefits and special-purpose cash benefits not intended for income maintenance are not subject to public charge consideration. Medicaid and other health insurance and health services for short-term care, emergency disaster relief, Children’s Health Insurance Program (CHIP), and nutrition programs (e.g., food stamps, WIC, and/or school lunch programs) are included in this category</w:t>
      </w:r>
      <w:r w:rsidRPr="00F933AF">
        <w:rPr>
          <w:rFonts w:cs="Calibri"/>
          <w:sz w:val="16"/>
        </w:rPr>
        <w:t xml:space="preserve">. An extensive list of benefits not subject to public charge can be found at </w:t>
      </w:r>
      <w:hyperlink r:id="rId244" w:history="1">
        <w:r w:rsidRPr="00F933AF">
          <w:rPr>
            <w:rStyle w:val="Hyperlink"/>
            <w:rFonts w:cs="Calibri"/>
            <w:sz w:val="16"/>
          </w:rPr>
          <w:t>http://www.uscis.gov/news/fact-sheets/public-charge-fact-sheet</w:t>
        </w:r>
      </w:hyperlink>
      <w:r w:rsidRPr="00F933AF">
        <w:rPr>
          <w:rFonts w:cs="Calibri"/>
          <w:sz w:val="16"/>
        </w:rPr>
        <w:t xml:space="preserve">. Health Insurance </w:t>
      </w:r>
      <w:r w:rsidRPr="00F933AF">
        <w:rPr>
          <w:rStyle w:val="StyleUnderline"/>
          <w:rFonts w:cs="Calibri"/>
        </w:rPr>
        <w:t>Receipt of publicly funded or supported health insurance by a foreign national holding permanent resident status is not considered for public charge purposes and is not a ground of inadmissibility</w:t>
      </w:r>
      <w:r w:rsidRPr="00F933AF">
        <w:rPr>
          <w:rFonts w:cs="Calibri"/>
          <w:sz w:val="16"/>
        </w:rPr>
        <w:t xml:space="preserve">. The Affordable Care Act (“ACA” or “Obamacare”) health insurance law makes health insurance coverage mandatory for most Americans, including new immigrants. The provisions of the ACA have income tax implications and may depend on the law of the state of residence. U.S. Citizenship and Immigration Services (“USCIS”) states that enrollment in the state-sponsored ACA programs, including Medicaid or state Medicaid programs such as Medi-Cal, does not raise public charge issues for new immigrants. See </w:t>
      </w:r>
      <w:hyperlink r:id="rId245" w:history="1">
        <w:r w:rsidRPr="00F933AF">
          <w:rPr>
            <w:rStyle w:val="Hyperlink"/>
            <w:rFonts w:cs="Calibri"/>
            <w:sz w:val="16"/>
          </w:rPr>
          <w:t>https://www.uscis.gov/green-card/green-card-processes-and-procedures/public-charge</w:t>
        </w:r>
      </w:hyperlink>
      <w:r w:rsidRPr="00F933AF">
        <w:rPr>
          <w:rFonts w:cs="Calibri"/>
          <w:sz w:val="16"/>
        </w:rPr>
        <w:t xml:space="preserve">. The U.S. government website for the ACA, </w:t>
      </w:r>
      <w:hyperlink r:id="rId246" w:history="1">
        <w:r w:rsidRPr="00F933AF">
          <w:rPr>
            <w:rStyle w:val="Hyperlink"/>
            <w:rFonts w:cs="Calibri"/>
            <w:sz w:val="16"/>
          </w:rPr>
          <w:t>www.healthcare.gov</w:t>
        </w:r>
      </w:hyperlink>
      <w:r w:rsidRPr="00F933AF">
        <w:rPr>
          <w:rFonts w:cs="Calibri"/>
          <w:sz w:val="16"/>
        </w:rPr>
        <w:t xml:space="preserve">, also has information for new immigrants, including </w:t>
      </w:r>
      <w:hyperlink r:id="rId247" w:history="1">
        <w:r w:rsidRPr="00F933AF">
          <w:rPr>
            <w:rStyle w:val="Hyperlink"/>
            <w:rFonts w:cs="Calibri"/>
            <w:sz w:val="16"/>
          </w:rPr>
          <w:t>documents needed to apply for health insurance</w:t>
        </w:r>
      </w:hyperlink>
      <w:r w:rsidRPr="00F933AF">
        <w:rPr>
          <w:rFonts w:cs="Calibri"/>
          <w:sz w:val="16"/>
        </w:rPr>
        <w:t xml:space="preserve">, </w:t>
      </w:r>
      <w:hyperlink r:id="rId248" w:history="1">
        <w:r w:rsidRPr="00F933AF">
          <w:rPr>
            <w:rStyle w:val="Hyperlink"/>
            <w:rFonts w:cs="Calibri"/>
            <w:sz w:val="16"/>
          </w:rPr>
          <w:t>health insurance options for families</w:t>
        </w:r>
      </w:hyperlink>
      <w:r w:rsidRPr="00F933AF">
        <w:rPr>
          <w:rFonts w:cs="Calibri"/>
          <w:sz w:val="16"/>
        </w:rPr>
        <w:t xml:space="preserve">, and </w:t>
      </w:r>
      <w:hyperlink r:id="rId249" w:history="1">
        <w:r w:rsidRPr="00F933AF">
          <w:rPr>
            <w:rStyle w:val="Hyperlink"/>
            <w:rFonts w:cs="Calibri"/>
            <w:sz w:val="16"/>
          </w:rPr>
          <w:t>how immigration status affects foreign nationals’ eligibility for insurance</w:t>
        </w:r>
      </w:hyperlink>
      <w:r w:rsidRPr="00F933AF">
        <w:rPr>
          <w:rFonts w:cs="Calibri"/>
          <w:sz w:val="16"/>
        </w:rPr>
        <w:t>.</w:t>
      </w:r>
    </w:p>
    <w:p w:rsidR="004D4BE7" w:rsidRDefault="004D4BE7" w:rsidP="004D4BE7">
      <w:pPr>
        <w:pStyle w:val="Heading4"/>
      </w:pPr>
      <w:r>
        <w:t>Clarification doesn’t resolve immigrant distrust in using public health services and will only get circumvented—empirics prove</w:t>
      </w:r>
    </w:p>
    <w:p w:rsidR="004D4BE7" w:rsidRPr="00C95B8A" w:rsidRDefault="004D4BE7" w:rsidP="004D4BE7">
      <w:r>
        <w:rPr>
          <w:b/>
        </w:rPr>
        <w:t xml:space="preserve">Watson 10 </w:t>
      </w:r>
      <w:r w:rsidRPr="00C95B8A">
        <w:rPr>
          <w:sz w:val="18"/>
          <w:szCs w:val="18"/>
        </w:rPr>
        <w:t>(Tara Watson, “Inside the Refrigerator: Immigration Enforcement and Chilling Effects in Medicaid Participation,” NBER, 11/2010, pg.12, https://pdfs.semanticscholar.org/93b9/99723694a6164cfdc594b959ff625ae52455.pdf)</w:t>
      </w:r>
      <w:r>
        <w:rPr>
          <w:sz w:val="18"/>
          <w:szCs w:val="18"/>
        </w:rPr>
        <w:t>//jy</w:t>
      </w:r>
    </w:p>
    <w:p w:rsidR="004D4BE7" w:rsidRDefault="004D4BE7" w:rsidP="004D4BE7">
      <w:pPr>
        <w:rPr>
          <w:sz w:val="14"/>
        </w:rPr>
      </w:pPr>
      <w:r w:rsidRPr="00C95B8A">
        <w:rPr>
          <w:u w:val="single"/>
        </w:rPr>
        <w:t>INS policy could influence</w:t>
      </w:r>
      <w:r w:rsidRPr="00C95B8A">
        <w:rPr>
          <w:sz w:val="14"/>
        </w:rPr>
        <w:t xml:space="preserve"> the program </w:t>
      </w:r>
      <w:r w:rsidRPr="00C95B8A">
        <w:rPr>
          <w:u w:val="single"/>
        </w:rPr>
        <w:t>participation decisions even for l</w:t>
      </w:r>
      <w:r w:rsidRPr="00C95B8A">
        <w:rPr>
          <w:sz w:val="14"/>
        </w:rPr>
        <w:t xml:space="preserve">egal </w:t>
      </w:r>
      <w:r w:rsidRPr="00C95B8A">
        <w:rPr>
          <w:u w:val="single"/>
        </w:rPr>
        <w:t>p</w:t>
      </w:r>
      <w:r w:rsidRPr="00C95B8A">
        <w:rPr>
          <w:sz w:val="14"/>
        </w:rPr>
        <w:t xml:space="preserve">ermanent </w:t>
      </w:r>
      <w:r w:rsidRPr="00C95B8A">
        <w:rPr>
          <w:u w:val="single"/>
        </w:rPr>
        <w:t>r</w:t>
      </w:r>
      <w:r w:rsidRPr="00C95B8A">
        <w:rPr>
          <w:sz w:val="14"/>
        </w:rPr>
        <w:t>esident</w:t>
      </w:r>
      <w:r w:rsidRPr="00C95B8A">
        <w:rPr>
          <w:u w:val="single"/>
        </w:rPr>
        <w:t>s</w:t>
      </w:r>
      <w:r w:rsidRPr="00C95B8A">
        <w:rPr>
          <w:sz w:val="14"/>
        </w:rPr>
        <w:t xml:space="preserve">. For example, </w:t>
      </w:r>
      <w:r w:rsidRPr="00C95B8A">
        <w:rPr>
          <w:u w:val="single"/>
        </w:rPr>
        <w:t>the welfare reform bill reiterated</w:t>
      </w:r>
      <w:r w:rsidRPr="00C95B8A">
        <w:rPr>
          <w:sz w:val="14"/>
        </w:rPr>
        <w:t xml:space="preserve"> a long-standing doctrine </w:t>
      </w:r>
      <w:r w:rsidRPr="00C95B8A">
        <w:rPr>
          <w:u w:val="single"/>
        </w:rPr>
        <w:t>that immigrants deemed a “public charge” could be deported or denied future citizenship.</w:t>
      </w:r>
      <w:r w:rsidRPr="00C95B8A">
        <w:rPr>
          <w:sz w:val="14"/>
        </w:rPr>
        <w:t xml:space="preserve"> Though “public charge” deportations have rarely been implemented in the post-war period, the term was not defined in the legislation</w:t>
      </w:r>
      <w:r w:rsidRPr="00C95B8A">
        <w:rPr>
          <w:u w:val="single"/>
        </w:rPr>
        <w:t xml:space="preserve">. It was not until late 1997 that a clarification was made indicating that occasional use of safety net services would not be grounds for deportation or denial of citizenship. Nevertheless, </w:t>
      </w:r>
      <w:r w:rsidRPr="00C95B8A">
        <w:rPr>
          <w:b/>
          <w:u w:val="single"/>
        </w:rPr>
        <w:t>even after that date there were reports of immigrants being told that participation in public programs could jeopardize their immigration status</w:t>
      </w:r>
      <w:r w:rsidRPr="00C95B8A">
        <w:rPr>
          <w:sz w:val="14"/>
        </w:rPr>
        <w:t xml:space="preserve"> (Schlosberg and Wiley, 1998). </w:t>
      </w:r>
      <w:r w:rsidRPr="00C95B8A">
        <w:rPr>
          <w:u w:val="single"/>
        </w:rPr>
        <w:t xml:space="preserve">A 1999 INS document specifies that permission to (re-)enter the United States or obtain a green card could be linked to an immigrant’s use of cash benefits, an immigrant’s child’s use of cash benefits, or an immigrant’s use of medical benefits for long term care </w:t>
      </w:r>
      <w:r w:rsidRPr="00C95B8A">
        <w:rPr>
          <w:sz w:val="14"/>
        </w:rPr>
        <w:t>(National Immigration Law Center, 2009). Heightened enforcement could intensify fears about public charge consequences of benefit use.</w:t>
      </w:r>
    </w:p>
    <w:p w:rsidR="004D4BE7" w:rsidRDefault="004D4BE7" w:rsidP="004D4BE7">
      <w:pPr>
        <w:pStyle w:val="Heading4"/>
      </w:pPr>
      <w:r>
        <w:t>Immigrants with LPR status still experience effects of the “chilling effect”—plan can’t solve</w:t>
      </w:r>
    </w:p>
    <w:p w:rsidR="004D4BE7" w:rsidRPr="00282C4C" w:rsidRDefault="004D4BE7" w:rsidP="004D4BE7">
      <w:r>
        <w:rPr>
          <w:b/>
        </w:rPr>
        <w:t>Pedraza and Zhu 15</w:t>
      </w:r>
      <w:r w:rsidRPr="00282C4C">
        <w:rPr>
          <w:b/>
          <w:sz w:val="18"/>
          <w:szCs w:val="18"/>
        </w:rPr>
        <w:t xml:space="preserve"> </w:t>
      </w:r>
      <w:r w:rsidRPr="00282C4C">
        <w:rPr>
          <w:sz w:val="18"/>
          <w:szCs w:val="18"/>
        </w:rPr>
        <w:t>(Francisco I. Pedraza and Ling Zhu, “The ‘Chilling Effect’ of America’s New Immigration Enforcement Regime,” Pathways Spring, 2015, pg. 17, https://inequality.stanford.edu/sites/default/files/media/_media/pdf/pathways/spring_2015/Pathways_Spring_2015_Pedraza_Zhu.pdf)//jy</w:t>
      </w:r>
    </w:p>
    <w:p w:rsidR="004D4BE7" w:rsidRDefault="004D4BE7" w:rsidP="004D4BE7">
      <w:pPr>
        <w:rPr>
          <w:sz w:val="14"/>
        </w:rPr>
      </w:pPr>
      <w:r w:rsidRPr="00282C4C">
        <w:rPr>
          <w:sz w:val="14"/>
        </w:rPr>
        <w:t xml:space="preserve">In another result from our analysis, one that is not illustrated in the panels, </w:t>
      </w:r>
      <w:r w:rsidRPr="00282C4C">
        <w:rPr>
          <w:u w:val="single"/>
        </w:rPr>
        <w:t>we find no evidence of a “chilling effect” for naturalized citizens</w:t>
      </w:r>
      <w:r w:rsidRPr="00282C4C">
        <w:rPr>
          <w:sz w:val="14"/>
        </w:rPr>
        <w:t xml:space="preserve">, whether Hispanic or non-Hispanic white. It is possible that lessons about civil rights and liberties, and </w:t>
      </w:r>
      <w:r w:rsidRPr="00282C4C">
        <w:rPr>
          <w:u w:val="single"/>
        </w:rPr>
        <w:t>the civic transformation that accompanies the naturalization process, empower new citizens to access public services no matter the extent of immigration enforcement where they live</w:t>
      </w:r>
      <w:r w:rsidRPr="00282C4C">
        <w:rPr>
          <w:sz w:val="14"/>
        </w:rPr>
        <w:t xml:space="preserve">. By contrast, noncitizens (which </w:t>
      </w:r>
      <w:r w:rsidRPr="00282C4C">
        <w:rPr>
          <w:u w:val="single"/>
        </w:rPr>
        <w:t>include</w:t>
      </w:r>
      <w:r w:rsidRPr="00282C4C">
        <w:rPr>
          <w:sz w:val="14"/>
        </w:rPr>
        <w:t xml:space="preserve"> undocumented immigrants, </w:t>
      </w:r>
      <w:r w:rsidRPr="00282C4C">
        <w:rPr>
          <w:u w:val="single"/>
        </w:rPr>
        <w:t>legal permanent residents</w:t>
      </w:r>
      <w:r w:rsidRPr="00282C4C">
        <w:rPr>
          <w:sz w:val="14"/>
        </w:rPr>
        <w:t xml:space="preserve">, or other authorized immigrants) </w:t>
      </w:r>
      <w:r w:rsidRPr="00282C4C">
        <w:rPr>
          <w:u w:val="single"/>
        </w:rPr>
        <w:t>do appear sensitive to</w:t>
      </w:r>
      <w:r w:rsidRPr="00282C4C">
        <w:rPr>
          <w:sz w:val="14"/>
        </w:rPr>
        <w:t xml:space="preserve"> sComm </w:t>
      </w:r>
      <w:r w:rsidRPr="00282C4C">
        <w:rPr>
          <w:u w:val="single"/>
        </w:rPr>
        <w:t>enforcement,</w:t>
      </w:r>
      <w:r w:rsidRPr="00282C4C">
        <w:rPr>
          <w:sz w:val="14"/>
        </w:rPr>
        <w:t xml:space="preserve"> especially nonHispanic whites. However, this evidence of a “chilling effect” is much weaker and more uncertain.</w:t>
      </w:r>
    </w:p>
    <w:p w:rsidR="004D4BE7" w:rsidRDefault="004D4BE7" w:rsidP="004D4BE7">
      <w:pPr>
        <w:rPr>
          <w:sz w:val="14"/>
        </w:rPr>
      </w:pPr>
    </w:p>
    <w:p w:rsidR="004D4BE7" w:rsidRDefault="004D4BE7" w:rsidP="00E65063">
      <w:pPr>
        <w:rPr>
          <w:rFonts w:cs="Calibri"/>
          <w:sz w:val="16"/>
        </w:rPr>
      </w:pPr>
    </w:p>
    <w:p w:rsidR="009B5BE6" w:rsidRPr="006804BB" w:rsidRDefault="009B5BE6" w:rsidP="009B5BE6">
      <w:pPr>
        <w:pStyle w:val="Heading3"/>
      </w:pPr>
      <w:r>
        <w:t>2nc</w:t>
      </w:r>
      <w:r w:rsidR="00035F66">
        <w:t xml:space="preserve"> </w:t>
      </w:r>
      <w:r>
        <w:t>– Clarification/Culture Thumpers</w:t>
      </w:r>
    </w:p>
    <w:p w:rsidR="006804BB" w:rsidRDefault="006804BB" w:rsidP="006804BB">
      <w:pPr>
        <w:pStyle w:val="Heading4"/>
      </w:pPr>
      <w:r>
        <w:t xml:space="preserve">The “chilling effect” is inevitable and drastic change could just make things worse – lack of clarification destroys trust and misinformation makes immigrants even more likely to pull out </w:t>
      </w:r>
    </w:p>
    <w:p w:rsidR="006804BB" w:rsidRDefault="006804BB" w:rsidP="006804BB">
      <w:pPr>
        <w:rPr>
          <w:rStyle w:val="Style13ptBold"/>
          <w:rFonts w:cs="Calibri"/>
          <w:b w:val="0"/>
          <w:color w:val="000000" w:themeColor="text1"/>
          <w:sz w:val="16"/>
          <w:szCs w:val="16"/>
        </w:rPr>
      </w:pPr>
      <w:r>
        <w:rPr>
          <w:rStyle w:val="Style13ptBold"/>
        </w:rPr>
        <w:t>Park 10</w:t>
      </w:r>
      <w:r w:rsidRPr="00BA15E1">
        <w:rPr>
          <w:rStyle w:val="Style13ptBold"/>
          <w:rFonts w:cs="Calibri"/>
          <w:b w:val="0"/>
          <w:color w:val="000000" w:themeColor="text1"/>
          <w:sz w:val="16"/>
          <w:szCs w:val="16"/>
        </w:rPr>
        <w:t xml:space="preserve">, Lisa Sun-Hee - </w:t>
      </w:r>
      <w:r w:rsidRPr="00BA15E1">
        <w:rPr>
          <w:rFonts w:cs="Calibri"/>
          <w:color w:val="000000" w:themeColor="text1"/>
          <w:sz w:val="16"/>
          <w:szCs w:val="16"/>
          <w:shd w:val="clear" w:color="auto" w:fill="FFFFFF"/>
        </w:rPr>
        <w:t>associate professor of sociology and Asian American studies at the University of Minnesota. She is currently completing a project on the impact of welfare and immigration policies on Asian and Latina immigrant women’s health care access </w:t>
      </w:r>
      <w:hyperlink r:id="rId250" w:history="1">
        <w:r w:rsidRPr="00BA15E1">
          <w:rPr>
            <w:rStyle w:val="Hyperlink"/>
            <w:rFonts w:cs="Calibri"/>
            <w:color w:val="000000" w:themeColor="text1"/>
            <w:sz w:val="16"/>
            <w:szCs w:val="16"/>
          </w:rPr>
          <w:t>Journal of Asian American Studies</w:t>
        </w:r>
      </w:hyperlink>
      <w:r w:rsidRPr="00BA15E1">
        <w:rPr>
          <w:rFonts w:cs="Calibri"/>
          <w:color w:val="000000" w:themeColor="text1"/>
          <w:sz w:val="16"/>
          <w:szCs w:val="16"/>
        </w:rPr>
        <w:t xml:space="preserve">, </w:t>
      </w:r>
      <w:hyperlink r:id="rId251" w:history="1">
        <w:r w:rsidRPr="00BA15E1">
          <w:rPr>
            <w:rStyle w:val="Hyperlink"/>
            <w:rFonts w:cs="Calibri"/>
            <w:color w:val="000000" w:themeColor="text1"/>
            <w:sz w:val="16"/>
            <w:szCs w:val="16"/>
          </w:rPr>
          <w:t>Volume 13, Number 3, October 2010</w:t>
        </w:r>
      </w:hyperlink>
      <w:r w:rsidRPr="00BA15E1">
        <w:rPr>
          <w:rFonts w:cs="Calibri"/>
          <w:color w:val="000000" w:themeColor="text1"/>
          <w:sz w:val="16"/>
          <w:szCs w:val="16"/>
        </w:rPr>
        <w:t xml:space="preserve"> </w:t>
      </w:r>
      <w:hyperlink r:id="rId252" w:history="1">
        <w:r w:rsidRPr="00BA15E1">
          <w:rPr>
            <w:rStyle w:val="Hyperlink"/>
            <w:rFonts w:cs="Calibri"/>
            <w:color w:val="000000" w:themeColor="text1"/>
            <w:sz w:val="16"/>
            <w:szCs w:val="16"/>
          </w:rPr>
          <w:t>Johns Hopkins University Press</w:t>
        </w:r>
      </w:hyperlink>
      <w:r w:rsidRPr="00BA15E1">
        <w:rPr>
          <w:rFonts w:cs="Calibri"/>
          <w:b/>
          <w:color w:val="000000" w:themeColor="text1"/>
          <w:sz w:val="16"/>
          <w:szCs w:val="16"/>
        </w:rPr>
        <w:t xml:space="preserve"> </w:t>
      </w:r>
      <w:r w:rsidRPr="00BA15E1">
        <w:rPr>
          <w:rStyle w:val="Style13ptBold"/>
          <w:rFonts w:cs="Calibri"/>
          <w:b w:val="0"/>
          <w:color w:val="000000" w:themeColor="text1"/>
          <w:sz w:val="16"/>
          <w:szCs w:val="16"/>
        </w:rPr>
        <w:t xml:space="preserve"> “Challenging Public Charge Policy” pg. 377-382</w:t>
      </w:r>
      <w:r>
        <w:rPr>
          <w:rStyle w:val="Style13ptBold"/>
          <w:rFonts w:cs="Calibri"/>
          <w:b w:val="0"/>
          <w:color w:val="000000" w:themeColor="text1"/>
          <w:sz w:val="16"/>
          <w:szCs w:val="16"/>
        </w:rPr>
        <w:t>//mr</w:t>
      </w:r>
    </w:p>
    <w:p w:rsidR="006804BB" w:rsidRPr="00BA15E1" w:rsidRDefault="006804BB" w:rsidP="006804BB">
      <w:pPr>
        <w:rPr>
          <w:u w:val="single"/>
        </w:rPr>
      </w:pPr>
      <w:r w:rsidRPr="00BA15E1">
        <w:rPr>
          <w:rFonts w:cs="Calibri"/>
          <w:color w:val="000000" w:themeColor="text1"/>
          <w:u w:val="single"/>
        </w:rPr>
        <w:t>According to this attorney, the severe misapplication of this law occurred with the passage of welfare reform in 1996.</w:t>
      </w:r>
      <w:r w:rsidRPr="00BA15E1">
        <w:rPr>
          <w:rFonts w:cs="Calibri"/>
          <w:color w:val="000000" w:themeColor="text1"/>
          <w:sz w:val="16"/>
        </w:rPr>
        <w:t xml:space="preserve"> She explains: “</w:t>
      </w:r>
      <w:r w:rsidRPr="00BA15E1">
        <w:rPr>
          <w:rFonts w:cs="Calibri"/>
          <w:color w:val="000000" w:themeColor="text1"/>
          <w:u w:val="single"/>
        </w:rPr>
        <w:t>The main thing that happened was that across the country there were a lot of abuses of existing law. The clarification was merely a clarification of existing law. But after the welfare law passed, there was a lot of misinformation about whether the law had changed.</w:t>
      </w:r>
      <w:r w:rsidRPr="00BA15E1">
        <w:rPr>
          <w:rFonts w:cs="Calibri"/>
          <w:color w:val="000000" w:themeColor="text1"/>
          <w:sz w:val="16"/>
        </w:rPr>
        <w:t xml:space="preserve">” Given the intense nativist sentiments and </w:t>
      </w:r>
      <w:r w:rsidRPr="00BA15E1">
        <w:rPr>
          <w:rStyle w:val="Strong"/>
          <w:rFonts w:cs="Calibri"/>
          <w:color w:val="000000" w:themeColor="text1"/>
          <w:sz w:val="16"/>
        </w:rPr>
        <w:t>[End Page 378]</w:t>
      </w:r>
      <w:r w:rsidRPr="00BA15E1">
        <w:rPr>
          <w:rStyle w:val="Strong"/>
          <w:rFonts w:eastAsiaTheme="majorEastAsia" w:cs="Calibri"/>
          <w:color w:val="000000" w:themeColor="text1"/>
          <w:sz w:val="16"/>
        </w:rPr>
        <w:t xml:space="preserve"> </w:t>
      </w:r>
      <w:r w:rsidRPr="00BA15E1">
        <w:rPr>
          <w:rFonts w:cs="Calibri"/>
          <w:color w:val="000000" w:themeColor="text1"/>
          <w:sz w:val="16"/>
        </w:rPr>
        <w:t>neoliberal fixation on personal responsibility that brought about Proposition 187 in California, and the federal welfare and immigration laws, the clarification was viewed as a significant win. Crucial to this win was a broad-based mobilization. Legal advocates and community health care providers were able to convince the Department of Justice and the INS to issue new field guidelines regarding the regulation of public charge in response to the growing confusion surrounding its definition and the standards by which this measure was applied. In May 1999, it was clarified that noncash benefits, such as Medicaid (and special-purpose benefits), that are not intended for income maintenance are not subject to public charge consideration.</w:t>
      </w:r>
      <w:bookmarkStart w:id="81" w:name="f16-text"/>
      <w:r w:rsidRPr="00BA15E1">
        <w:rPr>
          <w:rFonts w:cs="Calibri"/>
          <w:color w:val="000000" w:themeColor="text1"/>
          <w:sz w:val="16"/>
        </w:rPr>
        <w:fldChar w:fldCharType="begin"/>
      </w:r>
      <w:r w:rsidRPr="00BA15E1">
        <w:rPr>
          <w:rFonts w:cs="Calibri"/>
          <w:color w:val="000000" w:themeColor="text1"/>
          <w:sz w:val="16"/>
        </w:rPr>
        <w:instrText xml:space="preserve"> HYPERLINK "https://muse-jhu-edu.proxy.lib.umich.edu/article/400041" \l "f16" </w:instrText>
      </w:r>
      <w:r w:rsidRPr="00BA15E1">
        <w:rPr>
          <w:rFonts w:cs="Calibri"/>
          <w:color w:val="000000" w:themeColor="text1"/>
          <w:sz w:val="16"/>
        </w:rPr>
        <w:fldChar w:fldCharType="separate"/>
      </w:r>
      <w:r w:rsidRPr="00BA15E1">
        <w:rPr>
          <w:rStyle w:val="Hyperlink"/>
          <w:rFonts w:cs="Calibri"/>
          <w:color w:val="000000" w:themeColor="text1"/>
          <w:sz w:val="16"/>
          <w:szCs w:val="18"/>
          <w:vertAlign w:val="superscript"/>
        </w:rPr>
        <w:t>16</w:t>
      </w:r>
      <w:r w:rsidRPr="00BA15E1">
        <w:rPr>
          <w:rFonts w:cs="Calibri"/>
          <w:color w:val="000000" w:themeColor="text1"/>
          <w:sz w:val="16"/>
        </w:rPr>
        <w:fldChar w:fldCharType="end"/>
      </w:r>
      <w:bookmarkEnd w:id="81"/>
      <w:r w:rsidRPr="00BA15E1">
        <w:rPr>
          <w:rFonts w:cs="Calibri"/>
          <w:color w:val="000000" w:themeColor="text1"/>
          <w:sz w:val="16"/>
        </w:rPr>
        <w:t xml:space="preserve"> In other words, the use of Medi-Cal or other health services alone will not affect immigration status unless these and other government funds are used to pay for long-term care (that is, nursing home or other institutionalized care). Also, the use of food stamps, WIC (Women, Infant, and Children—a supplemental nutritional program), public housing or other noncash programs is protected from public charge consideration. However, receipt of cash welfare or general assistance may affect one’s immigration status. In assessing their successful challenge to public charge determination, immigrant advocates effectively employed two key strategies that were crucial in stemming the anti-immigrant sentiment, at least to some extent. First, a broad network of advocates—of various racial/ethnic backgrounds and citizenship status—created a systemic approach to information dissemination. Second, this coalition worked to intervene and insert an alternative understanding of the effects of public charge applications and essentially flipped the standard script of the legislation’s intent. The first strategy required comprehending the issue in broad-based terms to bring together various stakeholders or participants who are affected. Advocates and community constituents developed a system of gathering solid, accurate information in response to state discourse, which was largely silent if not misleading on the issue of public charge. As one advocate explained, we have to figure out “what it takes to educate everyone in the </w:t>
      </w:r>
      <w:r w:rsidRPr="00BA15E1">
        <w:rPr>
          <w:rStyle w:val="Strong"/>
          <w:rFonts w:cs="Calibri"/>
          <w:color w:val="000000" w:themeColor="text1"/>
          <w:sz w:val="16"/>
        </w:rPr>
        <w:t>[End Page 379]</w:t>
      </w:r>
      <w:r w:rsidRPr="00BA15E1">
        <w:rPr>
          <w:rStyle w:val="Strong"/>
          <w:rFonts w:eastAsiaTheme="majorEastAsia" w:cs="Calibri"/>
          <w:color w:val="000000" w:themeColor="text1"/>
          <w:sz w:val="16"/>
        </w:rPr>
        <w:t xml:space="preserve"> </w:t>
      </w:r>
      <w:r w:rsidRPr="00BA15E1">
        <w:rPr>
          <w:rFonts w:cs="Calibri"/>
          <w:color w:val="000000" w:themeColor="text1"/>
          <w:sz w:val="16"/>
        </w:rPr>
        <w:t xml:space="preserve">system at the appropriate junctures.” An up-to-date networking structure is imperative in this systemic approach that links together a wide spectrum of knowledge and that can flow from one end to the other. The formal two-page clarification of public charge policy came from the INS only after years of concentrated pressure that was strategically organized by these advocates. Community health workers meticulously documented the effects of this misapplication by governmental agencies and “flipped” the “personal responsibility” trope on its head and placed the responsibility of clearing up the confusion on the state. The power of these stories, in addition to the shaky legal grounds on which the PED programs stood, pushed the federal government to more clearly limit the reach of public charge policy. The second strategy required meticulous readings of policies (particularly when new laws were introduced) in order to ascertain the most effective way to insert the alternative narratives of policy impacts. These personal stories relayed by community clinics and organizations were used as powerful correctives to governmental narratives. An advocate based in San Francisco explained, “We always have to be monitoring and vigilant. Bureaucracies make mistakes, either intentionally or willfully, so we have to pay attention. . . . </w:t>
      </w:r>
      <w:r w:rsidRPr="00BA15E1">
        <w:rPr>
          <w:rFonts w:cs="Calibri"/>
          <w:color w:val="000000" w:themeColor="text1"/>
          <w:u w:val="single"/>
        </w:rPr>
        <w:t>Getting people networked and hooked up to the same kind of educational and information-sharing systems is a huge challenge</w:t>
      </w:r>
      <w:r w:rsidRPr="00BA15E1">
        <w:rPr>
          <w:rFonts w:cs="Calibri"/>
          <w:color w:val="000000" w:themeColor="text1"/>
          <w:sz w:val="16"/>
        </w:rPr>
        <w:t xml:space="preserve">.” It is a tedious but necessary foundation of their advocacy. These protectors of immigrant rights are part of a loosely structured coalition of nonprofit organizations that, in effect, function as a regulatory body keeping governmental actions in check. Their jobs require that they know not only the language of the state and regulation but also their intersection with other policies and how they are actually experienced by people. In assessing their overall efforts, the </w:t>
      </w:r>
      <w:r w:rsidRPr="00BA15E1">
        <w:rPr>
          <w:rFonts w:cs="Calibri"/>
          <w:color w:val="000000" w:themeColor="text1"/>
          <w:u w:val="single"/>
        </w:rPr>
        <w:t>advocates are pragmatic about their short-term gains and more than a little ambivalent about long-term impacts</w:t>
      </w:r>
      <w:r w:rsidRPr="00BA15E1">
        <w:rPr>
          <w:rFonts w:cs="Calibri"/>
          <w:color w:val="000000" w:themeColor="text1"/>
          <w:sz w:val="16"/>
        </w:rPr>
        <w:t>. One advocate said, “</w:t>
      </w:r>
      <w:r w:rsidRPr="00BA15E1">
        <w:rPr>
          <w:rFonts w:cs="Calibri"/>
          <w:color w:val="000000" w:themeColor="text1"/>
          <w:u w:val="single"/>
        </w:rPr>
        <w:t>I don’t think any of us want to minimize the impact of that [clarification] victory, but at the same time the difficulty is, when we look at the 1996 welfare reform, the impact of the law was so devastating that I don’t think we’ll ever be able to get back to the point where we can finally say things are safe.</w:t>
      </w:r>
      <w:r w:rsidRPr="00BA15E1">
        <w:rPr>
          <w:rFonts w:cs="Calibri"/>
          <w:color w:val="000000" w:themeColor="text1"/>
          <w:sz w:val="16"/>
        </w:rPr>
        <w:t xml:space="preserve">” </w:t>
      </w:r>
      <w:r w:rsidRPr="00BA15E1">
        <w:rPr>
          <w:rFonts w:cs="Calibri"/>
          <w:color w:val="000000" w:themeColor="text1"/>
          <w:u w:val="single"/>
        </w:rPr>
        <w:t>As important as clarification is from a policy standpoint, it did not resolve all public charge issues nor did it increase an overall sense of freedom or security for Asian and Latino/</w:t>
      </w:r>
      <w:proofErr w:type="gramStart"/>
      <w:r w:rsidRPr="00BA15E1">
        <w:rPr>
          <w:rFonts w:cs="Calibri"/>
          <w:color w:val="000000" w:themeColor="text1"/>
          <w:u w:val="single"/>
        </w:rPr>
        <w:t>a</w:t>
      </w:r>
      <w:proofErr w:type="gramEnd"/>
      <w:r w:rsidRPr="00BA15E1">
        <w:rPr>
          <w:rFonts w:cs="Calibri"/>
          <w:color w:val="000000" w:themeColor="text1"/>
          <w:u w:val="single"/>
        </w:rPr>
        <w:t xml:space="preserve"> immigrant families</w:t>
      </w:r>
      <w:r w:rsidRPr="00BA15E1">
        <w:rPr>
          <w:rFonts w:cs="Calibri"/>
          <w:color w:val="000000" w:themeColor="text1"/>
          <w:sz w:val="16"/>
        </w:rPr>
        <w:t>. One advocate recalled her disappointment from “</w:t>
      </w:r>
      <w:r w:rsidRPr="00BA15E1">
        <w:rPr>
          <w:rFonts w:cs="Calibri"/>
          <w:color w:val="000000" w:themeColor="text1"/>
          <w:u w:val="single"/>
        </w:rPr>
        <w:t>just peeling off one layer of issues [to find] that there were other issues that remained</w:t>
      </w:r>
      <w:r w:rsidRPr="00BA15E1">
        <w:rPr>
          <w:rFonts w:cs="Calibri"/>
          <w:color w:val="000000" w:themeColor="text1"/>
          <w:sz w:val="16"/>
        </w:rPr>
        <w:t xml:space="preserve">.” Perhaps </w:t>
      </w:r>
      <w:r w:rsidRPr="00BA15E1">
        <w:rPr>
          <w:rFonts w:cs="Calibri"/>
          <w:color w:val="000000" w:themeColor="text1"/>
          <w:u w:val="single"/>
        </w:rPr>
        <w:t>the biggest source of continued confusion for immigrant families is that public charge law still exists, just in more prescribed terms</w:t>
      </w:r>
      <w:r w:rsidRPr="00BA15E1">
        <w:rPr>
          <w:rFonts w:cs="Calibri"/>
          <w:color w:val="000000" w:themeColor="text1"/>
          <w:sz w:val="16"/>
        </w:rPr>
        <w:t xml:space="preserve">. </w:t>
      </w:r>
      <w:r w:rsidRPr="00BA15E1">
        <w:rPr>
          <w:rFonts w:cs="Calibri"/>
          <w:color w:val="000000" w:themeColor="text1"/>
          <w:u w:val="single"/>
        </w:rPr>
        <w:t xml:space="preserve">Pressing questions remain, including what kinds of benefits recipients are obligated to repay, and what, if any, avenues of appeal or legal waivers are possible. </w:t>
      </w:r>
      <w:r w:rsidRPr="00BA15E1">
        <w:rPr>
          <w:rFonts w:cs="Calibri"/>
          <w:color w:val="000000" w:themeColor="text1"/>
          <w:sz w:val="16"/>
        </w:rPr>
        <w:t xml:space="preserve">However, </w:t>
      </w:r>
      <w:r w:rsidRPr="00BA15E1">
        <w:rPr>
          <w:rFonts w:cs="Calibri"/>
          <w:b/>
          <w:color w:val="000000" w:themeColor="text1"/>
          <w:u w:val="single"/>
        </w:rPr>
        <w:t>a policy analyst cautioned against rushing into a situation that would make things worse for those for whom they are advocating. Peeling back all layers of a policy at once may not be the best strategy</w:t>
      </w:r>
      <w:r w:rsidRPr="00BA15E1">
        <w:rPr>
          <w:rFonts w:cs="Calibri"/>
          <w:color w:val="000000" w:themeColor="text1"/>
          <w:sz w:val="16"/>
        </w:rPr>
        <w:t xml:space="preserve">. The analyst explained, “The policy that was passed in 1996 is so horrible that quite frankly </w:t>
      </w:r>
      <w:r w:rsidRPr="00BA15E1">
        <w:rPr>
          <w:rFonts w:cs="Calibri"/>
          <w:color w:val="000000" w:themeColor="text1"/>
          <w:u w:val="single"/>
        </w:rPr>
        <w:t>we don’t know what a clarification would look like and whether or not the government would come out with something that again would scare people away from accessing things they’re entitled to</w:t>
      </w:r>
      <w:r w:rsidRPr="00BA15E1">
        <w:rPr>
          <w:rFonts w:cs="Calibri"/>
          <w:color w:val="000000" w:themeColor="text1"/>
          <w:sz w:val="16"/>
        </w:rPr>
        <w:t xml:space="preserve">.” </w:t>
      </w:r>
      <w:r w:rsidRPr="00BA15E1">
        <w:rPr>
          <w:rFonts w:cs="Calibri"/>
          <w:color w:val="000000" w:themeColor="text1"/>
          <w:u w:val="single"/>
        </w:rPr>
        <w:t>Perhaps one of the most profound lessons learned from this policy clarification effort is how difficult it is to regain the trust of immigrant communities once it is broken. Many public health workers, community clinics, and safety-net hospitals in California have worked diligently for years to ensure that they achieve their mandate of serving the health care needs of their communities.</w:t>
      </w:r>
      <w:r w:rsidRPr="00BA15E1">
        <w:rPr>
          <w:rFonts w:cs="Calibri"/>
          <w:color w:val="000000" w:themeColor="text1"/>
          <w:sz w:val="16"/>
        </w:rPr>
        <w:t xml:space="preserve"> Given the high concentration of foreign-born populations in California, Asian and Latino/</w:t>
      </w:r>
      <w:proofErr w:type="gramStart"/>
      <w:r w:rsidRPr="00BA15E1">
        <w:rPr>
          <w:rFonts w:cs="Calibri"/>
          <w:color w:val="000000" w:themeColor="text1"/>
          <w:sz w:val="16"/>
        </w:rPr>
        <w:t>a</w:t>
      </w:r>
      <w:proofErr w:type="gramEnd"/>
      <w:r w:rsidRPr="00BA15E1">
        <w:rPr>
          <w:rFonts w:cs="Calibri"/>
          <w:color w:val="000000" w:themeColor="text1"/>
          <w:sz w:val="16"/>
        </w:rPr>
        <w:t xml:space="preserve"> immigrants comprise a significant portion of potential constituents for many health care providers. In addition, many safety-net health care providers depend upon Medi-Cal reimbursements for caring for low-income residents. This has meant that many health care facilities have worked very hard to reach out to these communities and develop bonds of trust. </w:t>
      </w:r>
      <w:r w:rsidRPr="00BA15E1">
        <w:rPr>
          <w:rFonts w:cs="Calibri"/>
          <w:color w:val="000000" w:themeColor="text1"/>
          <w:u w:val="single"/>
        </w:rPr>
        <w:t>The public charge test deeply debilitated this trust between immigrants and their health care providers. Since immigrants were initially told that it was safe to use publicly funded health care, the public charge scare led to questioning the reliability of the doctor’s reassurance and raised the possibility that prenatal care was another “trap” for immigrants.</w:t>
      </w:r>
      <w:r w:rsidRPr="00BA15E1">
        <w:rPr>
          <w:rFonts w:cs="Calibri"/>
          <w:color w:val="000000" w:themeColor="text1"/>
          <w:sz w:val="16"/>
        </w:rPr>
        <w:t xml:space="preserve"> One advocate said, “The main lesson is </w:t>
      </w:r>
      <w:r w:rsidRPr="00BA15E1">
        <w:rPr>
          <w:rStyle w:val="Strong"/>
          <w:rFonts w:cs="Calibri"/>
          <w:color w:val="000000" w:themeColor="text1"/>
          <w:sz w:val="16"/>
        </w:rPr>
        <w:t>[End Page 381]</w:t>
      </w:r>
      <w:r w:rsidRPr="00BA15E1">
        <w:rPr>
          <w:rStyle w:val="Strong"/>
          <w:rFonts w:eastAsiaTheme="majorEastAsia" w:cs="Calibri"/>
          <w:color w:val="000000" w:themeColor="text1"/>
          <w:sz w:val="16"/>
        </w:rPr>
        <w:t xml:space="preserve"> </w:t>
      </w:r>
      <w:r w:rsidRPr="00BA15E1">
        <w:rPr>
          <w:rFonts w:cs="Calibri"/>
          <w:color w:val="000000" w:themeColor="text1"/>
          <w:sz w:val="16"/>
        </w:rPr>
        <w:t xml:space="preserve">that </w:t>
      </w:r>
      <w:r w:rsidRPr="00BA15E1">
        <w:rPr>
          <w:rFonts w:cs="Calibri"/>
          <w:b/>
          <w:color w:val="000000" w:themeColor="text1"/>
          <w:u w:val="single"/>
        </w:rPr>
        <w:t>once you destroy the community’s trust, people are not going to give it back to you easily.</w:t>
      </w:r>
      <w:r w:rsidRPr="00BA15E1">
        <w:rPr>
          <w:rFonts w:cs="Calibri"/>
          <w:color w:val="000000" w:themeColor="text1"/>
          <w:sz w:val="16"/>
        </w:rPr>
        <w:t xml:space="preserve"> You have to work to get it back. </w:t>
      </w:r>
      <w:r w:rsidRPr="00BA15E1">
        <w:rPr>
          <w:rFonts w:cs="Calibri"/>
          <w:b/>
          <w:color w:val="000000" w:themeColor="text1"/>
          <w:u w:val="single"/>
        </w:rPr>
        <w:t xml:space="preserve">You misinformed them in the past. People aren’t stupid.” </w:t>
      </w:r>
      <w:r w:rsidRPr="00BA15E1">
        <w:rPr>
          <w:rFonts w:cs="Calibri"/>
          <w:color w:val="000000" w:themeColor="text1"/>
          <w:u w:val="single"/>
        </w:rPr>
        <w:t xml:space="preserve">Trust is a hard-earned sentiment given the level of reticence and the fear of accessing public benefits experienced by immigrants. </w:t>
      </w:r>
      <w:r w:rsidRPr="00BA15E1">
        <w:rPr>
          <w:rFonts w:cs="Calibri"/>
          <w:b/>
          <w:color w:val="000000" w:themeColor="text1"/>
          <w:u w:val="single"/>
        </w:rPr>
        <w:t>Given the political climate of growing nativism, many immigrants report enduring a sense of siege and would rather avoid undue scrutiny</w:t>
      </w:r>
      <w:r w:rsidRPr="00BA15E1">
        <w:rPr>
          <w:rFonts w:cs="Calibri"/>
          <w:color w:val="000000" w:themeColor="text1"/>
          <w:u w:val="single"/>
        </w:rPr>
        <w:t>.</w:t>
      </w:r>
      <w:r w:rsidRPr="00BA15E1">
        <w:rPr>
          <w:rFonts w:cs="Calibri"/>
          <w:color w:val="000000" w:themeColor="text1"/>
          <w:sz w:val="16"/>
        </w:rPr>
        <w:t xml:space="preserve"> Those areas reporting a strong sense of trust despite these fears are in places where the community feels in touch with known clinic staff who have specialized, local knowledge and policy expertise. However, even these clinics found themselves in a very difficult situation trying to retain a meaningful level of trust with their immigrant patients. A policy analyst working with a strong immigrant collaborative on issues of welfare and health care described a community event to disseminate news regarding the clarification of public charge: The day after the clarification, some of our L.A. partners pulled together a press conference to announce the public charge clarification as a way to get a word in the community that it’s no longer a problem. People should feel safe to access benefits. They invited a woman community member who herself had been in the position of not enrolling her kids or herself in any health care programs because she thought it would be an issue. They talked to her several times beforehand and invited her to speak. She was great. She really spoke to the impact the policy had had prior to the clarification. The funny thing is, afterwards, some of our folks said, “Thanks for speaking at the press conference. Are you going to enroll in health programs now?” She said, “No, no way.” </w:t>
      </w:r>
      <w:r w:rsidRPr="00BA15E1">
        <w:rPr>
          <w:rFonts w:cs="Calibri"/>
          <w:color w:val="000000" w:themeColor="text1"/>
          <w:u w:val="single"/>
        </w:rPr>
        <w:t>While the community member intellectually understood the importance of health insurance and encouraged others to access Medi-Cal, the fear of future punitive governmental action kept her away. Dissemination of public policy change in this political environment poses a formidable challenge. Adding to this challenge is</w:t>
      </w:r>
      <w:r w:rsidRPr="00BA15E1">
        <w:rPr>
          <w:rFonts w:cs="Calibri"/>
          <w:color w:val="000000" w:themeColor="text1"/>
          <w:sz w:val="16"/>
        </w:rPr>
        <w:t xml:space="preserve"> the state of California’s </w:t>
      </w:r>
      <w:r w:rsidRPr="00BA15E1">
        <w:rPr>
          <w:rFonts w:cs="Calibri"/>
          <w:b/>
          <w:color w:val="000000" w:themeColor="text1"/>
          <w:u w:val="single"/>
        </w:rPr>
        <w:t>refusal to disseminate news of this legal clarification. In our interviews with key informants a year after clarification, many immigrant health advocates and health care providers had no idea this had even happened.</w:t>
      </w:r>
    </w:p>
    <w:p w:rsidR="003C6EA2" w:rsidRDefault="003C6EA2" w:rsidP="003C6EA2">
      <w:pPr>
        <w:pStyle w:val="Heading4"/>
      </w:pPr>
      <w:r>
        <w:t>Alt causes to the chilling effect</w:t>
      </w:r>
    </w:p>
    <w:p w:rsidR="003C6EA2" w:rsidRPr="00466920" w:rsidRDefault="003C6EA2" w:rsidP="003C6EA2">
      <w:r w:rsidRPr="006A171A">
        <w:rPr>
          <w:rStyle w:val="Style13ptBold"/>
        </w:rPr>
        <w:t>Kritz 18</w:t>
      </w:r>
      <w:r w:rsidRPr="006A171A">
        <w:t xml:space="preserve"> (Fran Kritz, "All Are Welcome: Health Clinics Work to Allay Fears of Immigrant Patients and their Families", 2-22-2018, California Health Report, http://www.calhealthreport.org/2018/02/22/welcome-health-clinics-work-allay-fears-immigrant-patients-families/)</w:t>
      </w:r>
    </w:p>
    <w:p w:rsidR="003C6EA2" w:rsidRPr="006A171A" w:rsidRDefault="003C6EA2" w:rsidP="003C6EA2">
      <w:r>
        <w:t xml:space="preserve">A survey conducted earlier this year by the CPCA together with The Children’s Partnerships and funded by the California Program on Access to Care with 151 clinic directors, but not yet published, found changes in clinic visit patterns among immigrant families: Close to 40 percent said that </w:t>
      </w:r>
      <w:r w:rsidRPr="006A171A">
        <w:rPr>
          <w:u w:val="single"/>
        </w:rPr>
        <w:t>immigrant families increasingly were not scheduling routine prevention or primary care appointments for their children</w:t>
      </w:r>
      <w:r>
        <w:t xml:space="preserve">. Almost thirty percent said immigrant </w:t>
      </w:r>
      <w:r w:rsidRPr="00466920">
        <w:rPr>
          <w:u w:val="single"/>
        </w:rPr>
        <w:t>families have increasingly changed how they access care for their children such as switching to walk-in visits (rather than have their name on clinic lists), phone visits and scheduling all health care visits in a single day, to limit visits to the clinic.</w:t>
      </w:r>
      <w:r>
        <w:rPr>
          <w:u w:val="single"/>
        </w:rPr>
        <w:t xml:space="preserve"> </w:t>
      </w:r>
      <w:r>
        <w:t xml:space="preserve">Nearly half of those responding said immigrant children are increasingly being diagnosed with mental health conditions such as anxiety and depression, and almost a quarter said that parents are increasingly seeking mental health care for their children. </w:t>
      </w:r>
      <w:r w:rsidRPr="00466920">
        <w:rPr>
          <w:u w:val="single"/>
        </w:rPr>
        <w:t>Immigrants’ fear of accessing health care could get worse if other types of immigration enforcement is strengthened, such as deporting immigrants known as “dreamers,” who came here as children with their parents,</w:t>
      </w:r>
      <w:r>
        <w:t xml:space="preserve"> according to Gabrielle Lessard, senior policy attorney for the National Immigration Law Center in Washington, DC.</w:t>
      </w:r>
    </w:p>
    <w:p w:rsidR="006804BB" w:rsidRDefault="006804BB" w:rsidP="006804BB">
      <w:pPr>
        <w:rPr>
          <w:u w:val="single"/>
        </w:rPr>
      </w:pPr>
    </w:p>
    <w:p w:rsidR="00E65063" w:rsidRDefault="00E65063" w:rsidP="000125FB"/>
    <w:p w:rsidR="00CE6D10" w:rsidRDefault="00721D38" w:rsidP="00721D38">
      <w:pPr>
        <w:pStyle w:val="Heading2"/>
        <w:rPr>
          <w:rFonts w:cs="Calibri"/>
        </w:rPr>
      </w:pPr>
      <w:r w:rsidRPr="00F933AF">
        <w:rPr>
          <w:rFonts w:cs="Calibri"/>
        </w:rPr>
        <w:t>Health Adv</w:t>
      </w:r>
    </w:p>
    <w:p w:rsidR="00E65063" w:rsidRPr="00E65063" w:rsidRDefault="00E65063" w:rsidP="00E65063">
      <w:pPr>
        <w:pStyle w:val="Heading3"/>
      </w:pPr>
      <w:r>
        <w:t>1nc – Alt Causes</w:t>
      </w:r>
    </w:p>
    <w:p w:rsidR="00CE6D10" w:rsidRPr="00F933AF" w:rsidRDefault="00CE6D10" w:rsidP="00CE6D10">
      <w:pPr>
        <w:pStyle w:val="Heading4"/>
        <w:rPr>
          <w:rFonts w:cs="Calibri"/>
        </w:rPr>
      </w:pPr>
      <w:r w:rsidRPr="00F933AF">
        <w:rPr>
          <w:rFonts w:cs="Calibri"/>
        </w:rPr>
        <w:t>Alt causes to public healthcare enrollment</w:t>
      </w:r>
    </w:p>
    <w:p w:rsidR="00CE6D10" w:rsidRPr="00F933AF" w:rsidRDefault="00CE6D10" w:rsidP="00CE6D10">
      <w:pPr>
        <w:rPr>
          <w:rFonts w:cs="Calibri"/>
        </w:rPr>
      </w:pPr>
      <w:r w:rsidRPr="00F933AF">
        <w:rPr>
          <w:rStyle w:val="Style13ptBold"/>
          <w:rFonts w:cs="Calibri"/>
        </w:rPr>
        <w:t>Kennedy 18</w:t>
      </w:r>
      <w:proofErr w:type="gramStart"/>
      <w:r w:rsidRPr="00F933AF">
        <w:rPr>
          <w:rFonts w:cs="Calibri"/>
        </w:rPr>
        <w:t>,  (</w:t>
      </w:r>
      <w:proofErr w:type="gramEnd"/>
      <w:r w:rsidRPr="00F933AF">
        <w:rPr>
          <w:rFonts w:cs="Calibri"/>
        </w:rPr>
        <w:t>Kelli Kennedy, Deportation fears have legal immigrants avoiding health care, 1-23-2018, chicagotribune, http://www.chicagotribune.com/news/sns-bc-us--health-overhaul-immigration-20180121-story.html)//AO</w:t>
      </w:r>
    </w:p>
    <w:p w:rsidR="00CE6D10" w:rsidRPr="00F933AF" w:rsidRDefault="00CE6D10" w:rsidP="00CE6D10">
      <w:pPr>
        <w:rPr>
          <w:rFonts w:cs="Calibri"/>
          <w:sz w:val="14"/>
        </w:rPr>
      </w:pPr>
      <w:r w:rsidRPr="00F933AF">
        <w:rPr>
          <w:rFonts w:cs="Calibri"/>
          <w:u w:val="single"/>
        </w:rPr>
        <w:t xml:space="preserve">The number of legal immigrants from Latin American nations who access public health services and enroll in federally subsidized insurance plans has dipped substantially since President Donald Trump took office, many of them fearing their information could be used to identify and deport relatives living in the U.S. illegally, according to health advocates across the country. </w:t>
      </w:r>
      <w:r w:rsidRPr="00F933AF">
        <w:rPr>
          <w:rFonts w:cs="Calibri"/>
          <w:sz w:val="14"/>
        </w:rPr>
        <w:t xml:space="preserve">Trump based his campaign on promises to stop illegal immigration and deport any immigrants in the country illegally, but </w:t>
      </w:r>
      <w:r w:rsidRPr="00F933AF">
        <w:rPr>
          <w:rFonts w:cs="Calibri"/>
          <w:u w:val="single"/>
        </w:rPr>
        <w:t>many legal residents and U.S. citizens are losing their health care as a result</w:t>
      </w:r>
      <w:r w:rsidRPr="00F933AF">
        <w:rPr>
          <w:rFonts w:cs="Calibri"/>
          <w:sz w:val="14"/>
        </w:rPr>
        <w:t xml:space="preserve">, advocates say. </w:t>
      </w:r>
      <w:r w:rsidRPr="00F933AF">
        <w:rPr>
          <w:rFonts w:cs="Calibri"/>
          <w:u w:val="single"/>
        </w:rPr>
        <w:t xml:space="preserve">After Trump became president a year ago, "every single day families canceled" their Medicaid plans and "people really didn't access any of our programs," </w:t>
      </w:r>
      <w:r w:rsidRPr="00F933AF">
        <w:rPr>
          <w:rFonts w:cs="Calibri"/>
          <w:sz w:val="14"/>
        </w:rPr>
        <w:t xml:space="preserve">said Daniel Bouton, a director at the Community Council, a Dallas nonprofit that specializes in health care enrollment for low-income families. The trend stabilized a bit as the year went on, but it remains clear that </w:t>
      </w:r>
      <w:r w:rsidRPr="00F933AF">
        <w:rPr>
          <w:rFonts w:cs="Calibri"/>
          <w:u w:val="single"/>
        </w:rPr>
        <w:t xml:space="preserve">the increasingly polarized immigration debate is having a chilling effect on Hispanic participation in health care programs, particularly during the enrollment season that ended in December. </w:t>
      </w:r>
      <w:r w:rsidRPr="00F933AF">
        <w:rPr>
          <w:rFonts w:cs="Calibri"/>
          <w:sz w:val="14"/>
        </w:rPr>
        <w:t xml:space="preserve">Bouton's organization has helped a 52-year-old housekeeper from Mexico, a legal resident, sign up for federally subsidized health insurance for two years. But now she's going without, fearing immigration officials will use her enrollment to track down her husband, who is in the country illegally. She's also considering not re-enrolling their children, 15 and 18, in the Children's Health Insurance Program, or CHIP, even though they were born in the U.S. "We're afraid of maybe getting sick or getting into an accident, but the fear of my husband being deported is bigger," the woman, who declined to give their names for fear her husband could be deported, said through a translator in a telephone interview. Hispanic immigrants are not only declining to sign up for health care under programs that began or expanded under Barack Obama's presidency -- they're also not seeking treatment when they're sick, Bouton and others say. "One social worker said she had a client who was forgoing chemotherapy because she had a child that was not here legally," said Oscar Gomez, CEO of Health Outreach Partner, a national training and advocacy organization. My Health LA provides primary care services in Los Angeles County to low-income residents and those who lack the documents to make them eligible for publicly funded health care coverage programs, such as state Medicaid. According to its annual report, </w:t>
      </w:r>
      <w:r w:rsidRPr="00F933AF">
        <w:rPr>
          <w:rFonts w:cs="Calibri"/>
          <w:u w:val="single"/>
        </w:rPr>
        <w:t>189,410 participants enrolled in the program during Fiscal Year 2017, but 44,252, or about 23 percent, later dis-enrolled.</w:t>
      </w:r>
      <w:r w:rsidRPr="00F933AF">
        <w:rPr>
          <w:rFonts w:cs="Calibri"/>
          <w:sz w:val="14"/>
        </w:rPr>
        <w:t xml:space="preserve"> It's not clear how many of those who dropped out are Hispanic; the report did not describe ethnicity. Enticing Hispanics to take advantage of subsidized health care has been a struggle that began long before Trump's presidency. Hispanics are more than three times as likely to go without health insurance as are their white counterparts, according to a 2015 study by Pew Research Center. Whites represented 63 percent, or 3.8 million, of those who signed up for Affordable Care Act plans last year compared to 15 percent, or just under a million, Hispanics, according to the Centers for Medicare and Medicaid Services. The reasons vary, but some have always feared deportation, regardless of who is in office. Recent events have not helped. Despite initial signs of a compromise agreement, Trump now isn't supporting a deal to support young people who identified themselves to the federal government so that they could qualify for protections against deportation despite being brought to the U.S. illegally as children. Last fall, Border Patrol agents followed a 10-year-old immigrant with cerebral palsy to a Texas hospital and took her into custody after the surgery. She had been brought to the U.S. from Mexico when she was a toddler. And in Okeechobee, a small rural city about an hour and a half north of Miami that is home to many immigrant farm workers, green-and-white-striped immigration vehicles were spotted driving around town and parking in conspicuous places last spring and summer. </w:t>
      </w:r>
      <w:r w:rsidRPr="00F933AF">
        <w:rPr>
          <w:rFonts w:cs="Calibri"/>
          <w:u w:val="single"/>
        </w:rPr>
        <w:t xml:space="preserve">After a few immigrants were picked up and deported, health advocates said patients canceled their appointments, waiting until immigration officials left to reschedule them. </w:t>
      </w:r>
      <w:r w:rsidRPr="00F933AF">
        <w:rPr>
          <w:rFonts w:cs="Calibri"/>
          <w:sz w:val="14"/>
        </w:rPr>
        <w:t xml:space="preserve">In Washington state and Florida, health workers report that immigrant patients start the enrollment process, but drop out once they are required to turn in proof of income, Social Security and other personal information. The annual report from My Health LA noted that it denied 28 percent more applicants in Fiscal 2017 than it had the year before, mostly due to incomplete applications. In a survey of four Health Outreach Partner locations in California and the Pacific Northwest, social workers said some of their patients asked to be removed from the centers' records for fear that the information could be used to aid deportation hearings. The dilemma has forced social workers at Health Outreach Partner to broaden their job descriptions, Gomez said. Now, in addition to signing people up for health insurance or helping them access medical treatments, they are fielding questions about immigration issues and drawing up contingency plans for when a family member is deported. "That planning is seen as more helpful and immediate to their patients than their medical needs right now," he said. Copyright 2018 </w:t>
      </w:r>
      <w:proofErr w:type="gramStart"/>
      <w:r w:rsidRPr="00F933AF">
        <w:rPr>
          <w:rFonts w:cs="Calibri"/>
          <w:sz w:val="14"/>
        </w:rPr>
        <w:t>The</w:t>
      </w:r>
      <w:proofErr w:type="gramEnd"/>
      <w:r w:rsidRPr="00F933AF">
        <w:rPr>
          <w:rFonts w:cs="Calibri"/>
          <w:sz w:val="14"/>
        </w:rPr>
        <w:t xml:space="preserve"> Associated Press. All rights reserved. This material may not be published, broadcast, rewritten or redistributed.</w:t>
      </w:r>
    </w:p>
    <w:p w:rsidR="00845B8F" w:rsidRPr="00F933AF" w:rsidRDefault="00845B8F" w:rsidP="00845B8F">
      <w:pPr>
        <w:pStyle w:val="Heading4"/>
        <w:rPr>
          <w:rFonts w:cs="Calibri"/>
        </w:rPr>
      </w:pPr>
      <w:r w:rsidRPr="00F933AF">
        <w:rPr>
          <w:rFonts w:cs="Calibri"/>
        </w:rPr>
        <w:t>Additions to disability law fail to address the contradiction between paradigms of equal treatment and special welfare- denies access to benefits outside of the workplace</w:t>
      </w:r>
    </w:p>
    <w:p w:rsidR="00845B8F" w:rsidRPr="00F933AF" w:rsidRDefault="00845B8F" w:rsidP="00845B8F">
      <w:pPr>
        <w:rPr>
          <w:rFonts w:cs="Calibri"/>
        </w:rPr>
      </w:pPr>
      <w:r w:rsidRPr="00F933AF">
        <w:rPr>
          <w:rStyle w:val="Style13ptBold"/>
          <w:rFonts w:cs="Calibri"/>
        </w:rPr>
        <w:t>Ingram 6</w:t>
      </w:r>
      <w:r w:rsidRPr="00F933AF">
        <w:rPr>
          <w:rFonts w:cs="Calibri"/>
        </w:rPr>
        <w:t xml:space="preserve"> (David Ingram, Professor of Philosophy at Loyola University Chicago, PhD in philosophy from UC San Diego, recipient of Casa Guatemala's Human Rights Award, April 2006, “Antidiscrimination, Welfare, and Democracy: Toward a Discourse-Ethical Understanding of Disability Law”, Social Theory and Practice, Vol. 32, No. 2, Florida State University Department of Philosophy, JSTOR)/CWB</w:t>
      </w:r>
    </w:p>
    <w:p w:rsidR="00845B8F" w:rsidRPr="00F933AF" w:rsidRDefault="00845B8F" w:rsidP="00845B8F">
      <w:pPr>
        <w:rPr>
          <w:rStyle w:val="StyleUnderline"/>
          <w:rFonts w:cs="Calibri"/>
        </w:rPr>
      </w:pPr>
      <w:r w:rsidRPr="00F933AF">
        <w:rPr>
          <w:rStyle w:val="StyleUnderline"/>
          <w:rFonts w:cs="Calibri"/>
        </w:rPr>
        <w:t>Since the</w:t>
      </w:r>
      <w:r w:rsidRPr="00F933AF">
        <w:rPr>
          <w:rFonts w:cs="Calibri"/>
          <w:sz w:val="16"/>
        </w:rPr>
        <w:t xml:space="preserve"> passage of the Americans with Disabilities Act (</w:t>
      </w:r>
      <w:r w:rsidRPr="00F933AF">
        <w:rPr>
          <w:rStyle w:val="StyleUnderline"/>
          <w:rFonts w:cs="Calibri"/>
        </w:rPr>
        <w:t>ADA</w:t>
      </w:r>
      <w:r w:rsidRPr="00F933AF">
        <w:rPr>
          <w:rFonts w:cs="Calibri"/>
          <w:sz w:val="16"/>
        </w:rPr>
        <w:t xml:space="preserve">) in 1990, </w:t>
      </w:r>
      <w:r w:rsidRPr="00F933AF">
        <w:rPr>
          <w:rStyle w:val="StyleUnderline"/>
          <w:rFonts w:cs="Calibri"/>
        </w:rPr>
        <w:t xml:space="preserve">jurists have questioned whether it provides a coherent and effective remedy to the injustices suffered by those whom it defines as disabled. The ADA appears to instantiate two different legal paradigms: a civil rights (or antidiscrimination) paradigm that ensures equal treatment for equal citizens, and a welfare paradigm that mandates special accommodations for those with special needs. This apparent incoherence, in turn, is often cited as a reason why the ADA has not succeeded in its chief aim of including the disabled in public life. By narrowly interpreting the class of persons who are entitled to benefit from the ADA'S mandate for "reasonable accommodations" to mean only certain medically needy persons, the Supreme Court appears to be guided by a welfare paradigm, which redistributes resources from one class </w:t>
      </w:r>
      <w:r w:rsidRPr="00F933AF">
        <w:rPr>
          <w:rFonts w:cs="Calibri"/>
          <w:sz w:val="16"/>
        </w:rPr>
        <w:t xml:space="preserve">of persons (which in the case we are presently discussing includes employers, providers of public services, and government agen cies) </w:t>
      </w:r>
      <w:r w:rsidRPr="00F933AF">
        <w:rPr>
          <w:rStyle w:val="StyleUnderline"/>
          <w:rFonts w:cs="Calibri"/>
        </w:rPr>
        <w:t>to another, "needier" class (the disabled). The result is that disabled persons who cannot meet the stringent medical definition of disability are denied accommodations.</w:t>
      </w:r>
      <w:r w:rsidRPr="00F933AF">
        <w:rPr>
          <w:rFonts w:cs="Calibri"/>
          <w:sz w:val="16"/>
        </w:rPr>
        <w:t xml:space="preserve"> Conversely, the Court's interpretation of what counts as a reasonable accommodation is also conceived narrowly, to comply with the minimal provisions of antidiscrimination statutes targeting only socially constructed (artificial) impediments that can be reme died with little cost. For instance, </w:t>
      </w:r>
      <w:r w:rsidRPr="00F933AF">
        <w:rPr>
          <w:rStyle w:val="StyleUnderline"/>
          <w:rFonts w:cs="Calibri"/>
        </w:rPr>
        <w:t xml:space="preserve">under </w:t>
      </w:r>
      <w:r w:rsidRPr="00F933AF">
        <w:rPr>
          <w:rFonts w:cs="Calibri"/>
          <w:sz w:val="16"/>
        </w:rPr>
        <w:t>Title I of</w:t>
      </w:r>
      <w:r w:rsidRPr="00F933AF">
        <w:rPr>
          <w:rStyle w:val="StyleUnderline"/>
          <w:rFonts w:cs="Calibri"/>
        </w:rPr>
        <w:t xml:space="preserve"> the ADA</w:t>
      </w:r>
      <w:r w:rsidRPr="00F933AF">
        <w:rPr>
          <w:rFonts w:cs="Calibri"/>
          <w:sz w:val="16"/>
        </w:rPr>
        <w:t xml:space="preserve"> (concerning employment), </w:t>
      </w:r>
      <w:r w:rsidRPr="00F933AF">
        <w:rPr>
          <w:rStyle w:val="StyleUnderline"/>
          <w:rFonts w:cs="Calibri"/>
        </w:rPr>
        <w:t>only</w:t>
      </w:r>
      <w:r w:rsidRPr="00F933AF">
        <w:rPr>
          <w:rFonts w:cs="Calibri"/>
          <w:sz w:val="16"/>
        </w:rPr>
        <w:t xml:space="preserve"> those "</w:t>
      </w:r>
      <w:r w:rsidRPr="00F933AF">
        <w:rPr>
          <w:rStyle w:val="StyleUnderline"/>
          <w:rFonts w:cs="Calibri"/>
        </w:rPr>
        <w:t xml:space="preserve">obstacles" that are directly job-related require remedy. Impediments that are indirectly related to job performance, such as lack of adequate transportation, personal domestic aid, special technical supports, and health insurance, are not included among those obstacles requiring remedying. </w:t>
      </w:r>
      <w:r w:rsidRPr="00F933AF">
        <w:rPr>
          <w:rFonts w:cs="Calibri"/>
          <w:sz w:val="16"/>
        </w:rPr>
        <w:t xml:space="preserve">Whenever non-job-related accommodations are offered, as in the case of Title II of the ADA (concerning access to government services), their content and accessibility are not interpreted in light of the special needs of the disabled, but in terms of the principle of formal equality. In sum, absent a broader definition of what counts as reasonable accommodation, </w:t>
      </w:r>
      <w:r w:rsidRPr="00F933AF">
        <w:rPr>
          <w:rStyle w:val="StyleUnderline"/>
          <w:rFonts w:cs="Calibri"/>
        </w:rPr>
        <w:t>implementation of the ADA</w:t>
      </w:r>
      <w:r w:rsidRPr="00F933AF">
        <w:rPr>
          <w:rFonts w:cs="Calibri"/>
          <w:sz w:val="16"/>
        </w:rPr>
        <w:t xml:space="preserve"> as a civil rights statute </w:t>
      </w:r>
      <w:r w:rsidRPr="00F933AF">
        <w:rPr>
          <w:rStyle w:val="StyleUnderline"/>
          <w:rFonts w:cs="Calibri"/>
        </w:rPr>
        <w:t>frustrates the ability of many disabled persons to take advantage of its provisions. Hence, the disabled suffer on both ends. If they fail to establish their special neediness, they are denied "welfare"; if they succeed in doing so, their demands are deemed to exceed the difference blind remedies provided by antidiscrimination.4</w:t>
      </w:r>
    </w:p>
    <w:p w:rsidR="000125FB" w:rsidRDefault="000125FB" w:rsidP="000125FB">
      <w:pPr>
        <w:pStyle w:val="Heading4"/>
      </w:pPr>
      <w:r>
        <w:t>Other immigration policies hurt the healthcare system</w:t>
      </w:r>
    </w:p>
    <w:p w:rsidR="000125FB" w:rsidRPr="00020FC7" w:rsidRDefault="000125FB" w:rsidP="000125FB">
      <w:r w:rsidRPr="00020FC7">
        <w:rPr>
          <w:rStyle w:val="Style13ptBold"/>
        </w:rPr>
        <w:t>Weintraub, 18</w:t>
      </w:r>
      <w:proofErr w:type="gramStart"/>
      <w:r w:rsidRPr="00020FC7">
        <w:t>,  (</w:t>
      </w:r>
      <w:proofErr w:type="gramEnd"/>
      <w:r w:rsidRPr="00020FC7">
        <w:t>Arlene Weintraub, Immigrants And U.S. Healthcare: What One Med School Dean Wants Congress To Know, 6-21-2018, Forbes, https://www.forbes.com/sites/arleneweintraub/2018/06/21/immigrants-and-u-s-healthcare-what-one-med-school-dean-wants-congress-to-know/)</w:t>
      </w:r>
      <w:r>
        <w:t>//AO</w:t>
      </w:r>
    </w:p>
    <w:p w:rsidR="000125FB" w:rsidRPr="00020FC7" w:rsidRDefault="000125FB" w:rsidP="000125FB">
      <w:pPr>
        <w:rPr>
          <w:sz w:val="16"/>
        </w:rPr>
      </w:pPr>
      <w:r w:rsidRPr="00020FC7">
        <w:rPr>
          <w:sz w:val="16"/>
        </w:rPr>
        <w:t xml:space="preserve">As the U.S. House of Representatives gets set to vote on a wide-ranging immigration bill, some members of the medical community are watching the ongoing debates with a fair amount of anxiety. Among them is Augustine Choi, dean of Weill Cornell Medicine in New York and provost for medical affairs of Cornell University. Choi, who </w:t>
      </w:r>
      <w:proofErr w:type="gramStart"/>
      <w:r w:rsidRPr="00020FC7">
        <w:rPr>
          <w:sz w:val="16"/>
        </w:rPr>
        <w:t>immigrated</w:t>
      </w:r>
      <w:proofErr w:type="gramEnd"/>
      <w:r w:rsidRPr="00020FC7">
        <w:rPr>
          <w:sz w:val="16"/>
        </w:rPr>
        <w:t xml:space="preserve"> to the U.S. as a child from Korea, has more than a personal connection to the issue. He oversees more than 1,000 students and 2,650 faculty members, many of whom are foreign-born. The House bill coming up for a vote is expected to cover a wide range of issues, from border security to establishing a path to citizenship for undocumented immigrants known as “dreamers.” But the immigration debate has also encompassed other issues that affect immigrants working in the bioscience and medical communities directly, including restrictions around H1B visas. Immigration issues started affecting Weill Cornell last January, immediately after President Donald Trump took office and signed an executive order restricting travel by citizens from seven </w:t>
      </w:r>
      <w:proofErr w:type="gramStart"/>
      <w:r w:rsidRPr="00020FC7">
        <w:rPr>
          <w:sz w:val="16"/>
        </w:rPr>
        <w:t>middle eastern</w:t>
      </w:r>
      <w:proofErr w:type="gramEnd"/>
      <w:r w:rsidRPr="00020FC7">
        <w:rPr>
          <w:sz w:val="16"/>
        </w:rPr>
        <w:t xml:space="preserve"> countries. The ban affected several faculty members and students, including students at Weill Cornell’s satellite campus in Qatar, some of whom needed to complete courses or exams in the U.S. so they could apply for residencies. “They were able to continue their medical education, but it caused a lot of anxiety, and we’re not out of the woods yet,” Choi says. But Choi has broader concerns about the immigration debate and how the outcome could affect the U.S. healthcare system. </w:t>
      </w:r>
      <w:r w:rsidRPr="00020FC7">
        <w:rPr>
          <w:u w:val="single"/>
        </w:rPr>
        <w:t>Immigrants,</w:t>
      </w:r>
      <w:r w:rsidRPr="00020FC7">
        <w:rPr>
          <w:sz w:val="16"/>
        </w:rPr>
        <w:t xml:space="preserve"> he says, </w:t>
      </w:r>
      <w:r w:rsidRPr="00020FC7">
        <w:rPr>
          <w:u w:val="single"/>
        </w:rPr>
        <w:t>could alleviate what’s expected to be a crippling shortage of physicians</w:t>
      </w:r>
      <w:r w:rsidRPr="00020FC7">
        <w:rPr>
          <w:sz w:val="16"/>
        </w:rPr>
        <w:t xml:space="preserve">. </w:t>
      </w:r>
      <w:r w:rsidRPr="00020FC7">
        <w:rPr>
          <w:u w:val="single"/>
        </w:rPr>
        <w:t>The country could be facing a shortfall of as many as 120,000 doctors by 2030, estimates the Association of American Medical Colleges. Several specialties will be hit particularly hard, including primary care, emergency medicine and psychiatry, the group says.</w:t>
      </w:r>
      <w:r w:rsidRPr="00020FC7">
        <w:rPr>
          <w:sz w:val="16"/>
        </w:rPr>
        <w:t xml:space="preserve"> </w:t>
      </w:r>
      <w:r w:rsidRPr="00020FC7">
        <w:rPr>
          <w:u w:val="single"/>
        </w:rPr>
        <w:t>About a quarter of physicians now practicing medicine in the U.S. were trained at foreign medical schools and most of them were also born outside the country, according to the nonprofit American Immigration Council. Many of these physicians end up practicing in areas of the country with high rates of poverty, where good healthcare is often hard to find.</w:t>
      </w:r>
      <w:r w:rsidRPr="00020FC7">
        <w:rPr>
          <w:sz w:val="16"/>
        </w:rPr>
        <w:t xml:space="preserve"> In fact, in places where the per capita income is below $15,000 a year, more than 40% of doctors are foreign-educated. </w:t>
      </w:r>
      <w:r w:rsidRPr="00020FC7">
        <w:rPr>
          <w:u w:val="single"/>
        </w:rPr>
        <w:t>Many foreign-trained physicians come to the U.S. on H1B visas, which were already burdened with restrictions before the current immigration debate erupted. H1B visas are good for three years, plus a three-year extension period—making them extremely limited for physicians.</w:t>
      </w:r>
      <w:r w:rsidRPr="00020FC7">
        <w:rPr>
          <w:sz w:val="16"/>
        </w:rPr>
        <w:t xml:space="preserve"> “After six years, they’re done. And much of the six years is really spent in training,” Choi says. “When they’re licensed to practice clinical medicine in the U.S., they generally have one year left in the H1 visa. So that’s putting a lot of stress on our market. That needs to really be dealt with going forward because of the physician shortage.” About 29% of Weill Cornell Medicine faculty members are immigrants. Choi also hopes legislators will come to an agreement on the dreamers. Weill Cornell recently opened an office of student diversity, which is working to increase the population of minorities in the medical and graduate programs there. In April, the school introduced the Dean’s Diversity Scholarships—two full-tuition awards given to accepted students who need financial assistance getting through medical school. “We rely on the best talent across the world,” Choi says. “Having limitations is very concerning.” </w:t>
      </w:r>
      <w:r w:rsidRPr="00020FC7">
        <w:rPr>
          <w:u w:val="single"/>
        </w:rPr>
        <w:t xml:space="preserve">Immigrants in the U.S. healthcare system, Choi </w:t>
      </w:r>
      <w:proofErr w:type="gramStart"/>
      <w:r w:rsidRPr="00020FC7">
        <w:rPr>
          <w:u w:val="single"/>
        </w:rPr>
        <w:t>adds</w:t>
      </w:r>
      <w:proofErr w:type="gramEnd"/>
      <w:r w:rsidRPr="00020FC7">
        <w:rPr>
          <w:u w:val="single"/>
        </w:rPr>
        <w:t>, are “key to maintaining the best patient care for all Americans.”</w:t>
      </w:r>
      <w:r w:rsidRPr="00020FC7">
        <w:rPr>
          <w:sz w:val="16"/>
        </w:rPr>
        <w:t xml:space="preserve"> He offers as an example one Weill Cornell oncologist who was born in Poland, grew up in Mexico and came to New York to complete his medical training. His ability to converse fluently in Spanish, Hebrew and Yiddish has been invaluable to the diverse population of New York City patients, Choi says. That’s one of the stories Weill Cornell’s magazine featured recently in a special issue on immigrants. Choi, a clinician and scientist who specializes in lung disease, immigrated to the U.S. as a child in the wake of the Korean </w:t>
      </w:r>
      <w:proofErr w:type="gramStart"/>
      <w:r w:rsidRPr="00020FC7">
        <w:rPr>
          <w:sz w:val="16"/>
        </w:rPr>
        <w:t>war</w:t>
      </w:r>
      <w:proofErr w:type="gramEnd"/>
      <w:r w:rsidRPr="00020FC7">
        <w:rPr>
          <w:sz w:val="16"/>
        </w:rPr>
        <w:t>, as his family fled from the political instability in the region. He earned his M.D. from the University of Louisville and has served on the faculty and staff of several medical schools, including those at Harvard, Johns Hopkins and Yale. Choi’s father, who was a cardiothoracic surgeon in Korea, retrained in geriatrics after arriving in the U.S. “As an immigrant myself, I’m an example of how immigration is so critical to advancing the U.S. biomedical research and clinical care,” Choi says. “I would love for our trainees to have the same opportunities. I just hope we will have policies that will allow immigrants to really fulfill their potential. It’s good for them and it’s good for the United States.”</w:t>
      </w:r>
    </w:p>
    <w:p w:rsidR="000125FB" w:rsidRDefault="000125FB" w:rsidP="000125FB"/>
    <w:p w:rsidR="00952DD5" w:rsidRDefault="00952DD5" w:rsidP="00952DD5">
      <w:pPr>
        <w:pStyle w:val="Heading3"/>
      </w:pPr>
      <w:r>
        <w:t>1nc - Illegal Immigrants Key</w:t>
      </w:r>
    </w:p>
    <w:p w:rsidR="00952DD5" w:rsidRDefault="00952DD5" w:rsidP="00952DD5">
      <w:pPr>
        <w:pStyle w:val="Heading4"/>
      </w:pPr>
      <w:r>
        <w:t>Illegal immigrants are the largest and most vulnerable uninsured population</w:t>
      </w:r>
    </w:p>
    <w:p w:rsidR="00952DD5" w:rsidRPr="007715EE" w:rsidRDefault="00952DD5" w:rsidP="00952DD5">
      <w:r w:rsidRPr="007715EE">
        <w:rPr>
          <w:rStyle w:val="Style13ptBold"/>
        </w:rPr>
        <w:t>Nevarez 14</w:t>
      </w:r>
      <w:r>
        <w:t xml:space="preserve"> (</w:t>
      </w:r>
      <w:r w:rsidRPr="007715EE">
        <w:t>Griselda Nevarez, VOXXI journalist, 1/28/14, “Undocumented Immigrants Face Limited Health Care Options”, Huffington Post, https://www.huffingtonpost.com/2014/01/28/undocumented-immigrants-health-care_n_4679348.html</w:t>
      </w:r>
      <w:r>
        <w:t>)/CWB</w:t>
      </w:r>
    </w:p>
    <w:p w:rsidR="00952DD5" w:rsidRPr="007715EE" w:rsidRDefault="00952DD5" w:rsidP="00952DD5">
      <w:pPr>
        <w:rPr>
          <w:rStyle w:val="StyleUnderline"/>
        </w:rPr>
      </w:pPr>
      <w:r w:rsidRPr="007715EE">
        <w:rPr>
          <w:rStyle w:val="StyleUnderline"/>
        </w:rPr>
        <w:t>The A</w:t>
      </w:r>
      <w:r w:rsidRPr="007715EE">
        <w:rPr>
          <w:sz w:val="16"/>
        </w:rPr>
        <w:t xml:space="preserve">ffordable </w:t>
      </w:r>
      <w:r w:rsidRPr="007715EE">
        <w:rPr>
          <w:rStyle w:val="StyleUnderline"/>
        </w:rPr>
        <w:t>C</w:t>
      </w:r>
      <w:r w:rsidRPr="007715EE">
        <w:rPr>
          <w:sz w:val="16"/>
        </w:rPr>
        <w:t xml:space="preserve">are </w:t>
      </w:r>
      <w:r w:rsidRPr="007715EE">
        <w:rPr>
          <w:rStyle w:val="StyleUnderline"/>
        </w:rPr>
        <w:t>A</w:t>
      </w:r>
      <w:r w:rsidRPr="007715EE">
        <w:rPr>
          <w:sz w:val="16"/>
        </w:rPr>
        <w:t xml:space="preserve">ct is </w:t>
      </w:r>
      <w:r w:rsidRPr="007715EE">
        <w:rPr>
          <w:rStyle w:val="StyleUnderline"/>
        </w:rPr>
        <w:t xml:space="preserve">meant to expand access to affordable health care coverage, but the law excludes one group from benefiting: the nearly 12 million undocumented immigrants currently living in the United States. Under the federal </w:t>
      </w:r>
      <w:hyperlink r:id="rId253" w:tgtFrame="_hplink" w:history="1">
        <w:r w:rsidRPr="007715EE">
          <w:rPr>
            <w:rStyle w:val="StyleUnderline"/>
          </w:rPr>
          <w:t>health care law</w:t>
        </w:r>
      </w:hyperlink>
      <w:r w:rsidRPr="007715EE">
        <w:rPr>
          <w:rStyle w:val="StyleUnderline"/>
        </w:rPr>
        <w:t>, undocumented immigrants are not eligible for any assistance.</w:t>
      </w:r>
      <w:r w:rsidRPr="007715EE">
        <w:rPr>
          <w:sz w:val="16"/>
        </w:rPr>
        <w:t xml:space="preserve"> For example, </w:t>
      </w:r>
      <w:r w:rsidRPr="007715EE">
        <w:rPr>
          <w:rStyle w:val="StyleUnderline"/>
        </w:rPr>
        <w:t>they are excluded from getting federal subsidies to buy health insurance, and they cannot shop for coverage in the health insurance marketplace.</w:t>
      </w:r>
      <w:r w:rsidRPr="007715EE">
        <w:rPr>
          <w:sz w:val="16"/>
        </w:rPr>
        <w:t xml:space="preserve"> U.S. Department of Health and Human Services Secretary Kathleen Sebelius made that clear last week while answering questions about the health care law on a </w:t>
      </w:r>
      <w:hyperlink r:id="rId254" w:tgtFrame="_hplink" w:history="1">
        <w:r w:rsidRPr="007715EE">
          <w:rPr>
            <w:rStyle w:val="Hyperlink"/>
            <w:sz w:val="16"/>
          </w:rPr>
          <w:t>Google Hangout</w:t>
        </w:r>
      </w:hyperlink>
      <w:r w:rsidRPr="007715EE">
        <w:rPr>
          <w:sz w:val="16"/>
        </w:rPr>
        <w:t xml:space="preserve"> sponsored by Voto Latino. “Y</w:t>
      </w:r>
      <w:r w:rsidRPr="007715EE">
        <w:rPr>
          <w:rStyle w:val="StyleUnderline"/>
        </w:rPr>
        <w:t>ou have to be a legal resident in order to be entitled to a tax credit and purchase health insurance in the marketplace,</w:t>
      </w:r>
      <w:r w:rsidRPr="007715EE">
        <w:rPr>
          <w:sz w:val="16"/>
        </w:rPr>
        <w:t xml:space="preserve">” she said. </w:t>
      </w:r>
      <w:r w:rsidRPr="007715EE">
        <w:rPr>
          <w:rStyle w:val="StyleUnderline"/>
        </w:rPr>
        <w:t xml:space="preserve">It is estimated that more than half of all undocumented immigrants currently living in the United States don’t have health insurance. And only a few have insurance through employer-sponsored programs. The Urban Institute </w:t>
      </w:r>
      <w:hyperlink r:id="rId255" w:tgtFrame="_hplink" w:history="1">
        <w:r w:rsidRPr="007715EE">
          <w:rPr>
            <w:rStyle w:val="StyleUnderline"/>
          </w:rPr>
          <w:t>estimates</w:t>
        </w:r>
      </w:hyperlink>
      <w:r w:rsidRPr="007715EE">
        <w:rPr>
          <w:rStyle w:val="StyleUnderline"/>
        </w:rPr>
        <w:t xml:space="preserve"> that 25 percent of the people who will remain without health insurance</w:t>
      </w:r>
      <w:r w:rsidRPr="007715EE">
        <w:rPr>
          <w:sz w:val="16"/>
        </w:rPr>
        <w:t xml:space="preserve"> once the Affordable Care Act is fully implemented </w:t>
      </w:r>
      <w:r w:rsidRPr="007715EE">
        <w:rPr>
          <w:rStyle w:val="StyleUnderline"/>
        </w:rPr>
        <w:t>will be undocumented immigrants, making up the nation’s second-largest population of uninsured.</w:t>
      </w:r>
    </w:p>
    <w:p w:rsidR="00952DD5" w:rsidRDefault="00952DD5" w:rsidP="00952DD5"/>
    <w:p w:rsidR="00CE6D10" w:rsidRPr="00F933AF" w:rsidRDefault="00E65063" w:rsidP="00E65063">
      <w:pPr>
        <w:pStyle w:val="Heading3"/>
      </w:pPr>
      <w:r>
        <w:t xml:space="preserve">1nc – Public Charge Good </w:t>
      </w:r>
    </w:p>
    <w:p w:rsidR="00CE6D10" w:rsidRPr="00F933AF" w:rsidRDefault="00CE6D10" w:rsidP="00CE6D10">
      <w:pPr>
        <w:pStyle w:val="Heading4"/>
        <w:rPr>
          <w:rFonts w:cs="Calibri"/>
        </w:rPr>
      </w:pPr>
      <w:r w:rsidRPr="00F933AF">
        <w:rPr>
          <w:rFonts w:cs="Calibri"/>
        </w:rPr>
        <w:t>Public charge is key to protect low-income Americans and taxpayers</w:t>
      </w:r>
    </w:p>
    <w:p w:rsidR="00CE6D10" w:rsidRPr="00F933AF" w:rsidRDefault="00CE6D10" w:rsidP="00CE6D10">
      <w:pPr>
        <w:rPr>
          <w:rFonts w:cs="Calibri"/>
        </w:rPr>
      </w:pPr>
      <w:r w:rsidRPr="00F933AF">
        <w:rPr>
          <w:rFonts w:cs="Calibri"/>
          <w:b/>
        </w:rPr>
        <w:t xml:space="preserve">Arthur 18 </w:t>
      </w:r>
      <w:r w:rsidRPr="00F933AF">
        <w:rPr>
          <w:rFonts w:cs="Calibri"/>
          <w:sz w:val="18"/>
          <w:szCs w:val="18"/>
        </w:rPr>
        <w:t>(Andrew R. Arthur, resident fellow in law and policy for the Center for Immigration Studies, Center for Immigration Studies, 5/7/18, “Two Reasons to Amend the Public Charge Ground of Inadmissibility,” https://cis.org/Arthur/Two-Reasons-Amend-Public-Charge-Ground-Inadmissibility)jy</w:t>
      </w:r>
    </w:p>
    <w:p w:rsidR="00CE6D10" w:rsidRPr="00F933AF" w:rsidRDefault="00CE6D10" w:rsidP="00CE6D10">
      <w:pPr>
        <w:rPr>
          <w:rFonts w:cs="Calibri"/>
          <w:u w:val="single"/>
        </w:rPr>
      </w:pPr>
      <w:r w:rsidRPr="00F933AF">
        <w:rPr>
          <w:rFonts w:cs="Calibri"/>
          <w:u w:val="single"/>
        </w:rPr>
        <w:t>The</w:t>
      </w:r>
      <w:r w:rsidRPr="00F933AF">
        <w:rPr>
          <w:rFonts w:cs="Calibri"/>
          <w:sz w:val="12"/>
        </w:rPr>
        <w:t xml:space="preserve"> Department of Homeland Security (DHS) </w:t>
      </w:r>
      <w:hyperlink r:id="rId256" w:tgtFrame="_blank" w:history="1">
        <w:r w:rsidRPr="00F933AF">
          <w:rPr>
            <w:rStyle w:val="Hyperlink"/>
            <w:rFonts w:cs="Calibri"/>
            <w:sz w:val="12"/>
          </w:rPr>
          <w:t>has announced</w:t>
        </w:r>
      </w:hyperlink>
      <w:r w:rsidRPr="00F933AF">
        <w:rPr>
          <w:rFonts w:cs="Calibri"/>
          <w:sz w:val="12"/>
        </w:rPr>
        <w:t xml:space="preserve"> that it will "propose regulatory provisions guiding the inadmissibility determination on whether an alien is likely at any time to become a public charge under section 212(a)(4) of the Immigration and Nationality Act (INA)." Properly amended, the regulations governing the inadmissibility of aliens who are likely to become public charges would benefit not only taxpayers, but also disadvantaged workers in the United States. A purported proposed draft of those regulatory changes was obtained by the </w:t>
      </w:r>
      <w:hyperlink r:id="rId257" w:tgtFrame="_blank" w:history="1">
        <w:r w:rsidRPr="00F933AF">
          <w:rPr>
            <w:rStyle w:val="Hyperlink"/>
            <w:rFonts w:cs="Calibri"/>
            <w:sz w:val="12"/>
          </w:rPr>
          <w:t>Washington Post</w:t>
        </w:r>
      </w:hyperlink>
      <w:r w:rsidRPr="00F933AF">
        <w:rPr>
          <w:rFonts w:cs="Calibri"/>
          <w:sz w:val="12"/>
        </w:rPr>
        <w:t xml:space="preserve">, which reported on them on March 28, 2018. As the paper explained: </w:t>
      </w:r>
      <w:r w:rsidRPr="00F933AF">
        <w:rPr>
          <w:rFonts w:cs="Calibri"/>
          <w:u w:val="single"/>
        </w:rPr>
        <w:t>Current rules penalize immigrants who receive cash welfare payments, considering them a "public charge</w:t>
      </w:r>
      <w:r w:rsidRPr="00F933AF">
        <w:rPr>
          <w:rFonts w:cs="Calibri"/>
          <w:sz w:val="12"/>
        </w:rPr>
        <w:t>." But the proposed changes from the Department of Homeland Security would broaden the government's definition of benefits to include the widely used earned-income tax credit as well as health insurance subsidies and other "non-cash public benefits." The changes would apply to those seeking immigration visas or legal permanent residency, such as a foreigner with an expiring work visa. While they would make little difference to those living here illegally, it could affect immigrants protected by the Deferred Action for Childhood Arrivals program — whose termination has been blocked by federal courts — if they attempt to file for full legal residency. The "public charge" ground of inadmissibility, found at section 212(a</w:t>
      </w:r>
      <w:proofErr w:type="gramStart"/>
      <w:r w:rsidRPr="00F933AF">
        <w:rPr>
          <w:rFonts w:cs="Calibri"/>
          <w:sz w:val="12"/>
        </w:rPr>
        <w:t>)(</w:t>
      </w:r>
      <w:proofErr w:type="gramEnd"/>
      <w:r w:rsidRPr="00F933AF">
        <w:rPr>
          <w:rFonts w:cs="Calibri"/>
          <w:sz w:val="12"/>
        </w:rPr>
        <w:t xml:space="preserve">4) of the INA, is fairly straightforward. Subparagraph (A) therein states: Any alien who, in the opinion of the consular officer at the time of application for a visa, or in the opinion of the Attorney General at the time of application for admission or adjustment of status, is likely at any time to become a public charge is inadmissible. </w:t>
      </w:r>
      <w:hyperlink r:id="rId258" w:tgtFrame="_blank" w:history="1">
        <w:r w:rsidRPr="00F933AF">
          <w:rPr>
            <w:rStyle w:val="Hyperlink"/>
            <w:rFonts w:cs="Calibri"/>
            <w:u w:val="single"/>
          </w:rPr>
          <w:t>"Public charge"</w:t>
        </w:r>
      </w:hyperlink>
      <w:r w:rsidRPr="00F933AF">
        <w:rPr>
          <w:rFonts w:cs="Calibri"/>
          <w:u w:val="single"/>
        </w:rPr>
        <w:t xml:space="preserve"> is one of the oldest, and generally least controversial, grounds of inadmissibility. </w:t>
      </w:r>
      <w:r w:rsidRPr="00F933AF">
        <w:rPr>
          <w:rFonts w:cs="Calibri"/>
          <w:sz w:val="12"/>
        </w:rPr>
        <w:t>The Congressional Research Service (</w:t>
      </w:r>
      <w:hyperlink r:id="rId259" w:tgtFrame="_blank" w:history="1">
        <w:r w:rsidRPr="00F933AF">
          <w:rPr>
            <w:rStyle w:val="Hyperlink"/>
            <w:rFonts w:cs="Calibri"/>
            <w:sz w:val="12"/>
          </w:rPr>
          <w:t>CRS</w:t>
        </w:r>
      </w:hyperlink>
      <w:r w:rsidRPr="00F933AF">
        <w:rPr>
          <w:rFonts w:cs="Calibri"/>
          <w:sz w:val="12"/>
        </w:rPr>
        <w:t xml:space="preserve">) explains the history of this provision: </w:t>
      </w:r>
      <w:r w:rsidRPr="00F933AF">
        <w:rPr>
          <w:rFonts w:cs="Calibri"/>
          <w:u w:val="single"/>
        </w:rPr>
        <w:t>Congress has long sought to ensure that aliens immigrating to the United States are able to support themselves</w:t>
      </w:r>
      <w:r w:rsidRPr="00F933AF">
        <w:rPr>
          <w:rFonts w:cs="Calibri"/>
          <w:sz w:val="12"/>
        </w:rPr>
        <w:t xml:space="preserve">. The country's first general immigration law, enacted in 1882, excluded aliens who were deemed "likely to become a public charge" after they came to the United States. A little over 20 years later, in 1903, Congress made aliens who had migrated to the United States deportable if they became public charges within two years after entry (subsequently increased to five years). Both provisions have been modified somewhat over the years, but remain part of the Immigration and Nationality Act (INA). This history clarifies the rationale behind the public charge rule: </w:t>
      </w:r>
      <w:r w:rsidRPr="00F933AF">
        <w:rPr>
          <w:rFonts w:cs="Calibri"/>
          <w:u w:val="single"/>
        </w:rPr>
        <w:t xml:space="preserve">The United States has always been a country both of opportunity and of immigrants, but there is an expectation that foreign nationals who come to this country "pull their own weight", that is, be able to support themselves as well as any family members they bring. </w:t>
      </w:r>
      <w:r w:rsidRPr="00F933AF">
        <w:rPr>
          <w:rFonts w:cs="Calibri"/>
          <w:sz w:val="12"/>
        </w:rPr>
        <w:t xml:space="preserve">There are strong reasons supporting this rule. Gallup released a </w:t>
      </w:r>
      <w:hyperlink r:id="rId260" w:tgtFrame="_blank" w:history="1">
        <w:r w:rsidRPr="00F933AF">
          <w:rPr>
            <w:rStyle w:val="Hyperlink"/>
            <w:rFonts w:cs="Calibri"/>
            <w:sz w:val="12"/>
          </w:rPr>
          <w:t>poll</w:t>
        </w:r>
      </w:hyperlink>
      <w:r w:rsidRPr="00F933AF">
        <w:rPr>
          <w:rFonts w:cs="Calibri"/>
          <w:sz w:val="12"/>
        </w:rPr>
        <w:t xml:space="preserve"> in 2012 that revealed that </w:t>
      </w:r>
      <w:r w:rsidRPr="00F933AF">
        <w:rPr>
          <w:rFonts w:cs="Calibri"/>
          <w:u w:val="single"/>
        </w:rPr>
        <w:t>150 million adults around the world, nearly one in 30 of the planet's inhabitants, would immigrate to the United States if they had the chance.</w:t>
      </w:r>
      <w:r w:rsidRPr="00F933AF">
        <w:rPr>
          <w:rFonts w:cs="Calibri"/>
          <w:sz w:val="12"/>
        </w:rPr>
        <w:t xml:space="preserve"> The reasons are obvious, but worth stating: </w:t>
      </w:r>
      <w:r w:rsidRPr="00F933AF">
        <w:rPr>
          <w:rFonts w:cs="Calibri"/>
          <w:u w:val="single"/>
        </w:rPr>
        <w:t>the United States has a dependable system of justice, a</w:t>
      </w:r>
      <w:r w:rsidRPr="00F933AF">
        <w:rPr>
          <w:rFonts w:cs="Calibri"/>
          <w:sz w:val="12"/>
        </w:rPr>
        <w:t xml:space="preserve"> comparatively </w:t>
      </w:r>
      <w:r w:rsidRPr="00F933AF">
        <w:rPr>
          <w:rFonts w:cs="Calibri"/>
          <w:u w:val="single"/>
        </w:rPr>
        <w:t>good education system</w:t>
      </w:r>
      <w:r w:rsidRPr="00F933AF">
        <w:rPr>
          <w:rFonts w:cs="Calibri"/>
          <w:sz w:val="12"/>
        </w:rPr>
        <w:t xml:space="preserve"> (with notable exceptions), </w:t>
      </w:r>
      <w:r w:rsidRPr="00F933AF">
        <w:rPr>
          <w:rFonts w:cs="Calibri"/>
          <w:u w:val="single"/>
        </w:rPr>
        <w:t>the best health care</w:t>
      </w:r>
      <w:r w:rsidRPr="00F933AF">
        <w:rPr>
          <w:rFonts w:cs="Calibri"/>
          <w:sz w:val="12"/>
        </w:rPr>
        <w:t xml:space="preserve"> in the world, </w:t>
      </w:r>
      <w:r w:rsidRPr="00F933AF">
        <w:rPr>
          <w:rFonts w:cs="Calibri"/>
          <w:u w:val="single"/>
        </w:rPr>
        <w:t>and a robust attachment to the rule of law</w:t>
      </w:r>
      <w:r w:rsidRPr="00F933AF">
        <w:rPr>
          <w:rFonts w:cs="Calibri"/>
          <w:sz w:val="12"/>
        </w:rPr>
        <w:t xml:space="preserve"> (again, with notable exceptions). </w:t>
      </w:r>
      <w:r w:rsidRPr="00F933AF">
        <w:rPr>
          <w:rFonts w:cs="Calibri"/>
          <w:u w:val="single"/>
        </w:rPr>
        <w:t>The largest proportions of individuals who would immigrate to this country, however, come from some of the poorest countries in the world.</w:t>
      </w:r>
      <w:r w:rsidRPr="00F933AF">
        <w:rPr>
          <w:rFonts w:cs="Calibri"/>
          <w:sz w:val="12"/>
        </w:rPr>
        <w:t xml:space="preserve"> For example, Gallup reports that 37 percent of all Liberians would like to move to the United States. The Central Intelligence Agency (CIA) </w:t>
      </w:r>
      <w:hyperlink r:id="rId261" w:tgtFrame="_blank" w:history="1">
        <w:r w:rsidRPr="00F933AF">
          <w:rPr>
            <w:rStyle w:val="Hyperlink"/>
            <w:rFonts w:cs="Calibri"/>
            <w:sz w:val="12"/>
          </w:rPr>
          <w:t>World Factbook</w:t>
        </w:r>
      </w:hyperlink>
      <w:r w:rsidRPr="00F933AF">
        <w:rPr>
          <w:rFonts w:cs="Calibri"/>
          <w:sz w:val="12"/>
        </w:rPr>
        <w:t xml:space="preserve"> states: "</w:t>
      </w:r>
      <w:r w:rsidRPr="00F933AF">
        <w:rPr>
          <w:rFonts w:cs="Calibri"/>
          <w:u w:val="single"/>
        </w:rPr>
        <w:t>Liberia</w:t>
      </w:r>
      <w:r w:rsidRPr="00F933AF">
        <w:rPr>
          <w:rFonts w:cs="Calibri"/>
          <w:sz w:val="12"/>
        </w:rPr>
        <w:t xml:space="preserve"> is a low-income country that relies heavily on foreign assistance and remittances from the diaspora." Some 30 percent of nationals of </w:t>
      </w:r>
      <w:r w:rsidRPr="00F933AF">
        <w:rPr>
          <w:rFonts w:cs="Calibri"/>
          <w:u w:val="single"/>
        </w:rPr>
        <w:t>Sierra Leone</w:t>
      </w:r>
      <w:r w:rsidRPr="00F933AF">
        <w:rPr>
          <w:rFonts w:cs="Calibri"/>
          <w:sz w:val="12"/>
        </w:rPr>
        <w:t xml:space="preserve"> would also like to come to the United States, according to </w:t>
      </w:r>
      <w:hyperlink r:id="rId262" w:tgtFrame="_blank" w:history="1">
        <w:r w:rsidRPr="00F933AF">
          <w:rPr>
            <w:rStyle w:val="Hyperlink"/>
            <w:rFonts w:cs="Calibri"/>
            <w:sz w:val="12"/>
          </w:rPr>
          <w:t>Gallup</w:t>
        </w:r>
      </w:hyperlink>
      <w:r w:rsidRPr="00F933AF">
        <w:rPr>
          <w:rFonts w:cs="Calibri"/>
          <w:sz w:val="12"/>
        </w:rPr>
        <w:t xml:space="preserve">. According to the </w:t>
      </w:r>
      <w:hyperlink r:id="rId263" w:tgtFrame="_blank" w:history="1">
        <w:r w:rsidRPr="00F933AF">
          <w:rPr>
            <w:rStyle w:val="Hyperlink"/>
            <w:rFonts w:cs="Calibri"/>
            <w:sz w:val="12"/>
          </w:rPr>
          <w:t>CIA</w:t>
        </w:r>
      </w:hyperlink>
      <w:r w:rsidRPr="00F933AF">
        <w:rPr>
          <w:rFonts w:cs="Calibri"/>
          <w:sz w:val="12"/>
        </w:rPr>
        <w:t xml:space="preserve">: "Sierra Leone is extremely poor and nearly half of the working-age population engages in subsistence agriculture." Third on </w:t>
      </w:r>
      <w:hyperlink r:id="rId264" w:tgtFrame="_blank" w:history="1">
        <w:r w:rsidRPr="00F933AF">
          <w:rPr>
            <w:rStyle w:val="Hyperlink"/>
            <w:rFonts w:cs="Calibri"/>
            <w:sz w:val="12"/>
          </w:rPr>
          <w:t>Gallup's list</w:t>
        </w:r>
      </w:hyperlink>
      <w:r w:rsidRPr="00F933AF">
        <w:rPr>
          <w:rFonts w:cs="Calibri"/>
          <w:sz w:val="12"/>
        </w:rPr>
        <w:t xml:space="preserve"> is the </w:t>
      </w:r>
      <w:r w:rsidRPr="00F933AF">
        <w:rPr>
          <w:rFonts w:cs="Calibri"/>
          <w:u w:val="single"/>
        </w:rPr>
        <w:t>Dominican Republic</w:t>
      </w:r>
      <w:r w:rsidRPr="00F933AF">
        <w:rPr>
          <w:rFonts w:cs="Calibri"/>
          <w:sz w:val="12"/>
        </w:rPr>
        <w:t xml:space="preserve">, 26 percent of whose nationals would like to come to the United States. As the </w:t>
      </w:r>
      <w:hyperlink r:id="rId265" w:tgtFrame="_blank" w:history="1">
        <w:r w:rsidRPr="00F933AF">
          <w:rPr>
            <w:rStyle w:val="Hyperlink"/>
            <w:rFonts w:cs="Calibri"/>
            <w:sz w:val="12"/>
          </w:rPr>
          <w:t>CIA</w:t>
        </w:r>
      </w:hyperlink>
      <w:r w:rsidRPr="00F933AF">
        <w:rPr>
          <w:rFonts w:cs="Calibri"/>
          <w:sz w:val="12"/>
        </w:rPr>
        <w:t xml:space="preserve"> explains: The country </w:t>
      </w:r>
      <w:r w:rsidRPr="00F933AF">
        <w:rPr>
          <w:rFonts w:cs="Calibri"/>
          <w:u w:val="single"/>
        </w:rPr>
        <w:t>suffers from marked income inequality</w:t>
      </w:r>
      <w:r w:rsidRPr="00F933AF">
        <w:rPr>
          <w:rFonts w:cs="Calibri"/>
          <w:sz w:val="12"/>
        </w:rPr>
        <w:t xml:space="preserve">; the poorest half of the population receives less than one-fifth of GDP, while the richest 10% enjoys nearly 40% of GDP. </w:t>
      </w:r>
      <w:r w:rsidRPr="00F933AF">
        <w:rPr>
          <w:rFonts w:cs="Calibri"/>
          <w:u w:val="single"/>
        </w:rPr>
        <w:t>High unemployment, a large informal sector, and underemployment remain important long-term challenges</w:t>
      </w:r>
      <w:r w:rsidRPr="00F933AF">
        <w:rPr>
          <w:rFonts w:cs="Calibri"/>
          <w:sz w:val="12"/>
        </w:rPr>
        <w:t xml:space="preserve">. While undoubtedly there are many rich Dominicans who would welcome the opportunity to immigrate to the United States, it is reasonable to believe that </w:t>
      </w:r>
      <w:r w:rsidRPr="00F933AF">
        <w:rPr>
          <w:rFonts w:cs="Calibri"/>
          <w:u w:val="single"/>
        </w:rPr>
        <w:t>the vast majority of those who want to move</w:t>
      </w:r>
      <w:r w:rsidRPr="00F933AF">
        <w:rPr>
          <w:rFonts w:cs="Calibri"/>
          <w:sz w:val="12"/>
        </w:rPr>
        <w:t xml:space="preserve"> to this country from the Dominican Republic </w:t>
      </w:r>
      <w:r w:rsidRPr="00F933AF">
        <w:rPr>
          <w:rFonts w:cs="Calibri"/>
          <w:u w:val="single"/>
        </w:rPr>
        <w:t>are in "the poorest half the population". Given the large number of individuals interested in immigrating to the United States, and this country's long history of expecting self-sufficiency from its immigrants, the United States can, and should, choose those potential immigrants who are unlikely to be a burden on their (future) fellow citizens</w:t>
      </w:r>
      <w:r w:rsidRPr="00F933AF">
        <w:rPr>
          <w:rFonts w:cs="Calibri"/>
          <w:sz w:val="12"/>
        </w:rPr>
        <w:t xml:space="preserve">. Despite the consensus on this commonsense rule, the applicability of the "public charge" ground of inadmissibility has traditionally been somewhat unsettled. As </w:t>
      </w:r>
      <w:hyperlink r:id="rId266" w:tgtFrame="_blank" w:history="1">
        <w:r w:rsidRPr="00F933AF">
          <w:rPr>
            <w:rStyle w:val="Hyperlink"/>
            <w:rFonts w:cs="Calibri"/>
            <w:sz w:val="12"/>
          </w:rPr>
          <w:t>CRS</w:t>
        </w:r>
      </w:hyperlink>
      <w:r w:rsidRPr="00F933AF">
        <w:rPr>
          <w:rFonts w:cs="Calibri"/>
          <w:sz w:val="12"/>
        </w:rPr>
        <w:t xml:space="preserve"> explains: [W]hile the INA provides that an alien may be inadmissible or deportable on public charge grounds, it does not define what it means for an alien to be a public charge. Such determinations were historically made using certain tests developed by the case law, discussed below. Then, in 1996, Congress amended the INA provisions regarding the public charge ground of inadmissibility to require that consular and immigration officers take certain factors "into account" when determining whether aliens are inadmissible or ineligible for adjustment of status on public charge grounds. These factors include, "at a minimum," the alien's age; health; family status; assets, resources, and financial status; and education and skills. In addition, the 1996 amendments also authorize consular and immigration officers to consider any affidavit of support furnished on behalf of an alien and provide that certain family-sponsored and employment-based immigrants are inadmissible if they do not have the requisite affidavit of support. Notwithstanding the reasons for the rule, and the guidance provided by Congress in 1996, it is notable that, as U.S. Citizenship and Immigration Services (USCIS) describes the rule on its </w:t>
      </w:r>
      <w:hyperlink r:id="rId267" w:tgtFrame="_blank" w:history="1">
        <w:r w:rsidRPr="00F933AF">
          <w:rPr>
            <w:rStyle w:val="Hyperlink"/>
            <w:rFonts w:cs="Calibri"/>
            <w:sz w:val="12"/>
          </w:rPr>
          <w:t>website</w:t>
        </w:r>
      </w:hyperlink>
      <w:r w:rsidRPr="00F933AF">
        <w:rPr>
          <w:rFonts w:cs="Calibri"/>
          <w:sz w:val="12"/>
        </w:rPr>
        <w:t xml:space="preserve">, "receiving public benefits does not automatically make an individual a public charge." The agency notes, however: </w:t>
      </w:r>
      <w:r w:rsidRPr="00F933AF">
        <w:rPr>
          <w:rFonts w:cs="Calibri"/>
          <w:u w:val="single"/>
        </w:rPr>
        <w:t>In determining inadmissibility, USCIS defines "public charge" as an individual who is likely to become "primarily dependent on the government for subsistence, as demonstrated by either the receipt of public cash assistance for income maintenance, or institutionalization for long-term care at government expense."</w:t>
      </w:r>
      <w:r w:rsidRPr="00F933AF">
        <w:rPr>
          <w:rFonts w:cs="Calibri"/>
          <w:sz w:val="12"/>
        </w:rPr>
        <w:t xml:space="preserve"> ... USCIS guidance specifies that cash assistance for income maintenance includes Supplemental Security Income (SSI), cash assistance from the Temporary Assistance for Needy Families (TANF) program and state or local cash assistance programs for income maintenance, often called "general assistance" programs</w:t>
      </w:r>
      <w:r w:rsidRPr="00F933AF">
        <w:rPr>
          <w:rFonts w:cs="Calibri"/>
          <w:u w:val="single"/>
        </w:rPr>
        <w:t>. Acceptance of these forms of public cash assistance could make a noncitizen inadmissible as a public charge if all other criteria are met. However, the mere receipt of these benefits does not automatically make an individual inadmissible, ineligible to adjust status to lawful permanent resident, or deportable on public charge grounds</w:t>
      </w:r>
      <w:r w:rsidRPr="00F933AF">
        <w:rPr>
          <w:rFonts w:cs="Calibri"/>
          <w:sz w:val="12"/>
        </w:rPr>
        <w:t xml:space="preserve">. ... </w:t>
      </w:r>
      <w:r w:rsidRPr="00F933AF">
        <w:rPr>
          <w:rFonts w:cs="Calibri"/>
          <w:u w:val="single"/>
        </w:rPr>
        <w:t>Each determination is made on a case-by-case basis in the context of the totality of the circumstances.</w:t>
      </w:r>
      <w:r w:rsidRPr="00F933AF">
        <w:rPr>
          <w:rFonts w:cs="Calibri"/>
          <w:sz w:val="12"/>
        </w:rPr>
        <w:t xml:space="preserve"> In addition, public assistance, including Medicaid, that is used to support aliens who reside in an institution for long-term care — such as a nursing home or mental health institution — may also be considered as an adverse factor in the totality of the circumstances for purposes of public charge determinations. Short-term institutionalization for rehabilitation is not subject to public charge consideration. [Emphasis added.] Respectfully, it is difficult to conceive what the phrase "public charge" means if it did not include all aliens who receive "cash assistance" from the government. If the taxpayers are paying for any part of your subsistence, you would logically be a "public charge". How many immigrants receive such benefits? The </w:t>
      </w:r>
      <w:hyperlink r:id="rId268" w:tgtFrame="_blank" w:history="1">
        <w:r w:rsidRPr="00F933AF">
          <w:rPr>
            <w:rStyle w:val="Hyperlink"/>
            <w:rFonts w:cs="Calibri"/>
            <w:sz w:val="12"/>
          </w:rPr>
          <w:t>Washington Post</w:t>
        </w:r>
      </w:hyperlink>
      <w:r w:rsidRPr="00F933AF">
        <w:rPr>
          <w:rFonts w:cs="Calibri"/>
          <w:sz w:val="12"/>
        </w:rPr>
        <w:t xml:space="preserve"> reports: </w:t>
      </w:r>
      <w:r w:rsidRPr="00F933AF">
        <w:rPr>
          <w:rFonts w:cs="Calibri"/>
          <w:u w:val="single"/>
        </w:rPr>
        <w:t>Out of the 41.5 million immigrants living in the United States, 3.7 percent received cash benefits in 2013, and 22.7 percent accepted noncash benefits including Medicaid, housing subsidies or home heating assistance</w:t>
      </w:r>
      <w:r w:rsidRPr="00F933AF">
        <w:rPr>
          <w:rFonts w:cs="Calibri"/>
          <w:sz w:val="12"/>
        </w:rPr>
        <w:t xml:space="preserve">, according to statistics compiled by U.S. Citizenship and Immigration Services. The most interesting aspect of this issue, however, is not the "public charge" rule or even any of the proposed amendments thereto. Instead, it is a particular response to that leaked, alleged, draft rule from the National Immigration Law Center (NILC). NILC issued a </w:t>
      </w:r>
      <w:hyperlink r:id="rId269" w:tgtFrame="_blank" w:history="1">
        <w:r w:rsidRPr="00F933AF">
          <w:rPr>
            <w:rStyle w:val="Hyperlink"/>
            <w:rFonts w:cs="Calibri"/>
            <w:sz w:val="12"/>
          </w:rPr>
          <w:t>fact sheet</w:t>
        </w:r>
      </w:hyperlink>
      <w:r w:rsidRPr="00F933AF">
        <w:rPr>
          <w:rFonts w:cs="Calibri"/>
          <w:sz w:val="12"/>
        </w:rPr>
        <w:t xml:space="preserve"> on that proposed rule, which was last updated on April 12, 2018. That organization's take on the proposed rule is apparent from the first line therein: </w:t>
      </w:r>
      <w:r w:rsidRPr="00F933AF">
        <w:rPr>
          <w:rFonts w:cs="Calibri"/>
          <w:u w:val="single"/>
        </w:rPr>
        <w:t>The Trump administration is opening a new front in its assault on family-based immigration by making it harder for immigrants who might use essential public services to come to the United States and settle here permanently</w:t>
      </w:r>
      <w:r w:rsidRPr="00F933AF">
        <w:rPr>
          <w:rFonts w:cs="Calibri"/>
          <w:sz w:val="12"/>
        </w:rPr>
        <w:t>. The most interesting statistic from that fact sheet is buried on the third of four pages: "</w:t>
      </w:r>
      <w:r w:rsidRPr="00F933AF">
        <w:rPr>
          <w:rFonts w:cs="Calibri"/>
          <w:u w:val="single"/>
        </w:rPr>
        <w:t>Immigrants have higher rates of employment than U.S.-born citizens but often work in jobs that pay them less than their U.S.-born counterparts</w:t>
      </w:r>
      <w:r w:rsidRPr="00F933AF">
        <w:rPr>
          <w:rFonts w:cs="Calibri"/>
          <w:sz w:val="12"/>
        </w:rPr>
        <w:t xml:space="preserve">." Put another way, </w:t>
      </w:r>
      <w:r w:rsidRPr="00F933AF">
        <w:rPr>
          <w:rFonts w:cs="Calibri"/>
          <w:u w:val="single"/>
        </w:rPr>
        <w:t>immigrants are often in direct competition with U.S. citizens</w:t>
      </w:r>
      <w:r w:rsidRPr="00F933AF">
        <w:rPr>
          <w:rFonts w:cs="Calibri"/>
          <w:sz w:val="12"/>
        </w:rPr>
        <w:t xml:space="preserve"> (and other immigrants) </w:t>
      </w:r>
      <w:r w:rsidRPr="00F933AF">
        <w:rPr>
          <w:rFonts w:cs="Calibri"/>
          <w:u w:val="single"/>
        </w:rPr>
        <w:t>at the lower end of the pay scale</w:t>
      </w:r>
      <w:r w:rsidRPr="00F933AF">
        <w:rPr>
          <w:rFonts w:cs="Calibri"/>
          <w:sz w:val="12"/>
        </w:rPr>
        <w:t xml:space="preserve">. The receipt of public benefits for oneself or one's dependents is a logical marker for limited employment opportunities. Although not a hard and fast rule, most Americans would prefer to support themselves and their families instead of relying on the government to do so. Logically, therefore, those </w:t>
      </w:r>
      <w:r w:rsidRPr="00F933AF">
        <w:rPr>
          <w:rFonts w:cs="Calibri"/>
          <w:u w:val="single"/>
        </w:rPr>
        <w:t>American workers with whom immigrants receiving public benefits would be in competition are the least advantaged in our society, generally those who have received fewer educational and/or employment opportunities than society as a whole</w:t>
      </w:r>
      <w:r w:rsidRPr="00F933AF">
        <w:rPr>
          <w:rFonts w:cs="Calibri"/>
          <w:sz w:val="12"/>
        </w:rPr>
        <w:t xml:space="preserve">. </w:t>
      </w:r>
      <w:hyperlink r:id="rId270" w:tgtFrame="_blank" w:history="1">
        <w:r w:rsidRPr="00F933AF">
          <w:rPr>
            <w:rStyle w:val="Hyperlink"/>
            <w:rFonts w:cs="Calibri"/>
            <w:sz w:val="12"/>
          </w:rPr>
          <w:t>Barbara Jordan</w:t>
        </w:r>
      </w:hyperlink>
      <w:r w:rsidRPr="00F933AF">
        <w:rPr>
          <w:rFonts w:cs="Calibri"/>
          <w:sz w:val="12"/>
        </w:rPr>
        <w:t xml:space="preserve">, the civil-rights leader and African-American congresswoman from Texas who was appointed by President Bill Clinton to head the U.S. Commission on Immigration Reform, said the following </w:t>
      </w:r>
      <w:hyperlink r:id="rId271" w:tgtFrame="_blank" w:history="1">
        <w:r w:rsidRPr="00F933AF">
          <w:rPr>
            <w:rStyle w:val="Hyperlink"/>
            <w:rFonts w:cs="Calibri"/>
            <w:sz w:val="12"/>
          </w:rPr>
          <w:t>in a speech</w:t>
        </w:r>
      </w:hyperlink>
      <w:r w:rsidRPr="00F933AF">
        <w:rPr>
          <w:rFonts w:cs="Calibri"/>
          <w:sz w:val="12"/>
        </w:rPr>
        <w:t xml:space="preserve"> a few months before her death: </w:t>
      </w:r>
      <w:r w:rsidRPr="00F933AF">
        <w:rPr>
          <w:rFonts w:cs="Calibri"/>
          <w:u w:val="single"/>
        </w:rPr>
        <w:t>The Commission finds no national interest in continuing to import lesser-skilled and unskilled workers to compete in the most vulnerable parts of our labor force. Many American workers do not have adequate job prospects. We should make their task easier to find employment, not harder. Not only would a "public charge" rule that bars the admission of aliens receiving public benefits protect the public fisc, it would also make it more likely that American workers who "do not have adequate job prospects" would be able to find employment</w:t>
      </w:r>
      <w:r w:rsidRPr="00F933AF">
        <w:rPr>
          <w:rFonts w:cs="Calibri"/>
          <w:sz w:val="12"/>
        </w:rPr>
        <w:t xml:space="preserve">. The proposed rule has not yet been released, so the exact parameters of it are unclear. </w:t>
      </w:r>
      <w:r w:rsidRPr="00F933AF">
        <w:rPr>
          <w:rFonts w:cs="Calibri"/>
          <w:u w:val="single"/>
        </w:rPr>
        <w:t>If DHS wants to protect both American workers and their pocketbooks, however, the department would be wise to include a robust "public charge" ground of inadmissibility.</w:t>
      </w:r>
    </w:p>
    <w:p w:rsidR="00CE6D10" w:rsidRPr="00F933AF" w:rsidRDefault="00CE6D10" w:rsidP="00CE6D10">
      <w:pPr>
        <w:rPr>
          <w:rFonts w:cs="Calibri"/>
        </w:rPr>
      </w:pPr>
    </w:p>
    <w:p w:rsidR="00E65063" w:rsidRDefault="00E65063" w:rsidP="00E65063">
      <w:pPr>
        <w:pStyle w:val="Heading3"/>
      </w:pPr>
      <w:r>
        <w:t>1nc – Reg Struck Down</w:t>
      </w:r>
    </w:p>
    <w:p w:rsidR="00721D38" w:rsidRPr="00F933AF" w:rsidRDefault="00721D38" w:rsidP="00721D38">
      <w:pPr>
        <w:pStyle w:val="Heading4"/>
        <w:rPr>
          <w:rFonts w:cs="Calibri"/>
        </w:rPr>
      </w:pPr>
      <w:r w:rsidRPr="00F933AF">
        <w:rPr>
          <w:rFonts w:cs="Calibri"/>
        </w:rPr>
        <w:t>The reg will be struck down through public rulemaking</w:t>
      </w:r>
    </w:p>
    <w:p w:rsidR="00721D38" w:rsidRPr="00F933AF" w:rsidRDefault="00721D38" w:rsidP="00721D38">
      <w:pPr>
        <w:spacing w:after="0"/>
        <w:rPr>
          <w:rFonts w:cs="Calibri"/>
        </w:rPr>
      </w:pPr>
      <w:r w:rsidRPr="00F933AF">
        <w:rPr>
          <w:rStyle w:val="Style13ptBold"/>
          <w:rFonts w:cs="Calibri"/>
        </w:rPr>
        <w:t>Woomer-Deters 5-24</w:t>
      </w:r>
      <w:r w:rsidRPr="00F933AF">
        <w:rPr>
          <w:rFonts w:cs="Calibri"/>
        </w:rPr>
        <w:t xml:space="preserve"> (Kate, Staff Attorney, Immigrant Rights Project. NC Policy Watch, 5-24-2018. “Latest </w:t>
      </w:r>
      <w:r w:rsidRPr="00F933AF">
        <w:rPr>
          <w:rStyle w:val="StyleUnderline"/>
          <w:rFonts w:cs="Calibri"/>
        </w:rPr>
        <w:t>Trump immigration “public charge” rule proposal plumbs new depths</w:t>
      </w:r>
      <w:r w:rsidRPr="00F933AF">
        <w:rPr>
          <w:rFonts w:cs="Calibri"/>
        </w:rPr>
        <w:t>”) NREM/Lil’ GBN</w:t>
      </w:r>
    </w:p>
    <w:p w:rsidR="00721D38" w:rsidRPr="00F933AF" w:rsidRDefault="00721D38" w:rsidP="00721D38">
      <w:pPr>
        <w:spacing w:after="0"/>
        <w:rPr>
          <w:rFonts w:cs="Calibri"/>
        </w:rPr>
      </w:pPr>
      <w:r w:rsidRPr="00F933AF">
        <w:rPr>
          <w:rFonts w:cs="Calibri"/>
        </w:rPr>
        <w:t>http://www.ncpolicywatch.com/2018/05/24/latest-trump-immigration-public-charge-rule-proposal-plumbs-new-depths/</w:t>
      </w:r>
    </w:p>
    <w:p w:rsidR="00721D38" w:rsidRPr="00F933AF" w:rsidRDefault="00721D38" w:rsidP="00721D38">
      <w:pPr>
        <w:spacing w:after="0"/>
        <w:rPr>
          <w:rStyle w:val="Emphasis"/>
          <w:rFonts w:cs="Calibri"/>
        </w:rPr>
      </w:pPr>
      <w:r w:rsidRPr="00F933AF">
        <w:rPr>
          <w:rFonts w:cs="Calibri"/>
          <w:sz w:val="16"/>
        </w:rPr>
        <w:t xml:space="preserve">Fortunately, </w:t>
      </w:r>
      <w:r w:rsidRPr="00F933AF">
        <w:rPr>
          <w:rStyle w:val="StyleUnderline"/>
          <w:rFonts w:cs="Calibri"/>
        </w:rPr>
        <w:t>this proposed rule is not law</w:t>
      </w:r>
      <w:r w:rsidRPr="00F933AF">
        <w:rPr>
          <w:rFonts w:cs="Calibri"/>
          <w:sz w:val="16"/>
        </w:rPr>
        <w:t xml:space="preserve"> yet </w:t>
      </w:r>
      <w:r w:rsidRPr="00F933AF">
        <w:rPr>
          <w:rStyle w:val="StyleUnderline"/>
          <w:rFonts w:cs="Calibri"/>
        </w:rPr>
        <w:t xml:space="preserve">and cannot become law without going through a </w:t>
      </w:r>
      <w:r w:rsidRPr="00F933AF">
        <w:rPr>
          <w:rStyle w:val="Emphasis"/>
          <w:rFonts w:cs="Calibri"/>
        </w:rPr>
        <w:t>public rulemaking process</w:t>
      </w:r>
      <w:r w:rsidRPr="00F933AF">
        <w:rPr>
          <w:rFonts w:cs="Calibri"/>
          <w:sz w:val="16"/>
        </w:rPr>
        <w:t xml:space="preserve">. </w:t>
      </w:r>
      <w:r w:rsidRPr="00F933AF">
        <w:rPr>
          <w:rStyle w:val="StyleUnderline"/>
          <w:rFonts w:cs="Calibri"/>
        </w:rPr>
        <w:t>Federal officials will have to consider public comments before acting and it will therefore be critical for people from many sectors, including immigrant communities, health care providers, educators, retailers, and more to speak out about the negative effects this rule would have.</w:t>
      </w:r>
      <w:r w:rsidRPr="00F933AF">
        <w:rPr>
          <w:rFonts w:cs="Calibri"/>
          <w:sz w:val="16"/>
        </w:rPr>
        <w:t xml:space="preserve"> Those interested submitting a comment can click here to learn more and to receive notification from the North Carolina Justice Center when the rule is published. The bottom line: The Trump proposal will not only put the physical and emotional wellbeing of families at risk but will ripple throughout our communities in all sorts of negative ways. Let’s hope </w:t>
      </w:r>
      <w:r w:rsidRPr="00F933AF">
        <w:rPr>
          <w:rStyle w:val="Emphasis"/>
          <w:rFonts w:cs="Calibri"/>
        </w:rPr>
        <w:t>widespread public outcry forces its proponents to reverse course.</w:t>
      </w:r>
    </w:p>
    <w:p w:rsidR="00721D38" w:rsidRPr="00F933AF" w:rsidRDefault="00721D38" w:rsidP="00721D38">
      <w:pPr>
        <w:spacing w:after="0"/>
        <w:rPr>
          <w:rStyle w:val="Emphasis"/>
          <w:rFonts w:cs="Calibri"/>
        </w:rPr>
      </w:pPr>
    </w:p>
    <w:p w:rsidR="00721D38" w:rsidRPr="00F933AF" w:rsidRDefault="00721D38" w:rsidP="00721D38">
      <w:pPr>
        <w:pStyle w:val="Heading4"/>
        <w:rPr>
          <w:rStyle w:val="StyleUnderline"/>
          <w:rFonts w:cs="Calibri"/>
          <w:sz w:val="26"/>
          <w:u w:val="none"/>
        </w:rPr>
      </w:pPr>
      <w:r w:rsidRPr="00F933AF">
        <w:rPr>
          <w:rStyle w:val="StyleUnderline"/>
          <w:rFonts w:cs="Calibri"/>
          <w:sz w:val="26"/>
          <w:u w:val="none"/>
        </w:rPr>
        <w:t>Delay inevitable</w:t>
      </w:r>
    </w:p>
    <w:p w:rsidR="00721D38" w:rsidRPr="00F933AF" w:rsidRDefault="00721D38" w:rsidP="00721D38">
      <w:pPr>
        <w:spacing w:after="0"/>
        <w:rPr>
          <w:rFonts w:cs="Calibri"/>
        </w:rPr>
      </w:pPr>
      <w:r w:rsidRPr="00F933AF">
        <w:rPr>
          <w:rStyle w:val="Style13ptBold"/>
          <w:rFonts w:cs="Calibri"/>
        </w:rPr>
        <w:t>McGahan 2-14</w:t>
      </w:r>
      <w:r w:rsidRPr="00F933AF">
        <w:rPr>
          <w:rFonts w:cs="Calibri"/>
        </w:rPr>
        <w:t xml:space="preserve"> (Jason, two-time Los Angeles Press Club award recipient and a former staff writer for LA Weekly. THE AMERICAN PROSPECT, 2-14-2018, “Trump: Make Immigrants’ Use of Public Health Benefits a Deportable Offense”) NREM/Lil’GBN</w:t>
      </w:r>
    </w:p>
    <w:p w:rsidR="00721D38" w:rsidRPr="00F933AF" w:rsidRDefault="00721D38" w:rsidP="00721D38">
      <w:pPr>
        <w:spacing w:after="0"/>
        <w:rPr>
          <w:rStyle w:val="StyleUnderline"/>
          <w:rFonts w:cs="Calibri"/>
        </w:rPr>
      </w:pPr>
      <w:r w:rsidRPr="00F933AF">
        <w:rPr>
          <w:rStyle w:val="StyleUnderline"/>
          <w:rFonts w:cs="Calibri"/>
        </w:rPr>
        <w:t xml:space="preserve">A new rule change will require a </w:t>
      </w:r>
      <w:r w:rsidRPr="00F933AF">
        <w:rPr>
          <w:rStyle w:val="Emphasis"/>
          <w:rFonts w:cs="Calibri"/>
        </w:rPr>
        <w:t>lengthy review process</w:t>
      </w:r>
      <w:r w:rsidRPr="00F933AF">
        <w:rPr>
          <w:rStyle w:val="StyleUnderline"/>
          <w:rFonts w:cs="Calibri"/>
        </w:rPr>
        <w:t xml:space="preserve"> before it can take effect. Jonathan Withington, a spokesman for U.S. Citizenship and Immigration Services, said, “No decision about public charge is final until the rulemaking process is completed.” Immigration advocates say they are also preparing a </w:t>
      </w:r>
      <w:r w:rsidRPr="00F933AF">
        <w:rPr>
          <w:rStyle w:val="Emphasis"/>
          <w:rFonts w:cs="Calibri"/>
        </w:rPr>
        <w:t>legal challenge</w:t>
      </w:r>
      <w:r w:rsidRPr="00F933AF">
        <w:rPr>
          <w:rStyle w:val="StyleUnderline"/>
          <w:rFonts w:cs="Calibri"/>
        </w:rPr>
        <w:t xml:space="preserve">, if necessary, which could </w:t>
      </w:r>
      <w:r w:rsidRPr="00F933AF">
        <w:rPr>
          <w:rStyle w:val="Emphasis"/>
          <w:rFonts w:cs="Calibri"/>
        </w:rPr>
        <w:t>further delay implementation</w:t>
      </w:r>
      <w:r w:rsidRPr="00F933AF">
        <w:rPr>
          <w:rStyle w:val="StyleUnderline"/>
          <w:rFonts w:cs="Calibri"/>
        </w:rPr>
        <w:t>.</w:t>
      </w:r>
    </w:p>
    <w:p w:rsidR="000125FB" w:rsidRDefault="000125FB" w:rsidP="000125FB"/>
    <w:p w:rsidR="00EC046D" w:rsidRDefault="00EC046D" w:rsidP="00721D38">
      <w:pPr>
        <w:pStyle w:val="Heading3"/>
        <w:rPr>
          <w:rFonts w:cs="Calibri"/>
        </w:rPr>
      </w:pPr>
      <w:r>
        <w:rPr>
          <w:rFonts w:cs="Calibri"/>
        </w:rPr>
        <w:t xml:space="preserve">1nc – </w:t>
      </w:r>
      <w:r w:rsidR="000D6B43">
        <w:rPr>
          <w:rFonts w:cs="Calibri"/>
        </w:rPr>
        <w:t>No</w:t>
      </w:r>
      <w:r>
        <w:rPr>
          <w:rFonts w:cs="Calibri"/>
        </w:rPr>
        <w:t xml:space="preserve"> </w:t>
      </w:r>
      <w:proofErr w:type="gramStart"/>
      <w:r>
        <w:rPr>
          <w:rFonts w:cs="Calibri"/>
        </w:rPr>
        <w:t>Disease</w:t>
      </w:r>
      <w:r w:rsidR="000D6B43">
        <w:rPr>
          <w:rFonts w:cs="Calibri"/>
        </w:rPr>
        <w:t xml:space="preserve"> !</w:t>
      </w:r>
      <w:proofErr w:type="gramEnd"/>
    </w:p>
    <w:p w:rsidR="00EC046D" w:rsidRDefault="00EC046D" w:rsidP="00EC046D">
      <w:pPr>
        <w:pStyle w:val="Heading4"/>
      </w:pPr>
      <w:r>
        <w:t>Pathogens lack attributes necessary to avoid burnout and cause extinction</w:t>
      </w:r>
    </w:p>
    <w:p w:rsidR="00EC046D" w:rsidRPr="008E0868" w:rsidRDefault="00EC046D" w:rsidP="00EC046D">
      <w:r w:rsidRPr="000125FB">
        <w:rPr>
          <w:b/>
        </w:rPr>
        <w:t>Adalja 16</w:t>
      </w:r>
      <w:r w:rsidRPr="008E0868">
        <w:t xml:space="preserve"> (Amesh Adalja is an infectious-disease physician at the University of Pittsburgh, "Why Hasn't Disease Wiped out the Human Race?</w:t>
      </w:r>
      <w:proofErr w:type="gramStart"/>
      <w:r w:rsidRPr="008E0868">
        <w:t>",</w:t>
      </w:r>
      <w:proofErr w:type="gramEnd"/>
      <w:r w:rsidRPr="008E0868">
        <w:t xml:space="preserve"> 6-17-2016, Atlantic, </w:t>
      </w:r>
      <w:hyperlink r:id="rId272" w:history="1">
        <w:r w:rsidRPr="001F382D">
          <w:rPr>
            <w:rStyle w:val="Hyperlink"/>
          </w:rPr>
          <w:t>https://www.theatlantic.com/health/archive/2016/06/infectious-diseases-extinction/487514/</w:t>
        </w:r>
      </w:hyperlink>
      <w:r>
        <w:t>)//AO</w:t>
      </w:r>
    </w:p>
    <w:p w:rsidR="00EC046D" w:rsidRPr="008E0868" w:rsidRDefault="00EC046D" w:rsidP="00EC046D">
      <w:pPr>
        <w:rPr>
          <w:sz w:val="14"/>
        </w:rPr>
      </w:pPr>
      <w:r w:rsidRPr="008E0868">
        <w:rPr>
          <w:u w:val="single"/>
        </w:rPr>
        <w:t>For most of mankind’s history, infectious diseases were the existential threat to humanity</w:t>
      </w:r>
      <w:r w:rsidRPr="008E0868">
        <w:rPr>
          <w:sz w:val="14"/>
        </w:rPr>
        <w:t xml:space="preserve">—and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w:t>
      </w:r>
      <w:r w:rsidRPr="008E0868">
        <w:rPr>
          <w:u w:val="single"/>
        </w:rPr>
        <w:t xml:space="preserve">Any yet, of course, humanity continued to flourish. Our species’ recent explosion in lifespan is almost exclusively the result of the control of infectious diseases through sanitation, vaccination, and antimicrobial therapies. </w:t>
      </w:r>
      <w:r w:rsidRPr="008E0868">
        <w:rPr>
          <w:sz w:val="14"/>
        </w:rPr>
        <w:t xml:space="preserve">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w:t>
      </w:r>
      <w:r w:rsidRPr="008E0868">
        <w:rPr>
          <w:u w:val="single"/>
        </w:rPr>
        <w:t>So what would it take for a disease to wipe out humanity now?</w:t>
      </w:r>
      <w:r>
        <w:rPr>
          <w:u w:val="single"/>
        </w:rPr>
        <w:t xml:space="preserve"> </w:t>
      </w:r>
      <w:r w:rsidRPr="008E0868">
        <w:rPr>
          <w:sz w:val="14"/>
        </w:rPr>
        <w:t xml:space="preserve">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 </w:t>
      </w:r>
      <w:r w:rsidRPr="008E0868">
        <w:rPr>
          <w:u w:val="single"/>
        </w:rPr>
        <w:t>Any apocalyptic pathogen would need to possess a very special combination of two attributes. First, it would have to be so unfamiliar that no existing therapy or vaccine could be applied to it. Second, it would need to have a high and surreptitious transmissibility before symptoms occur.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r>
        <w:rPr>
          <w:u w:val="single"/>
        </w:rPr>
        <w:t xml:space="preserve"> </w:t>
      </w:r>
      <w:r w:rsidRPr="008E0868">
        <w:rPr>
          <w:u w:val="single"/>
        </w:rPr>
        <w:t>The three infectious diseases most likely to be considered extinction-level threats in the world today—influenza, HIV, and Ebola—don’t meet these two requirements. Influenza</w:t>
      </w:r>
      <w:r w:rsidRPr="008E0868">
        <w:rPr>
          <w:sz w:val="14"/>
        </w:rPr>
        <w:t xml:space="preserve">, for instance, despite its well-established ability to kill on a large scale, its contagiousness, and its unrivaled ability to shift and drift away from our vaccines, </w:t>
      </w:r>
      <w:r w:rsidRPr="008E0868">
        <w:rPr>
          <w:u w:val="single"/>
        </w:rPr>
        <w:t>is still what I would call a “known unknown.”</w:t>
      </w:r>
      <w:r w:rsidRPr="008E0868">
        <w:rPr>
          <w:sz w:val="14"/>
        </w:rPr>
        <w:t xml:space="preserve"> While there are many mysteries about how new flu strains emerge, from at least the time of Hippocrates, </w:t>
      </w:r>
      <w:r w:rsidRPr="008E0868">
        <w:rPr>
          <w:u w:val="single"/>
        </w:rPr>
        <w:t xml:space="preserve">humans have been attuned to its risk. </w:t>
      </w:r>
      <w:r w:rsidRPr="008E0868">
        <w:rPr>
          <w:sz w:val="14"/>
        </w:rPr>
        <w:t xml:space="preserve">And in the modern era, </w:t>
      </w:r>
      <w:r w:rsidRPr="008E0868">
        <w:rPr>
          <w:u w:val="single"/>
        </w:rPr>
        <w:t>a full-fledged industry of influenza preparedness exists, with effective vaccine strategies and antiviral therapies.</w:t>
      </w:r>
      <w:r>
        <w:rPr>
          <w:u w:val="single"/>
        </w:rPr>
        <w:t xml:space="preserve"> </w:t>
      </w:r>
      <w:r w:rsidRPr="008E0868">
        <w:rPr>
          <w:u w:val="single"/>
        </w:rPr>
        <w:t>HIV</w:t>
      </w:r>
      <w:r w:rsidRPr="008E0868">
        <w:rPr>
          <w:sz w:val="14"/>
        </w:rPr>
        <w:t xml:space="preserve">, which has killed 39 million people over several decades, </w:t>
      </w:r>
      <w:r w:rsidRPr="008E0868">
        <w:rPr>
          <w:u w:val="single"/>
        </w:rPr>
        <w:t>is similarly limited due to several factors.</w:t>
      </w:r>
      <w:r w:rsidRPr="008E0868">
        <w:rPr>
          <w:sz w:val="14"/>
        </w:rPr>
        <w:t xml:space="preserve"> Most importantly, </w:t>
      </w:r>
      <w:r w:rsidRPr="008E0868">
        <w:rPr>
          <w:u w:val="single"/>
        </w:rPr>
        <w:t>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w:t>
      </w:r>
      <w:r w:rsidRPr="008E0868">
        <w:rPr>
          <w:sz w:val="14"/>
        </w:rPr>
        <w:t xml:space="preserve"> Lastly, simple prevention strategies such as needle exchange for injection drug users and barrier contraceptives—when available—can curtail transmission risk. </w:t>
      </w:r>
      <w:r w:rsidRPr="008E0868">
        <w:rPr>
          <w:u w:val="single"/>
        </w:rPr>
        <w:t>Ebola,</w:t>
      </w:r>
      <w:r w:rsidRPr="008E0868">
        <w:rPr>
          <w:sz w:val="14"/>
        </w:rPr>
        <w:t xml:space="preserve"> for many of the same reasons as HIV as well as several others, also falls short of the mark. This is especially due to the fact that it </w:t>
      </w:r>
      <w:r w:rsidRPr="008E0868">
        <w:rPr>
          <w:u w:val="single"/>
        </w:rPr>
        <w:t>spreads almost exclusively through people with easily recognizable symptoms, plus the taming of its once unfathomable 90 percent mortality rate by simple supportive care.</w:t>
      </w:r>
      <w:r>
        <w:rPr>
          <w:u w:val="single"/>
        </w:rPr>
        <w:t xml:space="preserve"> </w:t>
      </w:r>
      <w:r w:rsidRPr="008E0868">
        <w:rPr>
          <w:u w:val="single"/>
        </w:rPr>
        <w:t>Beyond those three, every other known disease falls short of what seems required to wipe out humans</w:t>
      </w:r>
      <w:r w:rsidRPr="008E0868">
        <w:rPr>
          <w:sz w:val="14"/>
        </w:rPr>
        <w:t xml:space="preserve">—which is, of course, why we’re still here. And it’s not that diseases are ineffective. On the contrary, diseases’ failure to knock us out is a testament to just how resilient humans are. </w:t>
      </w:r>
      <w:r w:rsidRPr="008E0868">
        <w:rPr>
          <w:u w:val="single"/>
        </w:rPr>
        <w:t>Part of our evolutionary heritage is our immune system</w:t>
      </w:r>
      <w:r w:rsidRPr="008E0868">
        <w:rPr>
          <w:sz w:val="14"/>
        </w:rPr>
        <w:t>, one of the most complex on the planet, even without the benefit of vaccines or the helping hand of antimicrobial drugs. This system, when viewed at a species level, can adapt to almost any enemy imaginable.</w:t>
      </w:r>
      <w:r w:rsidRPr="008E0868">
        <w:rPr>
          <w:u w:val="single"/>
        </w:rPr>
        <w:t xml:space="preserve"> Coupled to genetic variations amongst humans—which open up the possibility for a range of advantages, from imperviousness to infection to a tendency for mild symptoms—this adaptability ensures that almost any infectious disease onslaught will leave a large proportion of the population alive to rebuild, in contrast to the fictional Hollywood versions.</w:t>
      </w:r>
      <w:r w:rsidRPr="008E0868">
        <w:rPr>
          <w:sz w:val="14"/>
        </w:rPr>
        <w:t xml:space="preserve"> 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w:t>
      </w:r>
    </w:p>
    <w:p w:rsidR="00EC046D" w:rsidRPr="00EC046D" w:rsidRDefault="00EC046D" w:rsidP="00EC046D"/>
    <w:p w:rsidR="00631F6A" w:rsidRDefault="00631F6A" w:rsidP="00631F6A">
      <w:pPr>
        <w:pStyle w:val="Heading3"/>
      </w:pPr>
      <w:r>
        <w:rPr>
          <w:rFonts w:cs="Calibri"/>
        </w:rPr>
        <w:t xml:space="preserve">1nc - </w:t>
      </w:r>
      <w:r>
        <w:t>Disease Prevention Alt Cause</w:t>
      </w:r>
    </w:p>
    <w:p w:rsidR="00631F6A" w:rsidRPr="00DA4548" w:rsidRDefault="00631F6A" w:rsidP="00631F6A">
      <w:pPr>
        <w:pStyle w:val="Heading4"/>
      </w:pPr>
      <w:r>
        <w:t>CDC funding cuts prove other countries are a massive alt cause</w:t>
      </w:r>
    </w:p>
    <w:p w:rsidR="00631F6A" w:rsidRPr="00DA4548" w:rsidRDefault="00631F6A" w:rsidP="00631F6A">
      <w:r w:rsidRPr="00DA4548">
        <w:rPr>
          <w:rStyle w:val="Style13ptBold"/>
        </w:rPr>
        <w:t>Sun 18</w:t>
      </w:r>
      <w:r w:rsidRPr="00DA4548">
        <w:t xml:space="preserve"> (Lena Sun, "CDC to cut by 80 percent efforts to prevent global disease outbreak", 2-1-2018, Washington Post, https://www.washingtonpost.com/news/to-your-health/wp/2018/02/01/cdc-to-cut-by-80-percent-efforts-to-prevent-global-disease-outbreak/?utm_term=.fc24ff4ec8d4)</w:t>
      </w:r>
      <w:r>
        <w:t>//AO</w:t>
      </w:r>
    </w:p>
    <w:p w:rsidR="00631F6A" w:rsidRDefault="00631F6A" w:rsidP="00631F6A">
      <w:pPr>
        <w:rPr>
          <w:sz w:val="12"/>
        </w:rPr>
      </w:pPr>
      <w:r w:rsidRPr="00DA4548">
        <w:rPr>
          <w:sz w:val="12"/>
        </w:rPr>
        <w:t xml:space="preserve">Four years after the United States pledged to help the world fight infectious-disease epidemics such as Ebola, </w:t>
      </w:r>
      <w:r w:rsidRPr="00C93205">
        <w:rPr>
          <w:u w:val="single"/>
        </w:rPr>
        <w:t>the Centers for Disease Control and Prevention is dramatically downsizing its epidemic prevention activities in 39 out of 49 countries because money is running out,</w:t>
      </w:r>
      <w:r w:rsidRPr="00DA4548">
        <w:rPr>
          <w:sz w:val="12"/>
        </w:rPr>
        <w:t xml:space="preserve"> U.S. government officials said. The CDC programs, part of a global health security initiative, train front-line workers in outbreak detection and work to strengthen laboratory and emergency response systems in countries where disease risks are greatest. The goal is to stop future outbreaks at their source. Most of the funding comes from a one-time, five-year emergency package that Congress approved to respond to the 2014 Ebola epidemic in West Africa. </w:t>
      </w:r>
      <w:r w:rsidRPr="00C93205">
        <w:rPr>
          <w:u w:val="single"/>
        </w:rPr>
        <w:t>About $600 million was awarded to the CDC to help countries prevent infectious-disease threats from becoming epidemics. That money is slated to run out by September 2019.</w:t>
      </w:r>
      <w:r w:rsidRPr="00DA4548">
        <w:rPr>
          <w:sz w:val="12"/>
        </w:rPr>
        <w:t xml:space="preserve"> Despite statements from President Trump and senior administration officials affirming the importance of controlling outbreaks, </w:t>
      </w:r>
      <w:r w:rsidRPr="00C93205">
        <w:rPr>
          <w:u w:val="single"/>
        </w:rPr>
        <w:t>officials and global infectious-disease experts are not anticipating that the administration will budget additional resources.</w:t>
      </w:r>
      <w:r>
        <w:rPr>
          <w:u w:val="single"/>
        </w:rPr>
        <w:t xml:space="preserve"> </w:t>
      </w:r>
      <w:r w:rsidRPr="00DA4548">
        <w:rPr>
          <w:sz w:val="12"/>
        </w:rPr>
        <w:t xml:space="preserve">Two weeks ago, </w:t>
      </w:r>
      <w:r w:rsidRPr="00C93205">
        <w:rPr>
          <w:u w:val="single"/>
        </w:rPr>
        <w:t>the CDC began notifying staffers and officials abroad about its plan to downsize these activities</w:t>
      </w:r>
      <w:r w:rsidRPr="00DA4548">
        <w:rPr>
          <w:sz w:val="12"/>
        </w:rPr>
        <w:t xml:space="preserve">, because </w:t>
      </w:r>
      <w:r w:rsidRPr="00C93205">
        <w:rPr>
          <w:u w:val="single"/>
        </w:rPr>
        <w:t>officials assume there will be “no new resources</w:t>
      </w:r>
      <w:r w:rsidRPr="00DA4548">
        <w:rPr>
          <w:sz w:val="12"/>
        </w:rPr>
        <w:t xml:space="preserve">,” said a senior government official speaking on the condition of anonymity to discuss budget matters. Notice is being given now to CDC country directors “as the very first phase of a transition,” the official said. There is a need for “forward planning,” the official said, to accommodate longer advance notice for staffers and for leases and property agreements. The downsizing decision was first reported by the Wall Street Journal. The CDC plans to narrow its focus to 10 “priority countries,” starting in October 2019, the official said. They are India, Thailand and Vietnam in Asia; Jordan in the Middle East; Kenya, Uganda, Liberia, Nigeria and Senegal in Africa; and Guatemala in Central America. </w:t>
      </w:r>
      <w:r w:rsidRPr="00C93205">
        <w:rPr>
          <w:u w:val="single"/>
        </w:rPr>
        <w:t>Countries where the CDC is planning to scale back include some of the world’s hot spots for emerging infectious disease, such as China, Pakistan, Haiti, Rwanda and Congo. Last year, when Congo experienced a potentially deadly Ebola outbreak in a remote, forested area, CDC-trained disease detectives and rapid responders helped contain it quickly.</w:t>
      </w:r>
      <w:r>
        <w:rPr>
          <w:u w:val="single"/>
        </w:rPr>
        <w:t xml:space="preserve"> </w:t>
      </w:r>
      <w:r w:rsidRPr="00DA4548">
        <w:rPr>
          <w:sz w:val="12"/>
        </w:rPr>
        <w:t xml:space="preserve">In Congo's capital of Kinshasa, an emergency operations center established last year with CDC funding is operational but still needs staffers to be trained and protocols and systems to be put in place so data can be collected accurately from across the country, said Carolyn Reynolds, a vice president at PATH, a global health technology nonprofit group that helped the Congolese set up the center. This next phase of work may be at risk if CDC cuts back its support, she said. “It would be akin to building the firehouse without providing the trained firemen and information and tools to fight the fire,” Reynolds said in an email. If more funding becomes available in the fiscal year that starts Oct. 1, the CDC could resume work in China and Congo, as well as Ethiopia, Indonesia and Sierra Leone, another government official said, also speaking on the condition of anonymity to discuss budget matters. In the meantime, the CDC will continue its work with dozens of countries on other public health issues, such as HIV, tuberculosis, malaria, polio eradication, vaccine-preventable diseases, influenza and emerging infectious diseases. </w:t>
      </w:r>
      <w:r w:rsidRPr="00C93205">
        <w:rPr>
          <w:u w:val="single"/>
        </w:rPr>
        <w:t>Global health organizations said critical momentum will be lost if epidemic prevention funding is reduced, leaving the world unprepared for the next outbreak. The risks of deadly and costly pandemic threats are higher than ever, especially in low- and middle-income countries with the weakest public health systems, experts say. A rapid response by a country can mean the difference between an isolated outbreak and a global catastrophe. In less than 36 hours, infectious disease and pathogens can travel from a remote village to major cities on any continent to become a global crisis.</w:t>
      </w:r>
      <w:r>
        <w:rPr>
          <w:u w:val="single"/>
        </w:rPr>
        <w:t xml:space="preserve"> </w:t>
      </w:r>
      <w:r w:rsidRPr="00DA4548">
        <w:rPr>
          <w:sz w:val="12"/>
        </w:rPr>
        <w:t xml:space="preserve">On Monday, a coalition of global health organizations representing more than 200 groups and companies sent a letter to U.S. Health and Human Services Secretary Alex Azar asking the administration to reconsider the planned reductions to programs they described as essential to health and national security. “Not only will CDC be forced to narrow its countries of operations, but </w:t>
      </w:r>
      <w:r w:rsidRPr="00C93205">
        <w:rPr>
          <w:u w:val="single"/>
        </w:rPr>
        <w:t>the U.S. also stands to lose vital information about epidemic threats garnered on the ground through trusted relationships, real-time surveillance, and research</w:t>
      </w:r>
      <w:r w:rsidRPr="00DA4548">
        <w:rPr>
          <w:sz w:val="12"/>
        </w:rPr>
        <w:t xml:space="preserve">,” wrote the coalition, which included the Global Health Security Agenda Consortium and the Global Health Council. The coalition also warned that complacency after outbreaks have been contained leads to funding cuts, followed by ever more costly outbreaks. The Ebola outbreak cost U.S. taxpayers $5.4 billion in emergency supplemental funding, forced several U.S. cities to spend millions in containment, disrupted global business and required the deployment of the U.S. military to address the threat. “This is the front line against terrible organisms,” said Tom Frieden, the former CDC director who led the agency during the Ebola and Zika outbreaks. He now heads Resolve to Save Lives, a global initiative to prevent epidemics. Referring to dangerous pathogens, he said: “Like terrorism, you can’t fight it just within our borders. You’ve got to fight epidemic diseases where they emerge.” </w:t>
      </w:r>
      <w:r w:rsidRPr="00DA4548">
        <w:rPr>
          <w:u w:val="single"/>
        </w:rPr>
        <w:t>Without additional help, low-income countries are not going to be able to maintain laboratory networks to detect dangerous pathogens</w:t>
      </w:r>
      <w:r w:rsidRPr="00DA4548">
        <w:rPr>
          <w:sz w:val="12"/>
        </w:rPr>
        <w:t>, Frieden said. “Either we help or hope we get lucky it isn’t an epidemic that travelers will catch or spread to our country,” Frieden said. The U.S. downsizing could also lead other countries to cut back or drop out from “the most serious multinational effort in many years to stop epidemics at their sources overseas,” said Tom Inglesby, director of the Center for Health Security at the Johns Hopkins Bloomberg School of Public Health. CDC spokeswoman Kathy Harben said the agency and federal partners remain committed to “prevent, detect and respond to infectious disease threats.” The United States helped launch an initiative known as the Global Health Security Agenda in 2014 to help countries reduce their vulnerabilities to public health threats. More than 60 countries now participate in that effort. At a meeting in Uganda in the fall, administration officials led by Tim Ziemer, the White House senior director for global health security, affirmed U.S. support to extend the initiative to 2024. “</w:t>
      </w:r>
      <w:r w:rsidRPr="00DA4548">
        <w:rPr>
          <w:u w:val="single"/>
        </w:rPr>
        <w:t>The world remains under-prepared to prevent, detect, and respond to infectious disease outbreaks, whether naturally occurring, accidental, or deliberately released</w:t>
      </w:r>
      <w:r w:rsidRPr="00DA4548">
        <w:rPr>
          <w:sz w:val="12"/>
        </w:rPr>
        <w:t>,” Ziemer wrote in a blog post before the meeting. “. . . We recognize that the cost of failing to control outbreaks and losing lives is far greater than the cost of prevention.” The CDC has about $150 million remaining from the one-time Ebola emergency package for these global health security programs, the senior government official said. That money will be used this year and in fiscal 2019, but without substantial new resources, that leaves only the agency's core annual budget, which has remained flat at about $50 million to $60 million. Officials at the CDC, the Department of Health and Human Services and the National Security Council pushed for more funding in the president's fiscal 2019 budget to be released this month. A senior government official said Thursday that the president's budget "will include details on global health security funding," but declined to elaborate.</w:t>
      </w:r>
    </w:p>
    <w:p w:rsidR="00631F6A" w:rsidRDefault="00631F6A" w:rsidP="00631F6A"/>
    <w:p w:rsidR="00831743" w:rsidRDefault="00831743" w:rsidP="00631F6A">
      <w:pPr>
        <w:pStyle w:val="Heading3"/>
      </w:pPr>
      <w:r>
        <w:t>1nc – Poverty =/= War</w:t>
      </w:r>
    </w:p>
    <w:p w:rsidR="000D6B43" w:rsidRPr="000D6B43" w:rsidRDefault="000D6B43" w:rsidP="000D6B43">
      <w:r>
        <w:t>*In response to impact add-on in the 2ac</w:t>
      </w:r>
    </w:p>
    <w:p w:rsidR="00831743" w:rsidRDefault="00831743" w:rsidP="00831743">
      <w:pPr>
        <w:pStyle w:val="Heading4"/>
      </w:pPr>
      <w:r>
        <w:t>Poverty isn’t an independent cause</w:t>
      </w:r>
    </w:p>
    <w:p w:rsidR="00831743" w:rsidRPr="001C6A52" w:rsidRDefault="00831743" w:rsidP="00831743">
      <w:r w:rsidRPr="001C6A52">
        <w:rPr>
          <w:rStyle w:val="Style13ptBold"/>
        </w:rPr>
        <w:t xml:space="preserve">UK Essays 15 </w:t>
      </w:r>
      <w:r>
        <w:t>(UK Essays undergraduate student submission, 3/23/15, Ed. 4/25/17, “Does Poverty Cause War?</w:t>
      </w:r>
      <w:proofErr w:type="gramStart"/>
      <w:r>
        <w:t>”,</w:t>
      </w:r>
      <w:proofErr w:type="gramEnd"/>
      <w:r>
        <w:t xml:space="preserve"> </w:t>
      </w:r>
      <w:r w:rsidRPr="001C6A52">
        <w:t>https://www.ukessays.com/essays/politics/does-poverty-cause-war-politics-essay.php#</w:t>
      </w:r>
      <w:r>
        <w:t>)/CWB</w:t>
      </w:r>
    </w:p>
    <w:p w:rsidR="00831743" w:rsidRDefault="00831743" w:rsidP="00831743">
      <w:pPr>
        <w:rPr>
          <w:sz w:val="16"/>
        </w:rPr>
      </w:pPr>
      <w:r w:rsidRPr="00822B39">
        <w:rPr>
          <w:sz w:val="16"/>
        </w:rPr>
        <w:t xml:space="preserve">The central argument of this essay is that </w:t>
      </w:r>
      <w:r w:rsidRPr="00822B39">
        <w:rPr>
          <w:rStyle w:val="StyleUnderline"/>
        </w:rPr>
        <w:t>rather than treating poverty as a direct causal factor behind war, it could be viewed as one of the many processes that lead to a conflict when other social, economic, political and ethnic factors come into play.</w:t>
      </w:r>
      <w:r w:rsidRPr="00822B39">
        <w:rPr>
          <w:sz w:val="16"/>
        </w:rPr>
        <w:t xml:space="preserve"> [</w:t>
      </w:r>
      <w:bookmarkStart w:id="82" w:name="bodyftn1"/>
      <w:r w:rsidRPr="00822B39">
        <w:rPr>
          <w:sz w:val="16"/>
        </w:rPr>
        <w:fldChar w:fldCharType="begin"/>
      </w:r>
      <w:r w:rsidRPr="00822B39">
        <w:rPr>
          <w:sz w:val="16"/>
        </w:rPr>
        <w:instrText xml:space="preserve"> HYPERLINK "https://www.ukessays.com/essays/politics/does-poverty-cause-war-politics-essay.php" \l "ftn1" </w:instrText>
      </w:r>
      <w:r w:rsidRPr="00822B39">
        <w:rPr>
          <w:sz w:val="16"/>
        </w:rPr>
        <w:fldChar w:fldCharType="separate"/>
      </w:r>
      <w:r w:rsidRPr="00822B39">
        <w:rPr>
          <w:rStyle w:val="Hyperlink"/>
          <w:sz w:val="16"/>
        </w:rPr>
        <w:t>1</w:t>
      </w:r>
      <w:r w:rsidRPr="00822B39">
        <w:rPr>
          <w:sz w:val="16"/>
        </w:rPr>
        <w:fldChar w:fldCharType="end"/>
      </w:r>
      <w:bookmarkEnd w:id="82"/>
      <w:r w:rsidRPr="00822B39">
        <w:rPr>
          <w:sz w:val="16"/>
        </w:rPr>
        <w:t xml:space="preserve">] The essay will begin with the definitions of war and poverty. This will be followed by examining the premise that </w:t>
      </w:r>
      <w:r w:rsidRPr="00822B39">
        <w:rPr>
          <w:rStyle w:val="StyleUnderline"/>
        </w:rPr>
        <w:t>poverty alone may not be a cause of war</w:t>
      </w:r>
      <w:r w:rsidRPr="00822B39">
        <w:rPr>
          <w:sz w:val="16"/>
        </w:rPr>
        <w:t xml:space="preserve">. From this starting point, the essay will move on to explore the view that </w:t>
      </w:r>
      <w:r w:rsidRPr="00822B39">
        <w:rPr>
          <w:rStyle w:val="StyleUnderline"/>
        </w:rPr>
        <w:t xml:space="preserve">poverty might not cause war independently but it acts as a facilitator </w:t>
      </w:r>
      <w:r w:rsidRPr="00822B39">
        <w:rPr>
          <w:sz w:val="16"/>
        </w:rPr>
        <w:t>and a trigger in the vicious circle leading to war. This will lead to the assessment of one such trigger- the awareness by the poor of the growing disparities between wealth and income. [</w:t>
      </w:r>
      <w:bookmarkStart w:id="83" w:name="bodyftn2"/>
      <w:r w:rsidRPr="00822B39">
        <w:rPr>
          <w:sz w:val="16"/>
        </w:rPr>
        <w:fldChar w:fldCharType="begin"/>
      </w:r>
      <w:r w:rsidRPr="00822B39">
        <w:rPr>
          <w:sz w:val="16"/>
        </w:rPr>
        <w:instrText xml:space="preserve"> HYPERLINK "https://www.ukessays.com/essays/politics/does-poverty-cause-war-politics-essay.php" \l "ftn2" </w:instrText>
      </w:r>
      <w:r w:rsidRPr="00822B39">
        <w:rPr>
          <w:sz w:val="16"/>
        </w:rPr>
        <w:fldChar w:fldCharType="separate"/>
      </w:r>
      <w:r w:rsidRPr="00822B39">
        <w:rPr>
          <w:rStyle w:val="Hyperlink"/>
          <w:sz w:val="16"/>
        </w:rPr>
        <w:t>2</w:t>
      </w:r>
      <w:r w:rsidRPr="00822B39">
        <w:rPr>
          <w:sz w:val="16"/>
        </w:rPr>
        <w:fldChar w:fldCharType="end"/>
      </w:r>
      <w:bookmarkEnd w:id="83"/>
      <w:r w:rsidRPr="00822B39">
        <w:rPr>
          <w:sz w:val="16"/>
        </w:rPr>
        <w:t>] To take the argument of poverty being a contributor forward, the role of `horizontal inequalities', as outlined by Frances Stewart, will be analysed as being a part of sequence of events leading to war. [</w:t>
      </w:r>
      <w:bookmarkStart w:id="84" w:name="bodyftn3"/>
      <w:r w:rsidRPr="00822B39">
        <w:rPr>
          <w:sz w:val="16"/>
        </w:rPr>
        <w:fldChar w:fldCharType="begin"/>
      </w:r>
      <w:r w:rsidRPr="00822B39">
        <w:rPr>
          <w:sz w:val="16"/>
        </w:rPr>
        <w:instrText xml:space="preserve"> HYPERLINK "https://www.ukessays.com/essays/politics/does-poverty-cause-war-politics-essay.php" \l "ftn3" </w:instrText>
      </w:r>
      <w:r w:rsidRPr="00822B39">
        <w:rPr>
          <w:sz w:val="16"/>
        </w:rPr>
        <w:fldChar w:fldCharType="separate"/>
      </w:r>
      <w:r w:rsidRPr="00822B39">
        <w:rPr>
          <w:rStyle w:val="Hyperlink"/>
          <w:sz w:val="16"/>
        </w:rPr>
        <w:t>3</w:t>
      </w:r>
      <w:r w:rsidRPr="00822B39">
        <w:rPr>
          <w:sz w:val="16"/>
        </w:rPr>
        <w:fldChar w:fldCharType="end"/>
      </w:r>
      <w:bookmarkEnd w:id="84"/>
      <w:r w:rsidRPr="00822B39">
        <w:rPr>
          <w:sz w:val="16"/>
        </w:rPr>
        <w:t xml:space="preserve">] This will lead to tracing the </w:t>
      </w:r>
      <w:r w:rsidRPr="00822B39">
        <w:rPr>
          <w:rStyle w:val="StyleUnderline"/>
        </w:rPr>
        <w:t>roots of grievances encompassing inequalities and poverty in factors like poor governance, historical development patterns and international linkages</w:t>
      </w:r>
      <w:r w:rsidRPr="00822B39">
        <w:rPr>
          <w:sz w:val="16"/>
        </w:rPr>
        <w:t>. [</w:t>
      </w:r>
      <w:bookmarkStart w:id="85" w:name="bodyftn4"/>
      <w:r w:rsidRPr="00822B39">
        <w:rPr>
          <w:sz w:val="16"/>
        </w:rPr>
        <w:fldChar w:fldCharType="begin"/>
      </w:r>
      <w:r w:rsidRPr="00822B39">
        <w:rPr>
          <w:sz w:val="16"/>
        </w:rPr>
        <w:instrText xml:space="preserve"> HYPERLINK "https://www.ukessays.com/essays/politics/does-poverty-cause-war-politics-essay.php" \l "ftn4" </w:instrText>
      </w:r>
      <w:r w:rsidRPr="00822B39">
        <w:rPr>
          <w:sz w:val="16"/>
        </w:rPr>
        <w:fldChar w:fldCharType="separate"/>
      </w:r>
      <w:r w:rsidRPr="00822B39">
        <w:rPr>
          <w:rStyle w:val="Hyperlink"/>
          <w:sz w:val="16"/>
        </w:rPr>
        <w:t>4</w:t>
      </w:r>
      <w:r w:rsidRPr="00822B39">
        <w:rPr>
          <w:sz w:val="16"/>
        </w:rPr>
        <w:fldChar w:fldCharType="end"/>
      </w:r>
      <w:bookmarkEnd w:id="85"/>
      <w:r w:rsidRPr="00822B39">
        <w:rPr>
          <w:sz w:val="16"/>
        </w:rPr>
        <w:t>] After exploring these grievances assessment of Paul Collier's greed hypothesis will be carried out and its critical review will be presented. [</w:t>
      </w:r>
      <w:bookmarkStart w:id="86" w:name="bodyftn5"/>
      <w:r w:rsidRPr="00822B39">
        <w:rPr>
          <w:sz w:val="16"/>
        </w:rPr>
        <w:fldChar w:fldCharType="begin"/>
      </w:r>
      <w:r w:rsidRPr="00822B39">
        <w:rPr>
          <w:sz w:val="16"/>
        </w:rPr>
        <w:instrText xml:space="preserve"> HYPERLINK "https://www.ukessays.com/essays/politics/does-poverty-cause-war-politics-essay.php" \l "ftn5" </w:instrText>
      </w:r>
      <w:r w:rsidRPr="00822B39">
        <w:rPr>
          <w:sz w:val="16"/>
        </w:rPr>
        <w:fldChar w:fldCharType="separate"/>
      </w:r>
      <w:r w:rsidRPr="00822B39">
        <w:rPr>
          <w:rStyle w:val="Hyperlink"/>
          <w:sz w:val="16"/>
        </w:rPr>
        <w:t>5</w:t>
      </w:r>
      <w:r w:rsidRPr="00822B39">
        <w:rPr>
          <w:sz w:val="16"/>
        </w:rPr>
        <w:fldChar w:fldCharType="end"/>
      </w:r>
      <w:bookmarkEnd w:id="86"/>
      <w:r w:rsidRPr="00822B39">
        <w:rPr>
          <w:sz w:val="16"/>
        </w:rPr>
        <w:t>] The essay will also discuss Samuel Huntington's `Clash of Civilizations' as a plausible cause of war and a critical review of his work will be given. [</w:t>
      </w:r>
      <w:bookmarkStart w:id="87" w:name="bodyftn6"/>
      <w:r w:rsidRPr="00822B39">
        <w:rPr>
          <w:sz w:val="16"/>
        </w:rPr>
        <w:fldChar w:fldCharType="begin"/>
      </w:r>
      <w:r w:rsidRPr="00822B39">
        <w:rPr>
          <w:sz w:val="16"/>
        </w:rPr>
        <w:instrText xml:space="preserve"> HYPERLINK "https://www.ukessays.com/essays/politics/does-poverty-cause-war-politics-essay.php" \l "ftn6" </w:instrText>
      </w:r>
      <w:r w:rsidRPr="00822B39">
        <w:rPr>
          <w:sz w:val="16"/>
        </w:rPr>
        <w:fldChar w:fldCharType="separate"/>
      </w:r>
      <w:r w:rsidRPr="00822B39">
        <w:rPr>
          <w:rStyle w:val="Hyperlink"/>
          <w:sz w:val="16"/>
        </w:rPr>
        <w:t>6</w:t>
      </w:r>
      <w:r w:rsidRPr="00822B39">
        <w:rPr>
          <w:sz w:val="16"/>
        </w:rPr>
        <w:fldChar w:fldCharType="end"/>
      </w:r>
      <w:bookmarkEnd w:id="87"/>
      <w:r w:rsidRPr="00822B39">
        <w:rPr>
          <w:sz w:val="16"/>
        </w:rPr>
        <w:t xml:space="preserve">] The essay will conclude by saying that </w:t>
      </w:r>
      <w:r w:rsidRPr="00822B39">
        <w:rPr>
          <w:rStyle w:val="StyleUnderline"/>
        </w:rPr>
        <w:t>poverty independently does not cause war</w:t>
      </w:r>
      <w:r w:rsidRPr="00822B39">
        <w:rPr>
          <w:sz w:val="16"/>
        </w:rPr>
        <w:t xml:space="preserve">. In fact, none of the factors leading to war can be dealt with, in isolated terms. </w:t>
      </w:r>
      <w:r w:rsidRPr="00822B39">
        <w:rPr>
          <w:rStyle w:val="StyleUnderline"/>
        </w:rPr>
        <w:t>A combination, overlapping and co relation of social, economic, political, ethnic, language, cultural factors may lead to war. [</w:t>
      </w:r>
      <w:bookmarkStart w:id="88" w:name="bodyftn7"/>
      <w:r w:rsidRPr="00822B39">
        <w:rPr>
          <w:rStyle w:val="StyleUnderline"/>
        </w:rPr>
        <w:fldChar w:fldCharType="begin"/>
      </w:r>
      <w:r w:rsidRPr="00822B39">
        <w:rPr>
          <w:rStyle w:val="StyleUnderline"/>
        </w:rPr>
        <w:instrText xml:space="preserve"> HYPERLINK "https://www.ukessays.com/essays/politics/does-poverty-cause-war-politics-essay.php" \l "ftn7" </w:instrText>
      </w:r>
      <w:r w:rsidRPr="00822B39">
        <w:rPr>
          <w:rStyle w:val="StyleUnderline"/>
        </w:rPr>
        <w:fldChar w:fldCharType="separate"/>
      </w:r>
      <w:r w:rsidRPr="00822B39">
        <w:rPr>
          <w:rStyle w:val="StyleUnderline"/>
        </w:rPr>
        <w:t>7</w:t>
      </w:r>
      <w:r w:rsidRPr="00822B39">
        <w:rPr>
          <w:rStyle w:val="StyleUnderline"/>
        </w:rPr>
        <w:fldChar w:fldCharType="end"/>
      </w:r>
      <w:bookmarkEnd w:id="88"/>
      <w:r w:rsidRPr="00822B39">
        <w:rPr>
          <w:rStyle w:val="StyleUnderline"/>
        </w:rPr>
        <w:t>] Poverty alone may not be a cause war</w:t>
      </w:r>
      <w:r w:rsidRPr="00822B39">
        <w:rPr>
          <w:sz w:val="16"/>
        </w:rPr>
        <w:t xml:space="preserve">; Definitions of poverty and war: </w:t>
      </w:r>
      <w:r w:rsidRPr="00822B39">
        <w:rPr>
          <w:rStyle w:val="StyleUnderline"/>
        </w:rPr>
        <w:t xml:space="preserve">There is nothing like an absolute truth. Even as the poverty to war relationship seems straightforward, it is extremely complicated. </w:t>
      </w:r>
      <w:r w:rsidRPr="00822B39">
        <w:rPr>
          <w:sz w:val="16"/>
        </w:rPr>
        <w:t>[</w:t>
      </w:r>
      <w:bookmarkStart w:id="89" w:name="bodyftn8"/>
      <w:r w:rsidRPr="00822B39">
        <w:rPr>
          <w:sz w:val="16"/>
        </w:rPr>
        <w:fldChar w:fldCharType="begin"/>
      </w:r>
      <w:r w:rsidRPr="00822B39">
        <w:rPr>
          <w:sz w:val="16"/>
        </w:rPr>
        <w:instrText xml:space="preserve"> HYPERLINK "https://www.ukessays.com/essays/politics/does-poverty-cause-war-politics-essay.php" \l "ftn8" </w:instrText>
      </w:r>
      <w:r w:rsidRPr="00822B39">
        <w:rPr>
          <w:sz w:val="16"/>
        </w:rPr>
        <w:fldChar w:fldCharType="separate"/>
      </w:r>
      <w:r w:rsidRPr="00822B39">
        <w:rPr>
          <w:rStyle w:val="Hyperlink"/>
          <w:sz w:val="16"/>
        </w:rPr>
        <w:t>8</w:t>
      </w:r>
      <w:r w:rsidRPr="00822B39">
        <w:rPr>
          <w:sz w:val="16"/>
        </w:rPr>
        <w:fldChar w:fldCharType="end"/>
      </w:r>
      <w:bookmarkEnd w:id="89"/>
      <w:r w:rsidRPr="00822B39">
        <w:rPr>
          <w:sz w:val="16"/>
        </w:rPr>
        <w:t>] Before exploring this relationship, the definitions of poverty and war need to be looked at. Poverty, as defined by the UN statement of June 1998 is `denial of choices and opportunities, a violation of human dignity. It means lack of basic capacity to participate effectively in society....; it means insecurity, powerlessness and exclusion of individuals, households and communities....' [</w:t>
      </w:r>
      <w:bookmarkStart w:id="90" w:name="bodyftn9"/>
      <w:r w:rsidRPr="00822B39">
        <w:rPr>
          <w:sz w:val="16"/>
        </w:rPr>
        <w:fldChar w:fldCharType="begin"/>
      </w:r>
      <w:r w:rsidRPr="00822B39">
        <w:rPr>
          <w:sz w:val="16"/>
        </w:rPr>
        <w:instrText xml:space="preserve"> HYPERLINK "https://www.ukessays.com/essays/politics/does-poverty-cause-war-politics-essay.php" \l "ftn9" </w:instrText>
      </w:r>
      <w:r w:rsidRPr="00822B39">
        <w:rPr>
          <w:sz w:val="16"/>
        </w:rPr>
        <w:fldChar w:fldCharType="separate"/>
      </w:r>
      <w:r w:rsidRPr="00822B39">
        <w:rPr>
          <w:rStyle w:val="Hyperlink"/>
          <w:sz w:val="16"/>
        </w:rPr>
        <w:t>9</w:t>
      </w:r>
      <w:r w:rsidRPr="00822B39">
        <w:rPr>
          <w:sz w:val="16"/>
        </w:rPr>
        <w:fldChar w:fldCharType="end"/>
      </w:r>
      <w:bookmarkEnd w:id="90"/>
      <w:r w:rsidRPr="00822B39">
        <w:rPr>
          <w:sz w:val="16"/>
        </w:rPr>
        <w:t>] `War can be briefly defined as armed conflict between two or more parties, nations or states. The days when international lawyers could claim that the term war only applied to armed conflict between states have surely long gone. The twentieth century and the opening years of the century are replete with examples of internal wars of all kinds - civil wars, ethnic and tribal wars, religious wars and insurgencies. In common usage the term war is widely used to refer to any conflict relating to war or with the characteristics of war.' [</w:t>
      </w:r>
      <w:bookmarkStart w:id="91" w:name="bodyftn10"/>
      <w:r w:rsidRPr="00822B39">
        <w:rPr>
          <w:sz w:val="16"/>
        </w:rPr>
        <w:fldChar w:fldCharType="begin"/>
      </w:r>
      <w:r w:rsidRPr="00822B39">
        <w:rPr>
          <w:sz w:val="16"/>
        </w:rPr>
        <w:instrText xml:space="preserve"> HYPERLINK "https://www.ukessays.com/essays/politics/does-poverty-cause-war-politics-essay.php" \l "ftn10" </w:instrText>
      </w:r>
      <w:r w:rsidRPr="00822B39">
        <w:rPr>
          <w:sz w:val="16"/>
        </w:rPr>
        <w:fldChar w:fldCharType="separate"/>
      </w:r>
      <w:r w:rsidRPr="00822B39">
        <w:rPr>
          <w:rStyle w:val="Hyperlink"/>
          <w:sz w:val="16"/>
        </w:rPr>
        <w:t>10</w:t>
      </w:r>
      <w:r w:rsidRPr="00822B39">
        <w:rPr>
          <w:sz w:val="16"/>
        </w:rPr>
        <w:fldChar w:fldCharType="end"/>
      </w:r>
      <w:bookmarkEnd w:id="91"/>
      <w:r w:rsidRPr="00822B39">
        <w:rPr>
          <w:sz w:val="16"/>
        </w:rPr>
        <w:t xml:space="preserve">] </w:t>
      </w:r>
      <w:r w:rsidRPr="00822B39">
        <w:rPr>
          <w:rStyle w:val="StyleUnderline"/>
        </w:rPr>
        <w:t>Poverty may lead to anger and frustration but it's the political, social, cultural interactions that lead to conflict</w:t>
      </w:r>
      <w:r w:rsidRPr="00822B39">
        <w:rPr>
          <w:sz w:val="16"/>
        </w:rPr>
        <w:t>. [</w:t>
      </w:r>
      <w:bookmarkStart w:id="92" w:name="bodyftn11"/>
      <w:r w:rsidRPr="00822B39">
        <w:rPr>
          <w:sz w:val="16"/>
        </w:rPr>
        <w:fldChar w:fldCharType="begin"/>
      </w:r>
      <w:r w:rsidRPr="00822B39">
        <w:rPr>
          <w:sz w:val="16"/>
        </w:rPr>
        <w:instrText xml:space="preserve"> HYPERLINK "https://www.ukessays.com/essays/politics/does-poverty-cause-war-politics-essay.php" \l "ftn11" </w:instrText>
      </w:r>
      <w:r w:rsidRPr="00822B39">
        <w:rPr>
          <w:sz w:val="16"/>
        </w:rPr>
        <w:fldChar w:fldCharType="separate"/>
      </w:r>
      <w:r w:rsidRPr="00822B39">
        <w:rPr>
          <w:rStyle w:val="Hyperlink"/>
          <w:sz w:val="16"/>
        </w:rPr>
        <w:t>11</w:t>
      </w:r>
      <w:r w:rsidRPr="00822B39">
        <w:rPr>
          <w:sz w:val="16"/>
        </w:rPr>
        <w:fldChar w:fldCharType="end"/>
      </w:r>
      <w:bookmarkEnd w:id="92"/>
      <w:r w:rsidRPr="00822B39">
        <w:rPr>
          <w:sz w:val="16"/>
        </w:rPr>
        <w:t>] Poverty and poor social services can fuel conflict 'from below,' just as it feeds into 'top down' violence. [</w:t>
      </w:r>
      <w:bookmarkStart w:id="93" w:name="bodyftn12"/>
      <w:r w:rsidRPr="00822B39">
        <w:rPr>
          <w:sz w:val="16"/>
        </w:rPr>
        <w:fldChar w:fldCharType="begin"/>
      </w:r>
      <w:r w:rsidRPr="00822B39">
        <w:rPr>
          <w:sz w:val="16"/>
        </w:rPr>
        <w:instrText xml:space="preserve"> HYPERLINK "https://www.ukessays.com/essays/politics/does-poverty-cause-war-politics-essay.php" \l "ftn12" </w:instrText>
      </w:r>
      <w:r w:rsidRPr="00822B39">
        <w:rPr>
          <w:sz w:val="16"/>
        </w:rPr>
        <w:fldChar w:fldCharType="separate"/>
      </w:r>
      <w:r w:rsidRPr="00822B39">
        <w:rPr>
          <w:rStyle w:val="Hyperlink"/>
          <w:sz w:val="16"/>
        </w:rPr>
        <w:t>12</w:t>
      </w:r>
      <w:r w:rsidRPr="00822B39">
        <w:rPr>
          <w:sz w:val="16"/>
        </w:rPr>
        <w:fldChar w:fldCharType="end"/>
      </w:r>
      <w:bookmarkEnd w:id="93"/>
      <w:r w:rsidRPr="00822B39">
        <w:rPr>
          <w:sz w:val="16"/>
        </w:rPr>
        <w:t>] Kolkata, a city in eastern India is one of the poorest cities of the world but with one of the lowest crime rates. This is because the city has always lived with mixed neighbourhoods and ethnicity, as compared to other cities of India. Also, the communist political system in Kolkata has focussed on class and gender related deficits thus shifting focus from religion based differences and reducing the likelihood of religion based instigations- a phenomenon not witnessed in other Indian cities. Similarly, Ireland, during the 1840's was struck with famine and saw all food laden ships moving to England, but remained peaceful. On the other hand, the high crime rate South Africa is due to the legacy of Apartheid and subsequent divided families and neighbourhoods. [</w:t>
      </w:r>
      <w:bookmarkStart w:id="94" w:name="bodyftn13"/>
      <w:r w:rsidRPr="00822B39">
        <w:rPr>
          <w:sz w:val="16"/>
        </w:rPr>
        <w:fldChar w:fldCharType="begin"/>
      </w:r>
      <w:r w:rsidRPr="00822B39">
        <w:rPr>
          <w:sz w:val="16"/>
        </w:rPr>
        <w:instrText xml:space="preserve"> HYPERLINK "https://www.ukessays.com/essays/politics/does-poverty-cause-war-politics-essay.php" \l "ftn13" </w:instrText>
      </w:r>
      <w:r w:rsidRPr="00822B39">
        <w:rPr>
          <w:sz w:val="16"/>
        </w:rPr>
        <w:fldChar w:fldCharType="separate"/>
      </w:r>
      <w:r w:rsidRPr="00822B39">
        <w:rPr>
          <w:rStyle w:val="Hyperlink"/>
          <w:sz w:val="16"/>
        </w:rPr>
        <w:t>13</w:t>
      </w:r>
      <w:r w:rsidRPr="00822B39">
        <w:rPr>
          <w:sz w:val="16"/>
        </w:rPr>
        <w:fldChar w:fldCharType="end"/>
      </w:r>
      <w:bookmarkEnd w:id="94"/>
      <w:r w:rsidRPr="00822B39">
        <w:rPr>
          <w:sz w:val="16"/>
        </w:rPr>
        <w:t xml:space="preserve">] </w:t>
      </w:r>
    </w:p>
    <w:p w:rsidR="00831743" w:rsidRDefault="00831743" w:rsidP="00831743">
      <w:pPr>
        <w:rPr>
          <w:sz w:val="16"/>
        </w:rPr>
      </w:pPr>
    </w:p>
    <w:p w:rsidR="0045745F" w:rsidRPr="00F933AF" w:rsidRDefault="0045745F" w:rsidP="00721D38">
      <w:pPr>
        <w:rPr>
          <w:rFonts w:cs="Calibri"/>
          <w:color w:val="000000" w:themeColor="text1"/>
          <w:sz w:val="21"/>
          <w:szCs w:val="21"/>
          <w:u w:val="single"/>
          <w:shd w:val="clear" w:color="auto" w:fill="FFFFFF"/>
        </w:rPr>
      </w:pPr>
    </w:p>
    <w:p w:rsidR="00721D38" w:rsidRDefault="00721D38" w:rsidP="00721D38">
      <w:pPr>
        <w:pStyle w:val="Heading2"/>
        <w:rPr>
          <w:rFonts w:cs="Calibri"/>
        </w:rPr>
      </w:pPr>
      <w:r w:rsidRPr="00155A7D">
        <w:rPr>
          <w:rFonts w:cs="Calibri"/>
        </w:rPr>
        <w:t>Ableism Adv</w:t>
      </w:r>
    </w:p>
    <w:p w:rsidR="00047C99" w:rsidRPr="00047C99" w:rsidRDefault="00047C99" w:rsidP="00047C99">
      <w:pPr>
        <w:pStyle w:val="Heading3"/>
      </w:pPr>
      <w:r>
        <w:t>1nc</w:t>
      </w:r>
      <w:r w:rsidR="00BB1B68">
        <w:t xml:space="preserve"> – Trump Thumps</w:t>
      </w:r>
    </w:p>
    <w:p w:rsidR="00524258" w:rsidRPr="00F933AF" w:rsidRDefault="00524258" w:rsidP="00524258">
      <w:pPr>
        <w:pStyle w:val="Heading4"/>
        <w:rPr>
          <w:rFonts w:cs="Calibri"/>
        </w:rPr>
      </w:pPr>
      <w:r w:rsidRPr="00F933AF">
        <w:rPr>
          <w:rFonts w:cs="Calibri"/>
        </w:rPr>
        <w:t xml:space="preserve">The affirmative’s immigration reform leaves behind the social intervention necessary for their movement to be successful – welfare, income, employment - are all alt causes that thump the plan </w:t>
      </w:r>
    </w:p>
    <w:p w:rsidR="00524258" w:rsidRPr="00F933AF" w:rsidRDefault="00524258" w:rsidP="00524258">
      <w:pPr>
        <w:rPr>
          <w:rFonts w:cs="Calibri"/>
        </w:rPr>
      </w:pPr>
      <w:r w:rsidRPr="00F933AF">
        <w:rPr>
          <w:rStyle w:val="Style13ptBold"/>
          <w:rFonts w:cs="Calibri"/>
        </w:rPr>
        <w:t>Weber 04</w:t>
      </w:r>
      <w:r w:rsidRPr="00F933AF">
        <w:rPr>
          <w:rStyle w:val="Style13ptBold"/>
          <w:rFonts w:cs="Calibri"/>
          <w:b w:val="0"/>
          <w:color w:val="000000" w:themeColor="text1"/>
          <w:sz w:val="16"/>
          <w:szCs w:val="16"/>
        </w:rPr>
        <w:t xml:space="preserve">, Mark C. - </w:t>
      </w:r>
      <w:r w:rsidRPr="00F933AF">
        <w:rPr>
          <w:rFonts w:cs="Calibri"/>
          <w:color w:val="000000" w:themeColor="text1"/>
          <w:sz w:val="16"/>
          <w:szCs w:val="16"/>
          <w:shd w:val="clear" w:color="auto" w:fill="FFFFFF"/>
        </w:rPr>
        <w:t>main professional interests are disability rights and complex tort litigation. He is the author of </w:t>
      </w:r>
      <w:r w:rsidRPr="00F933AF">
        <w:rPr>
          <w:rFonts w:cs="Calibri"/>
          <w:i/>
          <w:iCs/>
          <w:color w:val="000000" w:themeColor="text1"/>
          <w:sz w:val="16"/>
          <w:szCs w:val="16"/>
          <w:shd w:val="clear" w:color="auto" w:fill="FFFFFF"/>
        </w:rPr>
        <w:t>Disability Harassment </w:t>
      </w:r>
      <w:r w:rsidRPr="00F933AF">
        <w:rPr>
          <w:rFonts w:cs="Calibri"/>
          <w:color w:val="000000" w:themeColor="text1"/>
          <w:sz w:val="16"/>
          <w:szCs w:val="16"/>
          <w:shd w:val="clear" w:color="auto" w:fill="FFFFFF"/>
        </w:rPr>
        <w:t>(NYU Press), </w:t>
      </w:r>
      <w:r w:rsidRPr="00F933AF">
        <w:rPr>
          <w:rFonts w:cs="Calibri"/>
          <w:i/>
          <w:iCs/>
          <w:color w:val="000000" w:themeColor="text1"/>
          <w:sz w:val="16"/>
          <w:szCs w:val="16"/>
          <w:shd w:val="clear" w:color="auto" w:fill="FFFFFF"/>
        </w:rPr>
        <w:t>Understanding Disability Law</w:t>
      </w:r>
      <w:r w:rsidRPr="00F933AF">
        <w:rPr>
          <w:rFonts w:cs="Calibri"/>
          <w:color w:val="000000" w:themeColor="text1"/>
          <w:sz w:val="16"/>
          <w:szCs w:val="16"/>
          <w:shd w:val="clear" w:color="auto" w:fill="FFFFFF"/>
        </w:rPr>
        <w:t xml:space="preserve">, </w:t>
      </w:r>
      <w:r w:rsidRPr="00F933AF">
        <w:rPr>
          <w:rFonts w:cs="Calibri"/>
          <w:i/>
          <w:iCs/>
          <w:color w:val="000000" w:themeColor="text1"/>
          <w:sz w:val="16"/>
          <w:szCs w:val="16"/>
          <w:shd w:val="clear" w:color="auto" w:fill="FFFFFF"/>
        </w:rPr>
        <w:t>Special Education Law Cases and Material</w:t>
      </w:r>
      <w:r w:rsidRPr="00F933AF">
        <w:rPr>
          <w:rStyle w:val="Style13ptBold"/>
          <w:rFonts w:cs="Calibri"/>
          <w:color w:val="000000" w:themeColor="text1"/>
          <w:sz w:val="16"/>
          <w:szCs w:val="16"/>
        </w:rPr>
        <w:t xml:space="preserve"> </w:t>
      </w:r>
      <w:r w:rsidRPr="00F933AF">
        <w:rPr>
          <w:rFonts w:cs="Calibri"/>
          <w:color w:val="000000" w:themeColor="text1"/>
          <w:sz w:val="16"/>
          <w:szCs w:val="16"/>
          <w:shd w:val="clear" w:color="auto" w:fill="FFFFFF"/>
        </w:rPr>
        <w:t>“Opening the golden door: Disability and the law of immigration.”</w:t>
      </w:r>
      <w:r w:rsidRPr="00F933AF">
        <w:rPr>
          <w:rFonts w:cs="Calibri"/>
          <w:i/>
          <w:iCs/>
          <w:color w:val="000000" w:themeColor="text1"/>
          <w:sz w:val="16"/>
          <w:szCs w:val="16"/>
          <w:shd w:val="clear" w:color="auto" w:fill="FFFFFF"/>
        </w:rPr>
        <w:t> The Journal of Gender, Race, and Justice, 8</w:t>
      </w:r>
      <w:r w:rsidRPr="00F933AF">
        <w:rPr>
          <w:rFonts w:cs="Calibri"/>
          <w:color w:val="000000" w:themeColor="text1"/>
          <w:sz w:val="16"/>
          <w:szCs w:val="16"/>
          <w:shd w:val="clear" w:color="auto" w:fill="FFFFFF"/>
        </w:rPr>
        <w:t>(1), 153-175.//mr</w:t>
      </w:r>
    </w:p>
    <w:p w:rsidR="00524258" w:rsidRDefault="00524258" w:rsidP="00524258">
      <w:pPr>
        <w:rPr>
          <w:rFonts w:cs="Calibri"/>
          <w:color w:val="000000" w:themeColor="text1"/>
          <w:sz w:val="21"/>
          <w:szCs w:val="21"/>
          <w:u w:val="single"/>
          <w:shd w:val="clear" w:color="auto" w:fill="FFFFFF"/>
        </w:rPr>
      </w:pPr>
      <w:r w:rsidRPr="00F933AF">
        <w:rPr>
          <w:rFonts w:cs="Calibri"/>
          <w:color w:val="000000" w:themeColor="text1"/>
          <w:sz w:val="16"/>
          <w:szCs w:val="21"/>
          <w:shd w:val="clear" w:color="auto" w:fill="FFFFFF"/>
        </w:rPr>
        <w:t xml:space="preserve">Of course, </w:t>
      </w:r>
      <w:r w:rsidRPr="00F933AF">
        <w:rPr>
          <w:rFonts w:cs="Calibri"/>
          <w:color w:val="000000" w:themeColor="text1"/>
          <w:sz w:val="21"/>
          <w:szCs w:val="21"/>
          <w:u w:val="single"/>
          <w:shd w:val="clear" w:color="auto" w:fill="FFFFFF"/>
        </w:rPr>
        <w:t>the impact of anti-discrimination provisions is not as simple as that, even with the enactment of a reasonable accommodation duty. Even the mandatory provision of reasonable accommodations</w:t>
      </w:r>
      <w:r w:rsidRPr="00F933AF">
        <w:rPr>
          <w:rFonts w:cs="Calibri"/>
          <w:color w:val="000000" w:themeColor="text1"/>
          <w:sz w:val="16"/>
          <w:szCs w:val="21"/>
          <w:shd w:val="clear" w:color="auto" w:fill="FFFFFF"/>
        </w:rPr>
        <w:t>-those that do not impose undue hardship upon employers-</w:t>
      </w:r>
      <w:r w:rsidRPr="00F933AF">
        <w:rPr>
          <w:rFonts w:cs="Calibri"/>
          <w:color w:val="000000" w:themeColor="text1"/>
          <w:sz w:val="21"/>
          <w:szCs w:val="21"/>
          <w:u w:val="single"/>
          <w:shd w:val="clear" w:color="auto" w:fill="FFFFFF"/>
        </w:rPr>
        <w:t>will not make some persons with disabilities able to compete for employment with persons who do not have disabilities.</w:t>
      </w:r>
      <w:r w:rsidRPr="00F933AF">
        <w:rPr>
          <w:rFonts w:cs="Calibri"/>
          <w:color w:val="000000" w:themeColor="text1"/>
          <w:sz w:val="16"/>
          <w:szCs w:val="21"/>
          <w:shd w:val="clear" w:color="auto" w:fill="FFFFFF"/>
        </w:rPr>
        <w:t xml:space="preserve">57 </w:t>
      </w:r>
      <w:r w:rsidRPr="00F933AF">
        <w:rPr>
          <w:rFonts w:cs="Calibri"/>
          <w:color w:val="000000" w:themeColor="text1"/>
          <w:sz w:val="21"/>
          <w:szCs w:val="21"/>
          <w:u w:val="single"/>
          <w:shd w:val="clear" w:color="auto" w:fill="FFFFFF"/>
        </w:rPr>
        <w:t>For those persons who do benefit from the Americans with Disabilities Act (ADA), enforcement of its non-discrimination duties is far from certain, and is</w:t>
      </w:r>
      <w:r w:rsidRPr="00F933AF">
        <w:rPr>
          <w:rFonts w:cs="Calibri"/>
          <w:color w:val="000000" w:themeColor="text1"/>
          <w:sz w:val="16"/>
          <w:szCs w:val="21"/>
          <w:shd w:val="clear" w:color="auto" w:fill="FFFFFF"/>
        </w:rPr>
        <w:t xml:space="preserve"> particularly </w:t>
      </w:r>
      <w:r w:rsidRPr="00F933AF">
        <w:rPr>
          <w:rFonts w:cs="Calibri"/>
          <w:color w:val="000000" w:themeColor="text1"/>
          <w:sz w:val="21"/>
          <w:szCs w:val="21"/>
          <w:u w:val="single"/>
          <w:shd w:val="clear" w:color="auto" w:fill="FFFFFF"/>
        </w:rPr>
        <w:t>unreliable in instances of hidden discrimination and the use of stereotypes.</w:t>
      </w:r>
      <w:r w:rsidRPr="00F933AF">
        <w:rPr>
          <w:rFonts w:cs="Calibri"/>
          <w:color w:val="000000" w:themeColor="text1"/>
          <w:sz w:val="16"/>
          <w:szCs w:val="21"/>
          <w:shd w:val="clear" w:color="auto" w:fill="FFFFFF"/>
        </w:rPr>
        <w:t xml:space="preserve">58 Therefore, </w:t>
      </w:r>
      <w:r w:rsidRPr="00F933AF">
        <w:rPr>
          <w:rFonts w:cs="Calibri"/>
          <w:color w:val="000000" w:themeColor="text1"/>
          <w:sz w:val="21"/>
          <w:szCs w:val="21"/>
          <w:u w:val="single"/>
          <w:shd w:val="clear" w:color="auto" w:fill="FFFFFF"/>
        </w:rPr>
        <w:t>although</w:t>
      </w:r>
      <w:r w:rsidRPr="00F933AF">
        <w:rPr>
          <w:rFonts w:cs="Calibri"/>
          <w:color w:val="000000" w:themeColor="text1"/>
          <w:sz w:val="16"/>
          <w:szCs w:val="21"/>
          <w:shd w:val="clear" w:color="auto" w:fill="FFFFFF"/>
        </w:rPr>
        <w:t xml:space="preserve"> the </w:t>
      </w:r>
      <w:r w:rsidRPr="00F933AF">
        <w:rPr>
          <w:rFonts w:cs="Calibri"/>
          <w:color w:val="000000" w:themeColor="text1"/>
          <w:sz w:val="21"/>
          <w:szCs w:val="21"/>
          <w:u w:val="single"/>
          <w:shd w:val="clear" w:color="auto" w:fill="FFFFFF"/>
        </w:rPr>
        <w:t xml:space="preserve">automatic exclusion of immigrants with disabilities has been removed, </w:t>
      </w:r>
      <w:r w:rsidRPr="00F933AF">
        <w:rPr>
          <w:rFonts w:cs="Calibri"/>
          <w:b/>
          <w:color w:val="000000" w:themeColor="text1"/>
          <w:sz w:val="21"/>
          <w:szCs w:val="21"/>
          <w:u w:val="single"/>
          <w:shd w:val="clear" w:color="auto" w:fill="FFFFFF"/>
        </w:rPr>
        <w:t>the social interventions needed to keep those persons from becoming dependent on public benefits have not been put into place</w:t>
      </w:r>
      <w:r w:rsidRPr="00F933AF">
        <w:rPr>
          <w:rFonts w:cs="Calibri"/>
          <w:color w:val="000000" w:themeColor="text1"/>
          <w:sz w:val="16"/>
          <w:szCs w:val="21"/>
          <w:shd w:val="clear" w:color="auto" w:fill="FFFFFF"/>
        </w:rPr>
        <w:t xml:space="preserve">, and the availability of income support is of vital importance to that group. </w:t>
      </w:r>
      <w:r w:rsidRPr="00F933AF">
        <w:rPr>
          <w:rFonts w:cs="Calibri"/>
          <w:color w:val="000000" w:themeColor="text1"/>
          <w:sz w:val="21"/>
          <w:szCs w:val="21"/>
          <w:u w:val="single"/>
          <w:shd w:val="clear" w:color="auto" w:fill="FFFFFF"/>
        </w:rPr>
        <w:t>Immigration policy innovation has thus outpaced other social welfare policy.</w:t>
      </w:r>
      <w:r w:rsidRPr="00F933AF">
        <w:rPr>
          <w:rFonts w:cs="Calibri"/>
          <w:color w:val="000000" w:themeColor="text1"/>
          <w:sz w:val="16"/>
          <w:szCs w:val="21"/>
          <w:shd w:val="clear" w:color="auto" w:fill="FFFFFF"/>
        </w:rPr>
        <w:t xml:space="preserve"> In fact, as discussed below, </w:t>
      </w:r>
      <w:r w:rsidRPr="00F933AF">
        <w:rPr>
          <w:rFonts w:cs="Calibri"/>
          <w:color w:val="000000" w:themeColor="text1"/>
          <w:sz w:val="21"/>
          <w:szCs w:val="21"/>
          <w:u w:val="single"/>
          <w:shd w:val="clear" w:color="auto" w:fill="FFFFFF"/>
        </w:rPr>
        <w:t>American welfare policy has moved in the other direction.</w:t>
      </w:r>
    </w:p>
    <w:p w:rsidR="0019267D" w:rsidRDefault="0019267D" w:rsidP="0019267D">
      <w:pPr>
        <w:rPr>
          <w:rStyle w:val="Style13ptBold"/>
          <w:b w:val="0"/>
        </w:rPr>
      </w:pPr>
    </w:p>
    <w:p w:rsidR="00136FF6" w:rsidRPr="0019267D" w:rsidRDefault="00136FF6" w:rsidP="00136FF6">
      <w:pPr>
        <w:pStyle w:val="Heading4"/>
        <w:rPr>
          <w:rStyle w:val="Style13ptBold"/>
          <w:b/>
        </w:rPr>
      </w:pPr>
      <w:r w:rsidRPr="0019267D">
        <w:rPr>
          <w:rStyle w:val="Style13ptBold"/>
          <w:b/>
        </w:rPr>
        <w:t xml:space="preserve">Even if the plan is passed, it doesn’t solve </w:t>
      </w:r>
      <w:r w:rsidR="0019267D" w:rsidRPr="0019267D">
        <w:rPr>
          <w:rStyle w:val="Style13ptBold"/>
          <w:b/>
        </w:rPr>
        <w:t>–</w:t>
      </w:r>
      <w:r w:rsidRPr="0019267D">
        <w:rPr>
          <w:rStyle w:val="Style13ptBold"/>
          <w:b/>
        </w:rPr>
        <w:t xml:space="preserve"> </w:t>
      </w:r>
      <w:r w:rsidR="0019267D" w:rsidRPr="0019267D">
        <w:rPr>
          <w:rStyle w:val="Style13ptBold"/>
          <w:b/>
        </w:rPr>
        <w:t xml:space="preserve">Trump’s attacks on healthcare, the ADA, public benefits, and other social policies all mean the plan can’t solve any facet of ableism in the U.S. </w:t>
      </w:r>
      <w:r w:rsidR="0019267D">
        <w:rPr>
          <w:rStyle w:val="Style13ptBold"/>
          <w:b/>
        </w:rPr>
        <w:t xml:space="preserve">– vote neg on presumption </w:t>
      </w:r>
    </w:p>
    <w:p w:rsidR="00136FF6" w:rsidRPr="00136FF6" w:rsidRDefault="00136FF6" w:rsidP="00136FF6">
      <w:pPr>
        <w:pStyle w:val="NoSpacing"/>
        <w:rPr>
          <w:rStyle w:val="Style13ptBold"/>
          <w:b w:val="0"/>
          <w:sz w:val="16"/>
          <w:szCs w:val="16"/>
        </w:rPr>
      </w:pPr>
      <w:r w:rsidRPr="00136FF6">
        <w:rPr>
          <w:rStyle w:val="Style13ptBold"/>
        </w:rPr>
        <w:t>Zaikoiwski 16</w:t>
      </w:r>
      <w:r w:rsidRPr="00136FF6">
        <w:rPr>
          <w:rStyle w:val="Style13ptBold"/>
          <w:b w:val="0"/>
          <w:sz w:val="16"/>
          <w:szCs w:val="16"/>
        </w:rPr>
        <w:t xml:space="preserve">, Carolyn - worked variously as a social worker, crisis counselor, and community organizer, and has taught English and democracy studies in India's red light districts “Disabled People Will Die Under Trump: An Emergency Plea to Allies” </w:t>
      </w:r>
      <w:r w:rsidRPr="00136FF6">
        <w:rPr>
          <w:rStyle w:val="Style13ptBold"/>
          <w:b w:val="0"/>
          <w:i/>
          <w:sz w:val="16"/>
          <w:szCs w:val="16"/>
        </w:rPr>
        <w:t xml:space="preserve">Medium </w:t>
      </w:r>
      <w:r w:rsidRPr="00136FF6">
        <w:rPr>
          <w:rStyle w:val="Style13ptBold"/>
          <w:b w:val="0"/>
          <w:sz w:val="16"/>
          <w:szCs w:val="16"/>
        </w:rPr>
        <w:t>18</w:t>
      </w:r>
      <w:r w:rsidRPr="00136FF6">
        <w:rPr>
          <w:rStyle w:val="Style13ptBold"/>
          <w:b w:val="0"/>
          <w:sz w:val="16"/>
          <w:szCs w:val="16"/>
          <w:vertAlign w:val="superscript"/>
        </w:rPr>
        <w:t>th</w:t>
      </w:r>
      <w:r w:rsidR="005B1B2B">
        <w:rPr>
          <w:rStyle w:val="Style13ptBold"/>
          <w:b w:val="0"/>
          <w:sz w:val="16"/>
          <w:szCs w:val="16"/>
        </w:rPr>
        <w:t xml:space="preserve"> November 2016//mr</w:t>
      </w:r>
    </w:p>
    <w:p w:rsidR="00696B3D" w:rsidRDefault="00136FF6" w:rsidP="00136FF6">
      <w:pPr>
        <w:pStyle w:val="NoSpacing"/>
        <w:rPr>
          <w:rFonts w:cs="Calibri"/>
          <w:spacing w:val="-1"/>
          <w:sz w:val="16"/>
          <w:szCs w:val="22"/>
        </w:rPr>
      </w:pPr>
      <w:r w:rsidRPr="00136FF6">
        <w:rPr>
          <w:rFonts w:cs="Calibri"/>
          <w:spacing w:val="-1"/>
          <w:sz w:val="16"/>
          <w:szCs w:val="22"/>
        </w:rPr>
        <w:t xml:space="preserve">Donald </w:t>
      </w:r>
      <w:r w:rsidRPr="00136FF6">
        <w:rPr>
          <w:rFonts w:cs="Calibri"/>
          <w:spacing w:val="-1"/>
          <w:szCs w:val="22"/>
          <w:u w:val="single"/>
        </w:rPr>
        <w:t>Trump</w:t>
      </w:r>
      <w:r w:rsidRPr="00136FF6">
        <w:rPr>
          <w:rFonts w:cs="Calibri"/>
          <w:spacing w:val="-1"/>
          <w:sz w:val="16"/>
          <w:szCs w:val="22"/>
        </w:rPr>
        <w:t xml:space="preserve">, in addition to being one of the most racist, sexist, xenophobic, homophobic, transphobic, Islamophobic, anti-Semitic, classist, capitalist, all-around hateful and terrifying US presidents in history, is also on track to be the most ableist president. His </w:t>
      </w:r>
      <w:r w:rsidRPr="00136FF6">
        <w:rPr>
          <w:rFonts w:cs="Calibri"/>
          <w:spacing w:val="-1"/>
          <w:szCs w:val="22"/>
          <w:u w:val="single"/>
        </w:rPr>
        <w:t>oft-stated goal of virtually dismantling Medicaid and Obamacare is perhaps the most brazen way in which he will boot-stomp and kill disabled and sick folks</w:t>
      </w:r>
      <w:r w:rsidRPr="00136FF6">
        <w:rPr>
          <w:rFonts w:cs="Calibri"/>
          <w:spacing w:val="-1"/>
          <w:sz w:val="16"/>
          <w:szCs w:val="22"/>
        </w:rPr>
        <w:t xml:space="preserve">. (And this is not to mention other healthcare-related questions: What is going to happen to reproductive rights? What is going to happen to transfolk who use hormones?) </w:t>
      </w:r>
      <w:r w:rsidRPr="00136FF6">
        <w:rPr>
          <w:rFonts w:cs="Calibri"/>
          <w:b/>
          <w:spacing w:val="-1"/>
          <w:szCs w:val="22"/>
          <w:u w:val="single"/>
        </w:rPr>
        <w:t>But Trump’s nasty ableist ideology doesn’t end at healthcare</w:t>
      </w:r>
      <w:r w:rsidRPr="00136FF6">
        <w:rPr>
          <w:rFonts w:cs="Calibri"/>
          <w:spacing w:val="-1"/>
          <w:sz w:val="16"/>
          <w:szCs w:val="22"/>
        </w:rPr>
        <w:t xml:space="preserve">. </w:t>
      </w:r>
      <w:r w:rsidRPr="00136FF6">
        <w:rPr>
          <w:rFonts w:cs="Calibri"/>
          <w:spacing w:val="-1"/>
          <w:szCs w:val="22"/>
          <w:u w:val="single"/>
        </w:rPr>
        <w:t>Trump has contributed to an ableist cultural psychology by openly </w:t>
      </w:r>
      <w:hyperlink r:id="rId273" w:tgtFrame="_blank" w:history="1">
        <w:r w:rsidRPr="00136FF6">
          <w:rPr>
            <w:rStyle w:val="Hyperlink"/>
            <w:rFonts w:cs="Calibri"/>
            <w:spacing w:val="-1"/>
            <w:szCs w:val="22"/>
            <w:u w:val="single"/>
          </w:rPr>
          <w:t>mocking disabled people</w:t>
        </w:r>
      </w:hyperlink>
      <w:r w:rsidRPr="00136FF6">
        <w:rPr>
          <w:rFonts w:cs="Calibri"/>
          <w:spacing w:val="-1"/>
          <w:szCs w:val="22"/>
          <w:u w:val="single"/>
        </w:rPr>
        <w:t> and he has been charged with consistent ADA violations in his business ventures.</w:t>
      </w:r>
      <w:r w:rsidRPr="00136FF6">
        <w:rPr>
          <w:rFonts w:cs="Calibri"/>
          <w:spacing w:val="-1"/>
          <w:sz w:val="16"/>
          <w:szCs w:val="22"/>
        </w:rPr>
        <w:t xml:space="preserve"> This includes cases so egregious that the Department of Justice had to </w:t>
      </w:r>
      <w:hyperlink r:id="rId274" w:tgtFrame="_blank" w:history="1">
        <w:r w:rsidRPr="00136FF6">
          <w:rPr>
            <w:rStyle w:val="Hyperlink"/>
            <w:rFonts w:cs="Calibri"/>
            <w:spacing w:val="-1"/>
            <w:sz w:val="16"/>
            <w:szCs w:val="22"/>
          </w:rPr>
          <w:t xml:space="preserve">get </w:t>
        </w:r>
        <w:proofErr w:type="gramStart"/>
        <w:r w:rsidRPr="00136FF6">
          <w:rPr>
            <w:rStyle w:val="Hyperlink"/>
            <w:rFonts w:cs="Calibri"/>
            <w:spacing w:val="-1"/>
            <w:sz w:val="16"/>
            <w:szCs w:val="22"/>
          </w:rPr>
          <w:t>involved </w:t>
        </w:r>
        <w:proofErr w:type="gramEnd"/>
      </w:hyperlink>
      <w:r w:rsidRPr="00136FF6">
        <w:rPr>
          <w:rFonts w:cs="Calibri"/>
          <w:spacing w:val="-1"/>
          <w:sz w:val="16"/>
          <w:szCs w:val="22"/>
        </w:rPr>
        <w:t xml:space="preserve">. </w:t>
      </w:r>
      <w:r w:rsidRPr="00136FF6">
        <w:rPr>
          <w:rFonts w:cs="Calibri"/>
          <w:spacing w:val="-1"/>
          <w:szCs w:val="22"/>
          <w:u w:val="single"/>
        </w:rPr>
        <w:t>Trump believes capitalists are “oppressed” by the imposition of the Americans with Disabilities Act and has repeatedly spoken of </w:t>
      </w:r>
      <w:hyperlink r:id="rId275" w:tgtFrame="_blank" w:history="1">
        <w:r w:rsidRPr="00136FF6">
          <w:rPr>
            <w:rStyle w:val="Hyperlink"/>
            <w:rFonts w:cs="Calibri"/>
            <w:spacing w:val="-1"/>
            <w:szCs w:val="22"/>
            <w:u w:val="single"/>
          </w:rPr>
          <w:t>supporting legislation</w:t>
        </w:r>
      </w:hyperlink>
      <w:r w:rsidRPr="00136FF6">
        <w:rPr>
          <w:rFonts w:cs="Calibri"/>
          <w:spacing w:val="-1"/>
          <w:szCs w:val="22"/>
          <w:u w:val="single"/>
        </w:rPr>
        <w:t> that would seriously limit the seminal act’s powers</w:t>
      </w:r>
      <w:r w:rsidRPr="00136FF6">
        <w:rPr>
          <w:rFonts w:cs="Calibri"/>
          <w:spacing w:val="-1"/>
          <w:sz w:val="16"/>
          <w:szCs w:val="22"/>
        </w:rPr>
        <w:t>.Immediately addressing this emergency also requires immediately addressing ableism’s intersection with other oppressive systems. For example, Black folks are </w:t>
      </w:r>
      <w:hyperlink r:id="rId276" w:tgtFrame="_blank" w:history="1">
        <w:r w:rsidRPr="00136FF6">
          <w:rPr>
            <w:rStyle w:val="Hyperlink"/>
            <w:rFonts w:cs="Calibri"/>
            <w:spacing w:val="-1"/>
            <w:sz w:val="16"/>
            <w:szCs w:val="22"/>
          </w:rPr>
          <w:t>2.5 times more likely</w:t>
        </w:r>
      </w:hyperlink>
      <w:r w:rsidRPr="00136FF6">
        <w:rPr>
          <w:rFonts w:cs="Calibri"/>
          <w:spacing w:val="-1"/>
          <w:sz w:val="16"/>
          <w:szCs w:val="22"/>
        </w:rPr>
        <w:t> to be killed by police than whites and </w:t>
      </w:r>
      <w:hyperlink r:id="rId277" w:tgtFrame="_blank" w:history="1">
        <w:r w:rsidRPr="00136FF6">
          <w:rPr>
            <w:rStyle w:val="Hyperlink"/>
            <w:rFonts w:cs="Calibri"/>
            <w:spacing w:val="-1"/>
            <w:sz w:val="16"/>
            <w:szCs w:val="22"/>
          </w:rPr>
          <w:t>a full half</w:t>
        </w:r>
      </w:hyperlink>
      <w:r w:rsidRPr="00136FF6">
        <w:rPr>
          <w:rFonts w:cs="Calibri"/>
          <w:spacing w:val="-1"/>
          <w:sz w:val="16"/>
          <w:szCs w:val="22"/>
        </w:rPr>
        <w:t xml:space="preserve"> of people killed by police are disabled. This means that </w:t>
      </w:r>
      <w:r w:rsidRPr="00136FF6">
        <w:rPr>
          <w:rFonts w:cs="Calibri"/>
          <w:spacing w:val="-1"/>
          <w:szCs w:val="22"/>
          <w:u w:val="single"/>
        </w:rPr>
        <w:t>Trump’s potential Department of Justice policies, which will leave police even more unaccountable and militarized than already are, will have </w:t>
      </w:r>
      <w:hyperlink r:id="rId278" w:tgtFrame="_blank" w:history="1">
        <w:r w:rsidRPr="00136FF6">
          <w:rPr>
            <w:rStyle w:val="Hyperlink"/>
            <w:rFonts w:cs="Calibri"/>
            <w:spacing w:val="-1"/>
            <w:szCs w:val="22"/>
            <w:u w:val="single"/>
          </w:rPr>
          <w:t>drastic effects</w:t>
        </w:r>
      </w:hyperlink>
      <w:r w:rsidRPr="00136FF6">
        <w:rPr>
          <w:rFonts w:cs="Calibri"/>
          <w:spacing w:val="-1"/>
          <w:szCs w:val="22"/>
          <w:u w:val="single"/>
        </w:rPr>
        <w:t> on disabled people in general, and disabled people of color in particular.</w:t>
      </w:r>
      <w:r w:rsidRPr="00136FF6">
        <w:rPr>
          <w:rFonts w:cs="Calibri"/>
          <w:spacing w:val="-1"/>
          <w:sz w:val="16"/>
          <w:szCs w:val="22"/>
        </w:rPr>
        <w:t xml:space="preserve"> Indeed, the disabled people who are most at risk for harm and death will be those already suffering other injustices. </w:t>
      </w:r>
      <w:r w:rsidRPr="00136FF6">
        <w:rPr>
          <w:rFonts w:cs="Calibri"/>
          <w:spacing w:val="-1"/>
          <w:szCs w:val="22"/>
          <w:u w:val="single"/>
        </w:rPr>
        <w:t>Many will be </w:t>
      </w:r>
      <w:hyperlink r:id="rId279" w:tgtFrame="_blank" w:history="1">
        <w:r w:rsidRPr="00136FF6">
          <w:rPr>
            <w:rStyle w:val="Hyperlink"/>
            <w:rFonts w:cs="Calibri"/>
            <w:spacing w:val="-1"/>
            <w:szCs w:val="22"/>
            <w:u w:val="single"/>
          </w:rPr>
          <w:t>people of color</w:t>
        </w:r>
      </w:hyperlink>
      <w:r w:rsidRPr="00136FF6">
        <w:rPr>
          <w:rFonts w:cs="Calibri"/>
          <w:spacing w:val="-1"/>
          <w:szCs w:val="22"/>
          <w:u w:val="single"/>
        </w:rPr>
        <w:t> </w:t>
      </w:r>
      <w:hyperlink r:id="rId280" w:tgtFrame="_blank" w:history="1">
        <w:r w:rsidRPr="00136FF6">
          <w:rPr>
            <w:rStyle w:val="Hyperlink"/>
            <w:rFonts w:cs="Calibri"/>
            <w:spacing w:val="-1"/>
            <w:szCs w:val="22"/>
            <w:u w:val="single"/>
          </w:rPr>
          <w:t>and</w:t>
        </w:r>
      </w:hyperlink>
      <w:r w:rsidRPr="00136FF6">
        <w:rPr>
          <w:rFonts w:cs="Calibri"/>
          <w:spacing w:val="-1"/>
          <w:szCs w:val="22"/>
          <w:u w:val="single"/>
        </w:rPr>
        <w:t xml:space="preserve"> </w:t>
      </w:r>
      <w:hyperlink r:id="rId281" w:tgtFrame="_blank" w:history="1">
        <w:r w:rsidRPr="00136FF6">
          <w:rPr>
            <w:rStyle w:val="Hyperlink"/>
            <w:rFonts w:cs="Calibri"/>
            <w:spacing w:val="-1"/>
            <w:szCs w:val="22"/>
            <w:u w:val="single"/>
          </w:rPr>
          <w:t>women</w:t>
        </w:r>
      </w:hyperlink>
      <w:r w:rsidRPr="00136FF6">
        <w:rPr>
          <w:rFonts w:cs="Calibri"/>
          <w:spacing w:val="-1"/>
          <w:szCs w:val="22"/>
          <w:u w:val="single"/>
        </w:rPr>
        <w:t xml:space="preserve"> who are already discriminated against in emergency rooms. Many will be immigrants and migrant workers. </w:t>
      </w:r>
      <w:r w:rsidRPr="00136FF6">
        <w:rPr>
          <w:rFonts w:cs="Calibri"/>
          <w:spacing w:val="-1"/>
          <w:sz w:val="16"/>
          <w:szCs w:val="22"/>
        </w:rPr>
        <w:t xml:space="preserve">Many will be single mothers. Many will be LGBTQ folks. Many will be people who do not speak English, the US’s dominant language. Many will be Native Americans. Many will be severely disabled people needing total care and living in group homes, which are at risk of losing funding. Many will be disabled children in underfunded schools who risk losing their already minimal accommodations. Many will be people who are isolated, without friends or family. Almost all will be working class and poor. </w:t>
      </w:r>
    </w:p>
    <w:p w:rsidR="00047C99" w:rsidRDefault="00047C99" w:rsidP="00047C99"/>
    <w:p w:rsidR="00047C99" w:rsidRPr="00274BF6" w:rsidRDefault="00047C99" w:rsidP="00047C99">
      <w:pPr>
        <w:pStyle w:val="Heading4"/>
      </w:pPr>
      <w:r>
        <w:t xml:space="preserve">Just providing a means to enter is not enough – legal barriers like the ADA Education and Reform Act will thump plan solvency </w:t>
      </w:r>
    </w:p>
    <w:p w:rsidR="00047C99" w:rsidRPr="00274BF6" w:rsidRDefault="00047C99" w:rsidP="00047C99">
      <w:pPr>
        <w:spacing w:after="0" w:line="240" w:lineRule="auto"/>
        <w:rPr>
          <w:rStyle w:val="Style13ptBold"/>
          <w:b w:val="0"/>
          <w:sz w:val="16"/>
          <w:szCs w:val="16"/>
        </w:rPr>
      </w:pPr>
      <w:r w:rsidRPr="00274BF6">
        <w:rPr>
          <w:rStyle w:val="Style13ptBold"/>
        </w:rPr>
        <w:t>Ridge 18</w:t>
      </w:r>
      <w:r w:rsidRPr="00274BF6">
        <w:rPr>
          <w:rStyle w:val="Style13ptBold"/>
          <w:b w:val="0"/>
          <w:sz w:val="16"/>
          <w:szCs w:val="16"/>
        </w:rPr>
        <w:t>, Tom - American politician and author who served as the Assistant to the President for Homeland Security from 2001 to 2003</w:t>
      </w:r>
    </w:p>
    <w:p w:rsidR="00047C99" w:rsidRPr="00274BF6" w:rsidRDefault="00047C99" w:rsidP="00047C99">
      <w:pPr>
        <w:rPr>
          <w:rStyle w:val="Style13ptBold"/>
          <w:b w:val="0"/>
          <w:sz w:val="16"/>
          <w:szCs w:val="16"/>
        </w:rPr>
      </w:pPr>
      <w:r w:rsidRPr="00274BF6">
        <w:rPr>
          <w:rStyle w:val="Style13ptBold"/>
          <w:b w:val="0"/>
          <w:sz w:val="16"/>
          <w:szCs w:val="16"/>
        </w:rPr>
        <w:t xml:space="preserve"> “Rolling Back the Civil Rights of the Disabled Harms Us All” 02-03-18 The Hill http://thehill.com/opinion/civil-rights/373546-rolling-back-the-civil-rights-of-the-disabled-harms-us-all//mr</w:t>
      </w:r>
    </w:p>
    <w:p w:rsidR="00047C99" w:rsidRPr="00F4159D" w:rsidRDefault="00047C99" w:rsidP="00047C99">
      <w:pPr>
        <w:pStyle w:val="NormalWeb"/>
        <w:shd w:val="clear" w:color="auto" w:fill="FFFFFF"/>
        <w:spacing w:before="0" w:beforeAutospacing="0" w:after="300" w:afterAutospacing="0"/>
        <w:rPr>
          <w:rFonts w:cs="Calibri"/>
          <w:color w:val="000000" w:themeColor="text1"/>
          <w:sz w:val="16"/>
        </w:rPr>
      </w:pPr>
      <w:r w:rsidRPr="00F4159D">
        <w:rPr>
          <w:rFonts w:cs="Calibri"/>
          <w:color w:val="000000" w:themeColor="text1"/>
          <w:u w:val="single"/>
        </w:rPr>
        <w:t>When President George H.W. Bush signed the landmark Americans with Disabilities Act (ADA) into law</w:t>
      </w:r>
      <w:r w:rsidRPr="00F4159D">
        <w:rPr>
          <w:rFonts w:cs="Calibri"/>
          <w:color w:val="000000" w:themeColor="text1"/>
          <w:sz w:val="16"/>
        </w:rPr>
        <w:t xml:space="preserve"> nearly 28 years ago, he eloquently </w:t>
      </w:r>
      <w:hyperlink r:id="rId282" w:tgtFrame="_blank" w:history="1">
        <w:r w:rsidRPr="00F4159D">
          <w:rPr>
            <w:rStyle w:val="Hyperlink"/>
            <w:rFonts w:cs="Calibri"/>
            <w:color w:val="000000" w:themeColor="text1"/>
            <w:sz w:val="16"/>
          </w:rPr>
          <w:t>declared</w:t>
        </w:r>
      </w:hyperlink>
      <w:r w:rsidRPr="00F4159D">
        <w:rPr>
          <w:rFonts w:cs="Calibri"/>
          <w:color w:val="000000" w:themeColor="text1"/>
          <w:sz w:val="16"/>
        </w:rPr>
        <w:t xml:space="preserve">, “Let the shameful wall of exclusion come tumbling down.” That was a watershed moment for our country. After decades of willful exclusion and benign neglect, </w:t>
      </w:r>
      <w:r w:rsidRPr="00F4159D">
        <w:rPr>
          <w:rFonts w:cs="Calibri"/>
          <w:color w:val="000000" w:themeColor="text1"/>
          <w:u w:val="single"/>
        </w:rPr>
        <w:t>people with disabilities finally secured the civil rights</w:t>
      </w:r>
      <w:r w:rsidRPr="00F4159D">
        <w:rPr>
          <w:rFonts w:cs="Calibri"/>
          <w:color w:val="000000" w:themeColor="text1"/>
          <w:sz w:val="16"/>
        </w:rPr>
        <w:t xml:space="preserve"> they deserved to be full participants in our great society. President Bush observed that the disabilities law would: “Ensure that people with disabilities are given the basic guarantees for which they have worked so long and so hard: independence, freedom of choice, control of their lives, the opportunity to blend fully and equally into the rich mosaic of the American mainstream.” </w:t>
      </w:r>
      <w:r w:rsidRPr="00F4159D">
        <w:rPr>
          <w:rFonts w:cs="Calibri"/>
          <w:color w:val="000000" w:themeColor="text1"/>
          <w:u w:val="single"/>
        </w:rPr>
        <w:t>Those guarantees are now at risk.</w:t>
      </w:r>
      <w:r w:rsidRPr="00F4159D">
        <w:rPr>
          <w:rFonts w:cs="Calibri"/>
          <w:color w:val="000000" w:themeColor="text1"/>
          <w:sz w:val="16"/>
        </w:rPr>
        <w:t xml:space="preserve"> </w:t>
      </w:r>
      <w:r w:rsidRPr="00F4159D">
        <w:rPr>
          <w:rFonts w:cs="Calibri"/>
          <w:color w:val="000000" w:themeColor="text1"/>
          <w:u w:val="single"/>
        </w:rPr>
        <w:t>The</w:t>
      </w:r>
      <w:r w:rsidRPr="00F4159D">
        <w:rPr>
          <w:rFonts w:cs="Calibri"/>
          <w:color w:val="000000" w:themeColor="text1"/>
          <w:sz w:val="16"/>
        </w:rPr>
        <w:t xml:space="preserve"> House of Representatives will soon vote on </w:t>
      </w:r>
      <w:r w:rsidRPr="00F4159D">
        <w:rPr>
          <w:rFonts w:cs="Calibri"/>
          <w:color w:val="000000" w:themeColor="text1"/>
          <w:u w:val="single"/>
        </w:rPr>
        <w:t>H.R. 620, labelled the “</w:t>
      </w:r>
      <w:hyperlink r:id="rId283" w:tgtFrame="_blank" w:history="1">
        <w:r w:rsidRPr="00F4159D">
          <w:rPr>
            <w:rStyle w:val="Hyperlink"/>
            <w:rFonts w:cs="Calibri"/>
            <w:color w:val="000000" w:themeColor="text1"/>
            <w:u w:val="single"/>
          </w:rPr>
          <w:t>ADA Education and Reform Act.</w:t>
        </w:r>
      </w:hyperlink>
      <w:r w:rsidRPr="00F4159D">
        <w:rPr>
          <w:rFonts w:cs="Calibri"/>
          <w:color w:val="000000" w:themeColor="text1"/>
          <w:u w:val="single"/>
        </w:rPr>
        <w:t>”</w:t>
      </w:r>
      <w:r w:rsidRPr="00F4159D">
        <w:rPr>
          <w:rFonts w:cs="Calibri"/>
          <w:color w:val="000000" w:themeColor="text1"/>
          <w:sz w:val="16"/>
        </w:rPr>
        <w:t xml:space="preserve"> This bill </w:t>
      </w:r>
      <w:r w:rsidRPr="00F4159D">
        <w:rPr>
          <w:rFonts w:cs="Calibri"/>
          <w:color w:val="000000" w:themeColor="text1"/>
          <w:u w:val="single"/>
        </w:rPr>
        <w:t>could significantly reduce access for people with disabilities to stores, restaurants, hotels, doctors’ offices, social service establishments, private schools, and other places of public accommodation</w:t>
      </w:r>
      <w:r w:rsidRPr="00F4159D">
        <w:rPr>
          <w:rFonts w:cs="Calibri"/>
          <w:color w:val="000000" w:themeColor="text1"/>
          <w:sz w:val="16"/>
        </w:rPr>
        <w:t xml:space="preserve">. </w:t>
      </w:r>
      <w:r w:rsidRPr="00F4159D">
        <w:rPr>
          <w:rFonts w:cs="Calibri"/>
          <w:color w:val="000000" w:themeColor="text1"/>
          <w:u w:val="single"/>
        </w:rPr>
        <w:t>In so doing, it would put a damper on opportunities for people with disabilities to participate as</w:t>
      </w:r>
      <w:r w:rsidRPr="00F4159D">
        <w:rPr>
          <w:rFonts w:cs="Calibri"/>
          <w:color w:val="000000" w:themeColor="text1"/>
          <w:sz w:val="16"/>
        </w:rPr>
        <w:t xml:space="preserve"> full and equal </w:t>
      </w:r>
      <w:r w:rsidRPr="00F4159D">
        <w:rPr>
          <w:rFonts w:cs="Calibri"/>
          <w:color w:val="000000" w:themeColor="text1"/>
          <w:u w:val="single"/>
        </w:rPr>
        <w:t>members of society</w:t>
      </w:r>
      <w:r w:rsidRPr="00F4159D">
        <w:rPr>
          <w:rFonts w:cs="Calibri"/>
          <w:color w:val="000000" w:themeColor="text1"/>
          <w:sz w:val="16"/>
        </w:rPr>
        <w:t xml:space="preserve">. </w:t>
      </w:r>
      <w:r w:rsidRPr="00F4159D">
        <w:rPr>
          <w:rFonts w:cs="Calibri"/>
          <w:color w:val="000000" w:themeColor="text1"/>
          <w:sz w:val="16"/>
          <w:shd w:val="clear" w:color="auto" w:fill="FFFFFF"/>
        </w:rPr>
        <w:t xml:space="preserve">The ADA, which passed in 1990 with overwhelming bipartisan support, was carefully crafted to balance the concerns of businesses with the need to ensure access for people with disabilities. It did not require costly retrofitting of buildings built before the ADA; businesses were required to remove barriers in those buildings where that could be done without significant difficulty or expense. But the law contemplated that businesses that could easily remove barriers would do so. They would be accessible when people with disabilities showed up at the door, to shop, to obtain services, and to work. </w:t>
      </w:r>
      <w:r w:rsidRPr="00F4159D">
        <w:rPr>
          <w:rFonts w:cs="Calibri"/>
          <w:color w:val="000000" w:themeColor="text1"/>
          <w:u w:val="single"/>
          <w:shd w:val="clear" w:color="auto" w:fill="FFFFFF"/>
        </w:rPr>
        <w:t xml:space="preserve">If H.R. 620 were to pass, many more people with disabilities would encounter barriers when they showed up and getting in would require a long and arduous process. </w:t>
      </w:r>
      <w:r w:rsidRPr="00F4159D">
        <w:rPr>
          <w:rFonts w:cs="Calibri"/>
          <w:color w:val="000000" w:themeColor="text1"/>
          <w:u w:val="single"/>
        </w:rPr>
        <w:t>That’s because H.R. 620 would eliminate any incentive for businesses to comply with the ADA proactively.</w:t>
      </w:r>
      <w:r w:rsidRPr="00F4159D">
        <w:rPr>
          <w:rFonts w:cs="Calibri"/>
          <w:color w:val="000000" w:themeColor="text1"/>
          <w:sz w:val="16"/>
        </w:rPr>
        <w:t xml:space="preserve"> </w:t>
      </w:r>
      <w:r w:rsidRPr="00F4159D">
        <w:rPr>
          <w:rFonts w:cs="Calibri"/>
          <w:color w:val="000000" w:themeColor="text1"/>
          <w:u w:val="single"/>
        </w:rPr>
        <w:t>A business that did not comply would face no consequence until after it received a legal notice from a person with a disability who was harmed, detailing the specific violation</w:t>
      </w:r>
      <w:r w:rsidRPr="00F4159D">
        <w:rPr>
          <w:rFonts w:cs="Calibri"/>
          <w:color w:val="000000" w:themeColor="text1"/>
          <w:sz w:val="16"/>
        </w:rPr>
        <w:t xml:space="preserve"> of the law. And </w:t>
      </w:r>
      <w:r w:rsidRPr="00F4159D">
        <w:rPr>
          <w:rFonts w:cs="Calibri"/>
          <w:color w:val="000000" w:themeColor="text1"/>
          <w:u w:val="single"/>
        </w:rPr>
        <w:t xml:space="preserve">then the business would have six months to do something about it and would merely be required to make “substantial progress” in removing barriers, instead of actually providing access. </w:t>
      </w:r>
    </w:p>
    <w:p w:rsidR="008C5803" w:rsidRDefault="008C5803" w:rsidP="008C5803">
      <w:pPr>
        <w:pStyle w:val="Heading3"/>
      </w:pPr>
      <w:r>
        <w:t>1nc – Alt Cause</w:t>
      </w:r>
    </w:p>
    <w:p w:rsidR="008C5803" w:rsidRDefault="008C5803" w:rsidP="008C5803">
      <w:pPr>
        <w:pStyle w:val="Heading4"/>
      </w:pPr>
      <w:r>
        <w:t>The fear of disability amongst the white working class in rural America is an alt cause—the aff can’t resolve Trump’s ableist rhetoric which reifies structural inequalities and anti-disability sentiment amongst his voters</w:t>
      </w:r>
    </w:p>
    <w:p w:rsidR="008C5803" w:rsidRPr="006F0032" w:rsidRDefault="008C5803" w:rsidP="008C5803">
      <w:r>
        <w:rPr>
          <w:b/>
        </w:rPr>
        <w:t xml:space="preserve">Harnish 17 </w:t>
      </w:r>
      <w:r w:rsidRPr="0034497D">
        <w:rPr>
          <w:sz w:val="18"/>
          <w:szCs w:val="18"/>
        </w:rPr>
        <w:t>(Andrew Harnish, Disability &amp; Society, 2/15/17, “Ableism and the Trump phenomenon,” p. 42</w:t>
      </w:r>
      <w:r>
        <w:rPr>
          <w:sz w:val="18"/>
          <w:szCs w:val="18"/>
        </w:rPr>
        <w:t>4-425</w:t>
      </w:r>
      <w:r w:rsidRPr="0034497D">
        <w:rPr>
          <w:sz w:val="18"/>
          <w:szCs w:val="18"/>
        </w:rPr>
        <w:t>, https://www.tandfonline.com/doi/pdf/10.1080/09687599.2017.1288684?needAccess=true)</w:t>
      </w:r>
      <w:r>
        <w:rPr>
          <w:sz w:val="18"/>
          <w:szCs w:val="18"/>
        </w:rPr>
        <w:t>//jy</w:t>
      </w:r>
    </w:p>
    <w:p w:rsidR="008C5803" w:rsidRDefault="008C5803" w:rsidP="008C5803">
      <w:pPr>
        <w:rPr>
          <w:sz w:val="14"/>
        </w:rPr>
      </w:pPr>
      <w:r w:rsidRPr="00042313">
        <w:rPr>
          <w:sz w:val="14"/>
        </w:rPr>
        <w:t xml:space="preserve">But reprehensible as it is, Trump’s ableist rhetoric plainly has purchase. One reason is simple: </w:t>
      </w:r>
      <w:r w:rsidRPr="00120BBE">
        <w:rPr>
          <w:u w:val="single"/>
        </w:rPr>
        <w:t>many in the white working class – and the working class writ large – are deeply fearful of disability</w:t>
      </w:r>
      <w:r w:rsidRPr="00042313">
        <w:rPr>
          <w:sz w:val="14"/>
        </w:rPr>
        <w:t xml:space="preserve">. Until recently, life for rural, white, able-bodied Americans was broadly gratifying. </w:t>
      </w:r>
      <w:r w:rsidRPr="00120BBE">
        <w:rPr>
          <w:u w:val="single"/>
        </w:rPr>
        <w:t>The automation of agriculture, the outsourcing of manufacturing, and the neoliberal assault on social services have left many rural Americans unable to find jobs</w:t>
      </w:r>
      <w:r w:rsidRPr="00042313">
        <w:rPr>
          <w:sz w:val="14"/>
        </w:rPr>
        <w:t xml:space="preserve"> in their communities and debilitated by the great distances they must travel to find employment. Life in rural America is increasingly precarious, yet </w:t>
      </w:r>
      <w:r w:rsidRPr="00120BBE">
        <w:rPr>
          <w:u w:val="single"/>
        </w:rPr>
        <w:t>rural American culture does not have a strong tradition of valuing bodily difference or conceiving of people as having worth beyond their labor</w:t>
      </w:r>
      <w:r>
        <w:rPr>
          <w:u w:val="single"/>
        </w:rPr>
        <w:t xml:space="preserve"> </w:t>
      </w:r>
      <w:r w:rsidRPr="00120BBE">
        <w:rPr>
          <w:u w:val="single"/>
        </w:rPr>
        <w:t>value</w:t>
      </w:r>
      <w:r w:rsidRPr="00042313">
        <w:rPr>
          <w:sz w:val="14"/>
        </w:rPr>
        <w:t xml:space="preserve">. While the urban working class has access to a range of (often inadequate) government services, the rural working class often lacks even this limited access. </w:t>
      </w:r>
      <w:r w:rsidRPr="00120BBE">
        <w:rPr>
          <w:u w:val="single"/>
        </w:rPr>
        <w:t xml:space="preserve">Low population density, limited access to public transportation, and few social service offices make rural communities difficult to navigate for those with disabilities. </w:t>
      </w:r>
      <w:r w:rsidRPr="00042313">
        <w:rPr>
          <w:sz w:val="14"/>
        </w:rPr>
        <w:t xml:space="preserve">Yet, at least electorally, </w:t>
      </w:r>
      <w:r w:rsidRPr="00120BBE">
        <w:rPr>
          <w:u w:val="single"/>
        </w:rPr>
        <w:t>rural communities have not</w:t>
      </w:r>
      <w:r w:rsidRPr="00042313">
        <w:rPr>
          <w:sz w:val="14"/>
        </w:rPr>
        <w:t xml:space="preserve"> generally </w:t>
      </w:r>
      <w:r w:rsidRPr="00120BBE">
        <w:rPr>
          <w:u w:val="single"/>
        </w:rPr>
        <w:t>embraced</w:t>
      </w:r>
      <w:r w:rsidRPr="00042313">
        <w:rPr>
          <w:sz w:val="14"/>
        </w:rPr>
        <w:t xml:space="preserve"> the services that might make the </w:t>
      </w:r>
      <w:r w:rsidRPr="00120BBE">
        <w:rPr>
          <w:u w:val="single"/>
        </w:rPr>
        <w:t>neoliberal disruptions of the last quarter century more endurable</w:t>
      </w:r>
      <w:r w:rsidRPr="00042313">
        <w:rPr>
          <w:sz w:val="14"/>
        </w:rPr>
        <w:t xml:space="preserve">. Part of this is </w:t>
      </w:r>
      <w:r w:rsidRPr="00120BBE">
        <w:rPr>
          <w:u w:val="single"/>
        </w:rPr>
        <w:t>because the culture of rural America remains</w:t>
      </w:r>
      <w:r w:rsidRPr="00042313">
        <w:rPr>
          <w:sz w:val="14"/>
        </w:rPr>
        <w:t xml:space="preserve"> independent, rooted in family and </w:t>
      </w:r>
      <w:r w:rsidRPr="00120BBE">
        <w:rPr>
          <w:u w:val="single"/>
        </w:rPr>
        <w:t>contemptuous of the costs and diversity of the metropolis, scornful of</w:t>
      </w:r>
      <w:r w:rsidRPr="00042313">
        <w:rPr>
          <w:sz w:val="14"/>
        </w:rPr>
        <w:t xml:space="preserve"> social investments, the ‘</w:t>
      </w:r>
      <w:r w:rsidRPr="00120BBE">
        <w:rPr>
          <w:u w:val="single"/>
        </w:rPr>
        <w:t>welfare</w:t>
      </w:r>
      <w:r w:rsidRPr="00042313">
        <w:rPr>
          <w:sz w:val="14"/>
        </w:rPr>
        <w:t xml:space="preserve">’ that always seems to benefit ‘someone else’ (Williams 2016). </w:t>
      </w:r>
      <w:r w:rsidRPr="00120BBE">
        <w:rPr>
          <w:u w:val="single"/>
        </w:rPr>
        <w:t>Part, too, is due to a powerful conservative media apparatus that is quick to denounce urban entitlements, but seldom, if ever, highlights the government subsidies that benefit its largely rural, white audience.</w:t>
      </w:r>
      <w:r w:rsidRPr="00042313">
        <w:rPr>
          <w:sz w:val="14"/>
        </w:rPr>
        <w:t xml:space="preserve"> In the face of its own increasing economic and even bodily difference, much of rural America has redoubled its isolation. </w:t>
      </w:r>
      <w:r w:rsidRPr="00120BBE">
        <w:rPr>
          <w:u w:val="single"/>
        </w:rPr>
        <w:t>This is the environment Trump preyed upon with his ableist rhetoric. Rural electoral complicity with the neoliberal assaults on the welfare state has created an environment where disabled working-class voters have few resources to fall back on</w:t>
      </w:r>
      <w:r w:rsidRPr="00042313">
        <w:rPr>
          <w:sz w:val="14"/>
        </w:rPr>
        <w:t xml:space="preserve">. It is no wonder that many rural, working-class whites are frightened of disability. The federal government still offers people with disabilities limited financial assistance, $1070 dollars per month for ‘non-blind persons’ and $1800 dollars monthly for ‘blind persons’ (‘Facts and Figures’ 2014), but these sums are so low that many Americans cannot imagine living on them, especially as, in much of the United States, </w:t>
      </w:r>
      <w:r w:rsidRPr="00E554B9">
        <w:rPr>
          <w:u w:val="single"/>
        </w:rPr>
        <w:t>poverty is treated as a moral flaw. So far, the left has not done a good job persuading rural America that more accessible and inclusive communities will increase its flourishing. Hillary Clinton tried</w:t>
      </w:r>
      <w:r w:rsidRPr="00042313">
        <w:rPr>
          <w:sz w:val="14"/>
        </w:rPr>
        <w:t xml:space="preserve"> to make this case – she spoke directly to people with disabilities. </w:t>
      </w:r>
      <w:r w:rsidRPr="00E554B9">
        <w:rPr>
          <w:u w:val="single"/>
        </w:rPr>
        <w:t xml:space="preserve">But </w:t>
      </w:r>
      <w:r w:rsidRPr="00042313">
        <w:rPr>
          <w:sz w:val="14"/>
        </w:rPr>
        <w:t xml:space="preserve">Donald </w:t>
      </w:r>
      <w:r w:rsidRPr="00E554B9">
        <w:rPr>
          <w:u w:val="single"/>
        </w:rPr>
        <w:t>Trump eschewed this vision, denouncing racial and disabled minorities, and promising to create rural, white working-class jobs, and trounced Clinton in rural communities. Employment seems to promise the ‘independence’ prized in rural, working-class culture</w:t>
      </w:r>
      <w:r w:rsidRPr="00042313">
        <w:rPr>
          <w:sz w:val="14"/>
        </w:rPr>
        <w:t xml:space="preserve">. Conveniently for conservatives, these promises are also a substitute for economically costly investments in the built environment of rural communities: in public transportation, social services, and child care, investments that would make those communities more livable for people with disabilities and those with limited economic means. The rural, white working class embraced Donald </w:t>
      </w:r>
      <w:r w:rsidRPr="005469DD">
        <w:rPr>
          <w:u w:val="single"/>
        </w:rPr>
        <w:t>Trump</w:t>
      </w:r>
      <w:r w:rsidRPr="00042313">
        <w:rPr>
          <w:sz w:val="14"/>
        </w:rPr>
        <w:t xml:space="preserve">, but his </w:t>
      </w:r>
      <w:r w:rsidRPr="005469DD">
        <w:rPr>
          <w:u w:val="single"/>
        </w:rPr>
        <w:t>policies are liable to make all rural Americans more vulnerable, and especially those with disabilities. His ableist rhetoric,</w:t>
      </w:r>
      <w:r w:rsidRPr="00042313">
        <w:rPr>
          <w:sz w:val="14"/>
        </w:rPr>
        <w:t xml:space="preserve"> capitalizing on an ableist culture, </w:t>
      </w:r>
      <w:r w:rsidRPr="005469DD">
        <w:rPr>
          <w:u w:val="single"/>
        </w:rPr>
        <w:t xml:space="preserve">will increase </w:t>
      </w:r>
      <w:r w:rsidRPr="00042313">
        <w:rPr>
          <w:sz w:val="14"/>
        </w:rPr>
        <w:t xml:space="preserve">the </w:t>
      </w:r>
      <w:r w:rsidRPr="005469DD">
        <w:rPr>
          <w:u w:val="single"/>
        </w:rPr>
        <w:t>structural ableism</w:t>
      </w:r>
      <w:r w:rsidRPr="00042313">
        <w:rPr>
          <w:sz w:val="14"/>
        </w:rPr>
        <w:t xml:space="preserve"> that already obtains in the United States.</w:t>
      </w:r>
    </w:p>
    <w:p w:rsidR="008C5803" w:rsidRDefault="008C5803" w:rsidP="008C5803">
      <w:pPr>
        <w:rPr>
          <w:sz w:val="14"/>
        </w:rPr>
      </w:pPr>
    </w:p>
    <w:p w:rsidR="00274BF6" w:rsidRPr="00136FF6" w:rsidRDefault="00274BF6" w:rsidP="00274BF6"/>
    <w:p w:rsidR="003067F6" w:rsidRDefault="003067F6" w:rsidP="003067F6">
      <w:pPr>
        <w:pStyle w:val="Heading3"/>
      </w:pPr>
      <w:r>
        <w:t>2nc/1nr – Trump Administration thumps</w:t>
      </w:r>
    </w:p>
    <w:p w:rsidR="00155A7D" w:rsidRDefault="003D6357" w:rsidP="003D6357">
      <w:pPr>
        <w:pStyle w:val="Heading4"/>
      </w:pPr>
      <w:r>
        <w:t>And current government policy is undermining the ADA’s “equality of opportunity” tenets – the aff just gives people access to a failing system</w:t>
      </w:r>
    </w:p>
    <w:p w:rsidR="003D6357" w:rsidRPr="00047C99" w:rsidRDefault="00047C99" w:rsidP="00047C99">
      <w:pPr>
        <w:spacing w:after="0" w:line="240" w:lineRule="auto"/>
        <w:rPr>
          <w:rStyle w:val="Style13ptBold"/>
          <w:rFonts w:ascii="Times New Roman" w:eastAsia="Times New Roman" w:hAnsi="Times New Roman" w:cs="Times New Roman"/>
          <w:b w:val="0"/>
          <w:sz w:val="24"/>
        </w:rPr>
      </w:pPr>
      <w:r>
        <w:rPr>
          <w:rStyle w:val="Style13ptBold"/>
        </w:rPr>
        <w:t>Cokley 18</w:t>
      </w:r>
      <w:r w:rsidRPr="00047C99">
        <w:rPr>
          <w:rStyle w:val="Style13ptBold"/>
          <w:b w:val="0"/>
          <w:sz w:val="16"/>
          <w:szCs w:val="16"/>
        </w:rPr>
        <w:t>, Rebecca –</w:t>
      </w:r>
      <w:r w:rsidRPr="00047C99">
        <w:rPr>
          <w:rStyle w:val="Style13ptBold"/>
          <w:sz w:val="16"/>
          <w:szCs w:val="16"/>
        </w:rPr>
        <w:t xml:space="preserve"> </w:t>
      </w:r>
      <w:r w:rsidRPr="00047C99">
        <w:rPr>
          <w:rFonts w:ascii="Arial" w:eastAsia="Times New Roman" w:hAnsi="Arial" w:cs="Arial"/>
          <w:color w:val="222222"/>
          <w:sz w:val="16"/>
          <w:szCs w:val="16"/>
          <w:shd w:val="clear" w:color="auto" w:fill="FFFFFF"/>
        </w:rPr>
        <w:t>American disability rights activist and public speaker who is currently the Senior Fellow for the Center for American Progress working on disability policy</w:t>
      </w:r>
      <w:r w:rsidRPr="00047C99">
        <w:rPr>
          <w:rFonts w:ascii="Times New Roman" w:eastAsia="Times New Roman" w:hAnsi="Times New Roman" w:cs="Times New Roman"/>
          <w:sz w:val="16"/>
          <w:szCs w:val="16"/>
        </w:rPr>
        <w:t xml:space="preserve"> </w:t>
      </w:r>
      <w:r w:rsidRPr="00047C99">
        <w:rPr>
          <w:rStyle w:val="Style13ptBold"/>
          <w:sz w:val="16"/>
          <w:szCs w:val="16"/>
        </w:rPr>
        <w:t xml:space="preserve"> </w:t>
      </w:r>
      <w:r w:rsidRPr="00047C99">
        <w:rPr>
          <w:rStyle w:val="Style13ptBold"/>
          <w:b w:val="0"/>
          <w:sz w:val="16"/>
          <w:szCs w:val="16"/>
        </w:rPr>
        <w:t>“The rights of disabled Americans are under attack” CNN 05/25/18 https://www.cnn.com/2018/02/14/opinions/disability-access-under-attack-trump-hr-620-cokley-opinion/index.html</w:t>
      </w:r>
      <w:r w:rsidR="00EA2A3C">
        <w:rPr>
          <w:rStyle w:val="Style13ptBold"/>
          <w:b w:val="0"/>
          <w:sz w:val="16"/>
          <w:szCs w:val="16"/>
        </w:rPr>
        <w:t>//mr</w:t>
      </w:r>
    </w:p>
    <w:p w:rsidR="00155A7D" w:rsidRPr="00155A7D" w:rsidRDefault="00155A7D" w:rsidP="00155A7D">
      <w:pPr>
        <w:shd w:val="clear" w:color="auto" w:fill="FEFEFE"/>
        <w:rPr>
          <w:rFonts w:cs="Calibri"/>
          <w:color w:val="000000" w:themeColor="text1"/>
          <w:sz w:val="16"/>
          <w:szCs w:val="23"/>
        </w:rPr>
      </w:pPr>
      <w:r w:rsidRPr="00155A7D">
        <w:rPr>
          <w:rFonts w:cs="Calibri"/>
          <w:color w:val="000000" w:themeColor="text1"/>
          <w:sz w:val="16"/>
          <w:szCs w:val="23"/>
        </w:rPr>
        <w:t xml:space="preserve">The </w:t>
      </w:r>
      <w:hyperlink r:id="rId284" w:history="1">
        <w:r w:rsidRPr="00155A7D">
          <w:rPr>
            <w:rStyle w:val="Hyperlink"/>
            <w:rFonts w:cs="Calibri"/>
            <w:color w:val="000000" w:themeColor="text1"/>
            <w:sz w:val="16"/>
            <w:szCs w:val="23"/>
          </w:rPr>
          <w:t>Americans with Disabilities Act</w:t>
        </w:r>
        <w:r w:rsidRPr="00155A7D">
          <w:rPr>
            <w:rStyle w:val="Hyperlink"/>
            <w:rFonts w:eastAsiaTheme="majorEastAsia" w:cs="Calibri"/>
            <w:color w:val="000000" w:themeColor="text1"/>
            <w:sz w:val="16"/>
            <w:szCs w:val="23"/>
          </w:rPr>
          <w:t xml:space="preserve"> </w:t>
        </w:r>
      </w:hyperlink>
      <w:r w:rsidRPr="00155A7D">
        <w:rPr>
          <w:rFonts w:cs="Calibri"/>
          <w:color w:val="000000" w:themeColor="text1"/>
          <w:sz w:val="16"/>
          <w:szCs w:val="23"/>
        </w:rPr>
        <w:t xml:space="preserve">(ADA) has been law for 28 years now -- and I can honestly say that </w:t>
      </w:r>
      <w:r w:rsidRPr="00155A7D">
        <w:rPr>
          <w:rFonts w:cs="Calibri"/>
          <w:color w:val="000000" w:themeColor="text1"/>
          <w:sz w:val="23"/>
          <w:szCs w:val="23"/>
          <w:u w:val="single"/>
        </w:rPr>
        <w:t>rights for Americans with disabilities, including accessibility to public spaces, are now facing more uncertainty and outright hostility than at any time in recent memory</w:t>
      </w:r>
      <w:r w:rsidRPr="00155A7D">
        <w:rPr>
          <w:rFonts w:cs="Calibri"/>
          <w:color w:val="000000" w:themeColor="text1"/>
          <w:sz w:val="16"/>
          <w:szCs w:val="23"/>
        </w:rPr>
        <w:t xml:space="preserve">. </w:t>
      </w:r>
      <w:r w:rsidRPr="00155A7D">
        <w:rPr>
          <w:rFonts w:cs="Calibri"/>
          <w:color w:val="000000" w:themeColor="text1"/>
          <w:sz w:val="16"/>
        </w:rPr>
        <w:t xml:space="preserve">Recently, Delta Airlines began pushing back on service and support animals, introducing a new policy that requires increased documentation to register the animals at least 48 hours in advance of flying. No other population is required to submit additional paperwork 48 hours before a flight. This will undoubtedly impact people with disabilities' access to the ability to "get up and go" with the same level of flexibility as individuals without disabilities. While there have </w:t>
      </w:r>
      <w:hyperlink r:id="rId285" w:tgtFrame="_blank" w:history="1">
        <w:r w:rsidRPr="00155A7D">
          <w:rPr>
            <w:rStyle w:val="Hyperlink"/>
            <w:rFonts w:cs="Calibri"/>
            <w:color w:val="000000" w:themeColor="text1"/>
            <w:sz w:val="16"/>
          </w:rPr>
          <w:t xml:space="preserve">been stories </w:t>
        </w:r>
      </w:hyperlink>
      <w:r w:rsidRPr="00155A7D">
        <w:rPr>
          <w:rFonts w:cs="Calibri"/>
          <w:color w:val="000000" w:themeColor="text1"/>
          <w:sz w:val="16"/>
        </w:rPr>
        <w:t xml:space="preserve">of people without disabilities taking advantage of rights that are clearly not theirs -- to transport animals who are not used for service or support, and in some cases behaved </w:t>
      </w:r>
      <w:hyperlink r:id="rId286" w:tgtFrame="_blank" w:history="1">
        <w:r w:rsidRPr="00155A7D">
          <w:rPr>
            <w:rStyle w:val="Hyperlink"/>
            <w:rFonts w:cs="Calibri"/>
            <w:color w:val="000000" w:themeColor="text1"/>
            <w:sz w:val="16"/>
          </w:rPr>
          <w:t>inappropriately</w:t>
        </w:r>
      </w:hyperlink>
      <w:r w:rsidRPr="00155A7D">
        <w:rPr>
          <w:rFonts w:cs="Calibri"/>
          <w:color w:val="000000" w:themeColor="text1"/>
          <w:sz w:val="16"/>
        </w:rPr>
        <w:t xml:space="preserve"> -- the lasting impact of the airline's misguided efforts to address the problem will fall on travelers with disabilities (including those with hidden or nonvisible disabilities and chronic conditions), making it harder to travel for business or pleasure. Imagine being asked to present before an important client, or getting a call that a relative is gravely ill and being asked, "Can you get there in 24 hours?" For the average nondisabled person with the means to travel, yes, you can. But for a person with a disability who requires use of a service animal, the answer will now have to be no. And </w:t>
      </w:r>
      <w:r w:rsidRPr="00155A7D">
        <w:rPr>
          <w:rFonts w:cs="Calibri"/>
          <w:color w:val="000000" w:themeColor="text1"/>
          <w:u w:val="single"/>
        </w:rPr>
        <w:t xml:space="preserve">this clearly flies in the face of a disabled person's </w:t>
      </w:r>
      <w:hyperlink r:id="rId287" w:tgtFrame="_blank" w:history="1">
        <w:r w:rsidRPr="00155A7D">
          <w:rPr>
            <w:rStyle w:val="Hyperlink"/>
            <w:rFonts w:cs="Calibri"/>
            <w:color w:val="000000" w:themeColor="text1"/>
            <w:u w:val="single"/>
          </w:rPr>
          <w:t>right to equality of opportunity</w:t>
        </w:r>
      </w:hyperlink>
      <w:r w:rsidRPr="00155A7D">
        <w:rPr>
          <w:rFonts w:cs="Calibri"/>
          <w:color w:val="000000" w:themeColor="text1"/>
          <w:u w:val="single"/>
        </w:rPr>
        <w:t xml:space="preserve">, one of the </w:t>
      </w:r>
      <w:hyperlink r:id="rId288" w:tgtFrame="_blank" w:history="1">
        <w:r w:rsidRPr="00155A7D">
          <w:rPr>
            <w:rStyle w:val="Hyperlink"/>
            <w:rFonts w:cs="Calibri"/>
            <w:color w:val="000000" w:themeColor="text1"/>
            <w:u w:val="single"/>
          </w:rPr>
          <w:t>four key promises</w:t>
        </w:r>
      </w:hyperlink>
      <w:r w:rsidRPr="00155A7D">
        <w:rPr>
          <w:rFonts w:cs="Calibri"/>
          <w:color w:val="000000" w:themeColor="text1"/>
          <w:u w:val="single"/>
        </w:rPr>
        <w:t xml:space="preserve"> laid out in the preamble of ADA, along with full participation, independent living, and economic self-sufficiency.</w:t>
      </w:r>
      <w:r w:rsidRPr="00155A7D">
        <w:rPr>
          <w:rFonts w:cs="Calibri"/>
          <w:color w:val="000000" w:themeColor="text1"/>
          <w:sz w:val="16"/>
        </w:rPr>
        <w:t xml:space="preserve"> </w:t>
      </w:r>
      <w:r w:rsidRPr="00155A7D">
        <w:rPr>
          <w:rFonts w:cs="Calibri"/>
          <w:color w:val="000000" w:themeColor="text1"/>
          <w:u w:val="single"/>
        </w:rPr>
        <w:t xml:space="preserve">The Trump administration is on the attack, and so are many states. Across America, marginalized communities -- </w:t>
      </w:r>
      <w:hyperlink r:id="rId289" w:tgtFrame="_blank" w:history="1">
        <w:r w:rsidRPr="00155A7D">
          <w:rPr>
            <w:rStyle w:val="Hyperlink"/>
            <w:rFonts w:cs="Calibri"/>
            <w:color w:val="000000" w:themeColor="text1"/>
            <w:u w:val="single"/>
          </w:rPr>
          <w:t>LGBT</w:t>
        </w:r>
      </w:hyperlink>
      <w:r w:rsidRPr="00155A7D">
        <w:rPr>
          <w:rFonts w:cs="Calibri"/>
          <w:color w:val="000000" w:themeColor="text1"/>
          <w:u w:val="single"/>
        </w:rPr>
        <w:t xml:space="preserve">, </w:t>
      </w:r>
      <w:hyperlink r:id="rId290" w:history="1">
        <w:r w:rsidRPr="00155A7D">
          <w:rPr>
            <w:rStyle w:val="Hyperlink"/>
            <w:rFonts w:cs="Calibri"/>
            <w:color w:val="000000" w:themeColor="text1"/>
            <w:u w:val="single"/>
          </w:rPr>
          <w:t>Muslim</w:t>
        </w:r>
      </w:hyperlink>
      <w:r w:rsidRPr="00155A7D">
        <w:rPr>
          <w:rFonts w:cs="Calibri"/>
          <w:color w:val="000000" w:themeColor="text1"/>
          <w:u w:val="single"/>
        </w:rPr>
        <w:t xml:space="preserve">, </w:t>
      </w:r>
      <w:hyperlink r:id="rId291" w:history="1">
        <w:r w:rsidRPr="00155A7D">
          <w:rPr>
            <w:rStyle w:val="Hyperlink"/>
            <w:rFonts w:cs="Calibri"/>
            <w:color w:val="000000" w:themeColor="text1"/>
            <w:u w:val="single"/>
          </w:rPr>
          <w:t>African-American</w:t>
        </w:r>
      </w:hyperlink>
      <w:r w:rsidRPr="00155A7D">
        <w:rPr>
          <w:rFonts w:cs="Calibri"/>
          <w:color w:val="000000" w:themeColor="text1"/>
          <w:u w:val="single"/>
        </w:rPr>
        <w:t xml:space="preserve"> and more -- are </w:t>
      </w:r>
      <w:hyperlink r:id="rId292" w:tgtFrame="_blank" w:history="1">
        <w:r w:rsidRPr="00155A7D">
          <w:rPr>
            <w:rStyle w:val="Hyperlink"/>
            <w:rFonts w:cs="Calibri"/>
            <w:color w:val="000000" w:themeColor="text1"/>
            <w:u w:val="single"/>
          </w:rPr>
          <w:t xml:space="preserve">having to advocate </w:t>
        </w:r>
      </w:hyperlink>
      <w:r w:rsidRPr="00155A7D">
        <w:rPr>
          <w:rFonts w:cs="Calibri"/>
          <w:color w:val="000000" w:themeColor="text1"/>
          <w:u w:val="single"/>
        </w:rPr>
        <w:t>for their right to access society, in a way unseen since the 1960s or '70s. This is equally true for the disability community</w:t>
      </w:r>
      <w:r w:rsidRPr="00155A7D">
        <w:rPr>
          <w:rFonts w:cs="Calibri"/>
          <w:color w:val="000000" w:themeColor="text1"/>
          <w:sz w:val="16"/>
        </w:rPr>
        <w:t xml:space="preserve">, which represents anywhere from </w:t>
      </w:r>
      <w:hyperlink r:id="rId293" w:tgtFrame="_blank" w:history="1">
        <w:r w:rsidRPr="00155A7D">
          <w:rPr>
            <w:rStyle w:val="Hyperlink"/>
            <w:rFonts w:cs="Calibri"/>
            <w:color w:val="000000" w:themeColor="text1"/>
            <w:sz w:val="16"/>
          </w:rPr>
          <w:t>one in four to one in five</w:t>
        </w:r>
      </w:hyperlink>
      <w:r w:rsidRPr="00155A7D">
        <w:rPr>
          <w:rFonts w:cs="Calibri"/>
          <w:color w:val="000000" w:themeColor="text1"/>
          <w:sz w:val="16"/>
        </w:rPr>
        <w:t xml:space="preserve"> people in this country, and which is having to defend against a sweeping assault on their rights and protections. </w:t>
      </w:r>
      <w:r w:rsidRPr="00155A7D">
        <w:rPr>
          <w:rFonts w:cs="Calibri"/>
          <w:color w:val="000000" w:themeColor="text1"/>
          <w:sz w:val="23"/>
          <w:szCs w:val="23"/>
          <w:u w:val="single"/>
        </w:rPr>
        <w:t xml:space="preserve">These attacks, while egregious, are just the tip of the iceberg compared to a broader bipartisan assault on the rights of Americans with Disabilities Act: the </w:t>
      </w:r>
      <w:hyperlink r:id="rId294" w:tgtFrame="_blank" w:history="1">
        <w:r w:rsidRPr="00155A7D">
          <w:rPr>
            <w:rStyle w:val="Hyperlink"/>
            <w:rFonts w:cs="Calibri"/>
            <w:color w:val="000000" w:themeColor="text1"/>
            <w:sz w:val="23"/>
            <w:szCs w:val="23"/>
            <w:u w:val="single"/>
          </w:rPr>
          <w:t>ADA Education and Reform Act</w:t>
        </w:r>
      </w:hyperlink>
      <w:r w:rsidRPr="00155A7D">
        <w:rPr>
          <w:rFonts w:cs="Calibri"/>
          <w:color w:val="000000" w:themeColor="text1"/>
          <w:sz w:val="23"/>
          <w:szCs w:val="23"/>
          <w:u w:val="single"/>
        </w:rPr>
        <w:t xml:space="preserve"> (H.R. 620),</w:t>
      </w:r>
      <w:r w:rsidRPr="00155A7D">
        <w:rPr>
          <w:rFonts w:cs="Calibri"/>
          <w:color w:val="000000" w:themeColor="text1"/>
          <w:sz w:val="16"/>
          <w:szCs w:val="23"/>
        </w:rPr>
        <w:t xml:space="preserve"> </w:t>
      </w:r>
      <w:hyperlink r:id="rId295" w:tgtFrame="_blank" w:history="1">
        <w:r w:rsidRPr="00155A7D">
          <w:rPr>
            <w:rStyle w:val="Hyperlink"/>
            <w:rFonts w:cs="Calibri"/>
            <w:color w:val="000000" w:themeColor="text1"/>
            <w:sz w:val="16"/>
            <w:szCs w:val="23"/>
          </w:rPr>
          <w:t>which is expected</w:t>
        </w:r>
      </w:hyperlink>
      <w:r w:rsidRPr="00155A7D">
        <w:rPr>
          <w:rFonts w:cs="Calibri"/>
          <w:color w:val="000000" w:themeColor="text1"/>
          <w:sz w:val="16"/>
          <w:szCs w:val="23"/>
        </w:rPr>
        <w:t xml:space="preserve"> to come up for a vote this week. If successful, this </w:t>
      </w:r>
      <w:hyperlink r:id="rId296" w:tgtFrame="_blank" w:history="1">
        <w:r w:rsidRPr="00155A7D">
          <w:rPr>
            <w:rStyle w:val="Hyperlink"/>
            <w:rFonts w:cs="Calibri"/>
            <w:color w:val="000000" w:themeColor="text1"/>
            <w:sz w:val="16"/>
            <w:szCs w:val="23"/>
          </w:rPr>
          <w:t xml:space="preserve">regressive law </w:t>
        </w:r>
      </w:hyperlink>
      <w:r w:rsidRPr="00155A7D">
        <w:rPr>
          <w:rFonts w:cs="Calibri"/>
          <w:color w:val="000000" w:themeColor="text1"/>
          <w:sz w:val="16"/>
          <w:szCs w:val="23"/>
        </w:rPr>
        <w:t>would significantly hinder a person with a disability's right to file a lawsuit for violations of access. It would require creating a written claim with specific legal requirements to document the violation (which would be onerous for an attorney, let alone your average John Q. Public with little experience with accessibility requirements and measurements). Businesses would then have 60 days to respond and an additional 120 days make "</w:t>
      </w:r>
      <w:hyperlink r:id="rId297" w:tgtFrame="_blank" w:history="1">
        <w:r w:rsidRPr="00155A7D">
          <w:rPr>
            <w:rStyle w:val="Hyperlink"/>
            <w:rFonts w:cs="Calibri"/>
            <w:color w:val="000000" w:themeColor="text1"/>
            <w:sz w:val="16"/>
            <w:szCs w:val="23"/>
          </w:rPr>
          <w:t>substantial progress</w:t>
        </w:r>
      </w:hyperlink>
      <w:r w:rsidRPr="00155A7D">
        <w:rPr>
          <w:rFonts w:cs="Calibri"/>
          <w:color w:val="000000" w:themeColor="text1"/>
          <w:sz w:val="16"/>
          <w:szCs w:val="23"/>
        </w:rPr>
        <w:t xml:space="preserve">" -- a term still undefined. In practice, business owners could spend decades failing to comply with the accessibility requirements of the ADA as long as they claim to be attempting substantial progress. </w:t>
      </w:r>
      <w:r w:rsidRPr="00155A7D">
        <w:rPr>
          <w:rFonts w:cs="Calibri"/>
          <w:color w:val="000000" w:themeColor="text1"/>
          <w:sz w:val="23"/>
          <w:szCs w:val="23"/>
          <w:u w:val="single"/>
        </w:rPr>
        <w:t xml:space="preserve">This attempt to undermine the civil rights of Americans with disabilities is happening largely in response to several stories claiming that there is a growing army of disabled people cruising the streets, looking for potential lawsuits wherever they go, and are getting rich off of the spoils. </w:t>
      </w:r>
      <w:r w:rsidRPr="00155A7D">
        <w:rPr>
          <w:rFonts w:cs="Calibri"/>
          <w:color w:val="000000" w:themeColor="text1"/>
          <w:sz w:val="16"/>
          <w:szCs w:val="23"/>
        </w:rPr>
        <w:t xml:space="preserve">The reality, of course, is that the only thing that can be collected in ADA lawsuits are attorney's fees, so no disabled person who brings charges can actually get monetary damages from a lawsuit. </w:t>
      </w:r>
      <w:r w:rsidRPr="00155A7D">
        <w:rPr>
          <w:rFonts w:cs="Calibri"/>
          <w:color w:val="000000" w:themeColor="text1"/>
          <w:sz w:val="23"/>
          <w:szCs w:val="23"/>
          <w:u w:val="single"/>
        </w:rPr>
        <w:t>All they can achieve is the business remedying its inaccessibility</w:t>
      </w:r>
      <w:r w:rsidRPr="00155A7D">
        <w:rPr>
          <w:rFonts w:cs="Calibri"/>
          <w:color w:val="000000" w:themeColor="text1"/>
          <w:sz w:val="16"/>
          <w:szCs w:val="23"/>
        </w:rPr>
        <w:t>. Furthermore, in cases where it's assumed that there are hundreds of lawyers repeatedly filing case after case to the point of appearing fraudulent, the Center for American Progress (where I am a senior fellow) has traced the number of attorneys doing so to only 12 lawyers, and there are disciplinary actions available to take action against them in state bar associations or district courts. A federal law -- especially one that would harm more than help -- is hardly necessary here.</w:t>
      </w:r>
    </w:p>
    <w:p w:rsidR="003067F6" w:rsidRDefault="003067F6" w:rsidP="003067F6"/>
    <w:p w:rsidR="00EA2A3C" w:rsidRDefault="00014AD0" w:rsidP="00EA2A3C">
      <w:pPr>
        <w:pStyle w:val="Heading4"/>
      </w:pPr>
      <w:r>
        <w:t xml:space="preserve">Trump’s </w:t>
      </w:r>
      <w:r w:rsidR="001741FE">
        <w:t>“repeal, replacement,</w:t>
      </w:r>
      <w:r>
        <w:t xml:space="preserve"> </w:t>
      </w:r>
      <w:r w:rsidR="001741FE">
        <w:t xml:space="preserve">or </w:t>
      </w:r>
      <w:r>
        <w:t>modification</w:t>
      </w:r>
      <w:r w:rsidR="001741FE">
        <w:t>”</w:t>
      </w:r>
      <w:r>
        <w:t xml:space="preserve"> policy creates a slippery slope that makes the law’s protections uncer</w:t>
      </w:r>
      <w:r w:rsidR="00C53908">
        <w:t xml:space="preserve">tain for people with disability, which only hurts plan solvency </w:t>
      </w:r>
      <w:r>
        <w:t>– recent actions by the AG prove</w:t>
      </w:r>
    </w:p>
    <w:p w:rsidR="00014AD0" w:rsidRPr="001D0992" w:rsidRDefault="001D0992" w:rsidP="001D0992">
      <w:pPr>
        <w:spacing w:after="0" w:line="240" w:lineRule="auto"/>
        <w:rPr>
          <w:rFonts w:ascii="Times New Roman" w:hAnsi="Times New Roman"/>
          <w:sz w:val="24"/>
        </w:rPr>
      </w:pPr>
      <w:r>
        <w:rPr>
          <w:rStyle w:val="Style13ptBold"/>
        </w:rPr>
        <w:t>Diament 18</w:t>
      </w:r>
      <w:r w:rsidRPr="001D0992">
        <w:rPr>
          <w:rStyle w:val="Style13ptBold"/>
          <w:b w:val="0"/>
          <w:sz w:val="16"/>
          <w:szCs w:val="16"/>
        </w:rPr>
        <w:t xml:space="preserve">, Michelle – founder of Disability Scoop; holds a degree in journalism and political science from the University of Wisconsin-Madison </w:t>
      </w:r>
      <w:r w:rsidRPr="001D0992">
        <w:rPr>
          <w:sz w:val="16"/>
          <w:szCs w:val="16"/>
        </w:rPr>
        <w:t xml:space="preserve">“Justice Department Scraps ADA Guidance” 04-01-18 </w:t>
      </w:r>
      <w:r w:rsidRPr="001D0992">
        <w:rPr>
          <w:i/>
          <w:sz w:val="16"/>
          <w:szCs w:val="16"/>
        </w:rPr>
        <w:t>Disability Scoop https://www.disabilityscoop.com/2018/01/04/justice-scraps-ada-guidance/24546/</w:t>
      </w:r>
      <w:r>
        <w:rPr>
          <w:i/>
          <w:sz w:val="16"/>
          <w:szCs w:val="16"/>
        </w:rPr>
        <w:t>//mr</w:t>
      </w:r>
    </w:p>
    <w:p w:rsidR="00EA2A3C" w:rsidRPr="00014AD0" w:rsidRDefault="00EA2A3C" w:rsidP="00014AD0">
      <w:pPr>
        <w:shd w:val="clear" w:color="auto" w:fill="FFFFFF"/>
        <w:spacing w:after="375" w:line="240" w:lineRule="auto"/>
        <w:rPr>
          <w:rFonts w:eastAsia="Times New Roman" w:cs="Calibri"/>
          <w:color w:val="000000" w:themeColor="text1"/>
          <w:u w:val="single"/>
        </w:rPr>
      </w:pPr>
      <w:r w:rsidRPr="00EA2A3C">
        <w:rPr>
          <w:rFonts w:eastAsia="Times New Roman" w:cs="Calibri"/>
          <w:color w:val="000000" w:themeColor="text1"/>
          <w:u w:val="single"/>
        </w:rPr>
        <w:t>Attorney General Jeff Sessions said he’s rescinding more than two dozen guidance documents including several clarifying the implications of the Americans with Disabilities Act.</w:t>
      </w:r>
      <w:r w:rsidR="008D16C9" w:rsidRPr="00014AD0">
        <w:rPr>
          <w:rFonts w:eastAsia="Times New Roman" w:cs="Calibri"/>
          <w:color w:val="000000" w:themeColor="text1"/>
          <w:u w:val="single"/>
        </w:rPr>
        <w:t xml:space="preserve"> </w:t>
      </w:r>
      <w:r w:rsidRPr="00EA2A3C">
        <w:rPr>
          <w:rFonts w:eastAsia="Times New Roman" w:cs="Calibri"/>
          <w:color w:val="000000" w:themeColor="text1"/>
          <w:u w:val="single"/>
        </w:rPr>
        <w:t>Among the 25 revoked documents are a number of ADA-related items dating as far back as 1995 offering guidance on everything from service animals to accessible building practices as well as a 2016 letter on employment of people with disabilities</w:t>
      </w:r>
      <w:r w:rsidRPr="00EA2A3C">
        <w:rPr>
          <w:rFonts w:eastAsia="Times New Roman" w:cs="Calibri"/>
          <w:color w:val="000000" w:themeColor="text1"/>
          <w:sz w:val="16"/>
        </w:rPr>
        <w:t>.</w:t>
      </w:r>
      <w:r w:rsidR="008D16C9" w:rsidRPr="00014AD0">
        <w:rPr>
          <w:rFonts w:eastAsia="Times New Roman" w:cs="Calibri"/>
          <w:color w:val="000000" w:themeColor="text1"/>
          <w:u w:val="single"/>
        </w:rPr>
        <w:t xml:space="preserve"> </w:t>
      </w:r>
      <w:r w:rsidRPr="00EA2A3C">
        <w:rPr>
          <w:rFonts w:eastAsia="Times New Roman" w:cs="Calibri"/>
          <w:color w:val="000000" w:themeColor="text1"/>
          <w:u w:val="single"/>
        </w:rPr>
        <w:t>Sessions called the revoked documents “improper or unnecessary</w:t>
      </w:r>
      <w:r w:rsidRPr="00EA2A3C">
        <w:rPr>
          <w:rFonts w:eastAsia="Times New Roman" w:cs="Calibri"/>
          <w:color w:val="000000" w:themeColor="text1"/>
          <w:sz w:val="16"/>
        </w:rPr>
        <w:t>” and said they were outdated or went beyond what the law called for.</w:t>
      </w:r>
      <w:r w:rsidR="008D16C9" w:rsidRPr="001D0992">
        <w:rPr>
          <w:rFonts w:eastAsia="Times New Roman" w:cs="Calibri"/>
          <w:color w:val="000000" w:themeColor="text1"/>
          <w:sz w:val="16"/>
        </w:rPr>
        <w:t xml:space="preserve"> </w:t>
      </w:r>
      <w:r w:rsidRPr="00014AD0">
        <w:rPr>
          <w:rFonts w:cs="Calibri"/>
          <w:color w:val="000000" w:themeColor="text1"/>
          <w:u w:val="single"/>
        </w:rPr>
        <w:t>The move</w:t>
      </w:r>
      <w:r w:rsidRPr="001D0992">
        <w:rPr>
          <w:rFonts w:cs="Calibri"/>
          <w:color w:val="000000" w:themeColor="text1"/>
          <w:sz w:val="16"/>
        </w:rPr>
        <w:t xml:space="preserve"> announced in late December </w:t>
      </w:r>
      <w:r w:rsidRPr="00014AD0">
        <w:rPr>
          <w:rFonts w:cs="Calibri"/>
          <w:color w:val="000000" w:themeColor="text1"/>
          <w:u w:val="single"/>
        </w:rPr>
        <w:t>came after</w:t>
      </w:r>
      <w:r w:rsidRPr="001D0992">
        <w:rPr>
          <w:rFonts w:cs="Calibri"/>
          <w:color w:val="000000" w:themeColor="text1"/>
          <w:sz w:val="16"/>
        </w:rPr>
        <w:t xml:space="preserve"> President Donald </w:t>
      </w:r>
      <w:r w:rsidRPr="00014AD0">
        <w:rPr>
          <w:rFonts w:cs="Calibri"/>
          <w:color w:val="000000" w:themeColor="text1"/>
          <w:u w:val="single"/>
        </w:rPr>
        <w:t>Trump issued an executive order requiring all federal agencies to identify regulations for “repeal, replacement or modification.”</w:t>
      </w:r>
      <w:r w:rsidRPr="001D0992">
        <w:rPr>
          <w:rFonts w:cs="Calibri"/>
          <w:color w:val="000000" w:themeColor="text1"/>
          <w:sz w:val="16"/>
        </w:rPr>
        <w:t xml:space="preserve"> The withdrawn guidance was identified through this process, Sessions said.</w:t>
      </w:r>
      <w:r w:rsidR="008D16C9" w:rsidRPr="001D0992">
        <w:rPr>
          <w:rFonts w:cs="Calibri"/>
          <w:color w:val="000000" w:themeColor="text1"/>
          <w:sz w:val="16"/>
        </w:rPr>
        <w:t xml:space="preserve"> </w:t>
      </w:r>
      <w:r w:rsidRPr="00014AD0">
        <w:rPr>
          <w:rFonts w:cs="Calibri"/>
          <w:color w:val="000000" w:themeColor="text1"/>
          <w:u w:val="single"/>
        </w:rPr>
        <w:t>Disability advocates</w:t>
      </w:r>
      <w:r w:rsidRPr="001D0992">
        <w:rPr>
          <w:rFonts w:cs="Calibri"/>
          <w:color w:val="000000" w:themeColor="text1"/>
          <w:sz w:val="16"/>
        </w:rPr>
        <w:t xml:space="preserve"> indicated they </w:t>
      </w:r>
      <w:r w:rsidRPr="00014AD0">
        <w:rPr>
          <w:rFonts w:cs="Calibri"/>
          <w:color w:val="000000" w:themeColor="text1"/>
          <w:u w:val="single"/>
        </w:rPr>
        <w:t>are particularly worried about</w:t>
      </w:r>
      <w:r w:rsidRPr="001D0992">
        <w:rPr>
          <w:rFonts w:cs="Calibri"/>
          <w:color w:val="000000" w:themeColor="text1"/>
          <w:sz w:val="16"/>
        </w:rPr>
        <w:t xml:space="preserve"> </w:t>
      </w:r>
      <w:r w:rsidRPr="00014AD0">
        <w:rPr>
          <w:rFonts w:cs="Calibri"/>
          <w:color w:val="000000" w:themeColor="text1"/>
          <w:u w:val="single"/>
        </w:rPr>
        <w:t>the</w:t>
      </w:r>
      <w:r w:rsidRPr="001D0992">
        <w:rPr>
          <w:rFonts w:cs="Calibri"/>
          <w:color w:val="000000" w:themeColor="text1"/>
          <w:sz w:val="16"/>
        </w:rPr>
        <w:t xml:space="preserve"> U.S. </w:t>
      </w:r>
      <w:r w:rsidRPr="00014AD0">
        <w:rPr>
          <w:rFonts w:cs="Calibri"/>
          <w:color w:val="000000" w:themeColor="text1"/>
          <w:u w:val="single"/>
        </w:rPr>
        <w:t>Department of Justice’s decision to pull a </w:t>
      </w:r>
      <w:hyperlink r:id="rId298" w:tgtFrame="_blank" w:history="1">
        <w:r w:rsidRPr="00014AD0">
          <w:rPr>
            <w:rStyle w:val="Hyperlink"/>
            <w:rFonts w:cs="Calibri"/>
            <w:color w:val="000000" w:themeColor="text1"/>
            <w:u w:val="single"/>
          </w:rPr>
          <w:t>statement issued</w:t>
        </w:r>
      </w:hyperlink>
      <w:r w:rsidRPr="001D0992">
        <w:rPr>
          <w:rFonts w:cs="Calibri"/>
          <w:color w:val="000000" w:themeColor="text1"/>
          <w:sz w:val="16"/>
        </w:rPr>
        <w:t xml:space="preserve"> under the Obama administration </w:t>
      </w:r>
      <w:r w:rsidRPr="00014AD0">
        <w:rPr>
          <w:rFonts w:cs="Calibri"/>
          <w:color w:val="000000" w:themeColor="text1"/>
          <w:u w:val="single"/>
        </w:rPr>
        <w:t>addressing the implications of the ADA’s integration mandate on employment.</w:t>
      </w:r>
      <w:r w:rsidR="008D16C9" w:rsidRPr="00014AD0">
        <w:rPr>
          <w:rFonts w:cs="Calibri"/>
          <w:color w:val="000000" w:themeColor="text1"/>
          <w:u w:val="single"/>
        </w:rPr>
        <w:t xml:space="preserve"> </w:t>
      </w:r>
      <w:r w:rsidRPr="001D0992">
        <w:rPr>
          <w:rFonts w:cs="Calibri"/>
          <w:color w:val="000000" w:themeColor="text1"/>
          <w:sz w:val="16"/>
        </w:rPr>
        <w:t>“The civil rights of persons with disabilities, including individuals with mental illness, intellectual or developmental disabilities, or physical disabilities, are violated by unnecessary segregation in a wide variety of settings, including in segregated employment, vocational and day programs,” the Obama-era </w:t>
      </w:r>
      <w:hyperlink r:id="rId299" w:tgtFrame="_blank" w:history="1">
        <w:r w:rsidRPr="001D0992">
          <w:rPr>
            <w:rStyle w:val="Hyperlink"/>
            <w:rFonts w:cs="Calibri"/>
            <w:color w:val="000000" w:themeColor="text1"/>
            <w:sz w:val="16"/>
          </w:rPr>
          <w:t>guidance</w:t>
        </w:r>
      </w:hyperlink>
      <w:r w:rsidRPr="001D0992">
        <w:rPr>
          <w:rFonts w:cs="Calibri"/>
          <w:color w:val="000000" w:themeColor="text1"/>
          <w:sz w:val="16"/>
        </w:rPr>
        <w:t> stated.</w:t>
      </w:r>
      <w:r w:rsidR="008D16C9" w:rsidRPr="001D0992">
        <w:rPr>
          <w:rFonts w:cs="Calibri"/>
          <w:color w:val="000000" w:themeColor="text1"/>
          <w:sz w:val="16"/>
        </w:rPr>
        <w:t xml:space="preserve"> </w:t>
      </w:r>
      <w:r w:rsidRPr="00014AD0">
        <w:rPr>
          <w:rFonts w:cs="Calibri"/>
          <w:color w:val="000000" w:themeColor="text1"/>
          <w:u w:val="single"/>
        </w:rPr>
        <w:t>The document warned states that they needed to modify their policies to ensure that employment programs offer people with disabilities the opportunity to work in integrated settings</w:t>
      </w:r>
      <w:r w:rsidRPr="001D0992">
        <w:rPr>
          <w:rFonts w:cs="Calibri"/>
          <w:color w:val="000000" w:themeColor="text1"/>
          <w:sz w:val="16"/>
        </w:rPr>
        <w:t>.</w:t>
      </w:r>
      <w:r w:rsidR="00014AD0" w:rsidRPr="001D0992">
        <w:rPr>
          <w:rFonts w:cs="Calibri"/>
          <w:color w:val="000000" w:themeColor="text1"/>
          <w:sz w:val="16"/>
        </w:rPr>
        <w:t xml:space="preserve"> </w:t>
      </w:r>
      <w:r w:rsidRPr="001D0992">
        <w:rPr>
          <w:rFonts w:cs="Calibri"/>
          <w:color w:val="000000" w:themeColor="text1"/>
          <w:sz w:val="16"/>
        </w:rPr>
        <w:t xml:space="preserve">“We are extremely concerned about the withdrawal of this guidance document, both because it sends the wrong signal to public entities that are seeking to comply with the ADA and because </w:t>
      </w:r>
      <w:r w:rsidRPr="00014AD0">
        <w:rPr>
          <w:rFonts w:cs="Calibri"/>
          <w:color w:val="000000" w:themeColor="text1"/>
          <w:u w:val="single"/>
        </w:rPr>
        <w:t>it may reflect a diminished concern with the importance of providing employment services in the most integrated setting</w:t>
      </w:r>
      <w:r w:rsidRPr="001D0992">
        <w:rPr>
          <w:rFonts w:cs="Calibri"/>
          <w:color w:val="000000" w:themeColor="text1"/>
          <w:sz w:val="16"/>
        </w:rPr>
        <w:t>,” reads a statement from the Consortium for Citizens with Disabilities and the Collaboration to Promote Self Determination, two umbrella groups representing dozens of disability advocacy organizations.</w:t>
      </w:r>
      <w:r w:rsidR="00014AD0" w:rsidRPr="001D0992">
        <w:rPr>
          <w:rFonts w:cs="Calibri"/>
          <w:color w:val="000000" w:themeColor="text1"/>
          <w:sz w:val="16"/>
        </w:rPr>
        <w:t xml:space="preserve"> </w:t>
      </w:r>
      <w:r w:rsidRPr="001D0992">
        <w:rPr>
          <w:rFonts w:cs="Calibri"/>
          <w:color w:val="000000" w:themeColor="text1"/>
          <w:sz w:val="16"/>
        </w:rPr>
        <w:t xml:space="preserve">Taking away the guidance does not change any of the ADA’s mandates, disability advocates noted. Nonetheless, </w:t>
      </w:r>
      <w:r w:rsidRPr="00014AD0">
        <w:rPr>
          <w:rFonts w:cs="Calibri"/>
          <w:color w:val="000000" w:themeColor="text1"/>
          <w:u w:val="single"/>
        </w:rPr>
        <w:t>withdrawing the guidance, which serves as an interpretation of the law, can create uncertainty</w:t>
      </w:r>
      <w:r w:rsidRPr="001D0992">
        <w:rPr>
          <w:rFonts w:cs="Calibri"/>
          <w:color w:val="000000" w:themeColor="text1"/>
          <w:sz w:val="16"/>
        </w:rPr>
        <w:t>, they said.</w:t>
      </w:r>
      <w:r w:rsidR="00014AD0" w:rsidRPr="001D0992">
        <w:rPr>
          <w:rFonts w:cs="Calibri"/>
          <w:color w:val="000000" w:themeColor="text1"/>
          <w:sz w:val="16"/>
        </w:rPr>
        <w:t xml:space="preserve"> </w:t>
      </w:r>
      <w:r w:rsidRPr="001D0992">
        <w:rPr>
          <w:rFonts w:cs="Calibri"/>
          <w:color w:val="000000" w:themeColor="text1"/>
          <w:sz w:val="16"/>
        </w:rPr>
        <w:t>“</w:t>
      </w:r>
      <w:r w:rsidRPr="00014AD0">
        <w:rPr>
          <w:rFonts w:cs="Calibri"/>
          <w:color w:val="000000" w:themeColor="text1"/>
          <w:u w:val="single"/>
        </w:rPr>
        <w:t>Guidance documents are important tools to educate all stakeholders about the requirements of the law in a clear fashion, and the withdrawal of some of these guidance documents may create confusion and misunderstanding</w:t>
      </w:r>
      <w:r w:rsidRPr="001D0992">
        <w:rPr>
          <w:rFonts w:cs="Calibri"/>
          <w:color w:val="000000" w:themeColor="text1"/>
          <w:sz w:val="16"/>
        </w:rPr>
        <w:t>,” the advocacy coalitions cautioned.</w:t>
      </w:r>
      <w:r w:rsidR="00014AD0" w:rsidRPr="001D0992">
        <w:rPr>
          <w:rFonts w:cs="Calibri"/>
          <w:color w:val="000000" w:themeColor="text1"/>
          <w:sz w:val="16"/>
        </w:rPr>
        <w:t xml:space="preserve"> </w:t>
      </w:r>
      <w:r w:rsidRPr="00014AD0">
        <w:rPr>
          <w:rFonts w:cs="Calibri"/>
          <w:color w:val="000000" w:themeColor="text1"/>
          <w:u w:val="single"/>
        </w:rPr>
        <w:t>Sessions indicated that the Justice Department is continuing to review guidance to identify other documents that may be ripe for repeal, replacement or modification</w:t>
      </w:r>
      <w:r w:rsidRPr="001D0992">
        <w:rPr>
          <w:rFonts w:cs="Calibri"/>
          <w:color w:val="000000" w:themeColor="text1"/>
          <w:sz w:val="16"/>
        </w:rPr>
        <w:t>.</w:t>
      </w:r>
    </w:p>
    <w:p w:rsidR="00EA2A3C" w:rsidRPr="00EA2A3C" w:rsidRDefault="00EA2A3C" w:rsidP="00EA2A3C"/>
    <w:p w:rsidR="00924169" w:rsidRDefault="00924169" w:rsidP="00721D38">
      <w:pPr>
        <w:pStyle w:val="Heading2"/>
        <w:rPr>
          <w:rFonts w:cs="Calibri"/>
        </w:rPr>
      </w:pPr>
      <w:r w:rsidRPr="00F933AF">
        <w:rPr>
          <w:rFonts w:cs="Calibri"/>
        </w:rPr>
        <w:t>Framing</w:t>
      </w:r>
    </w:p>
    <w:p w:rsidR="0045745F" w:rsidRDefault="0045745F" w:rsidP="0045745F">
      <w:pPr>
        <w:pStyle w:val="Heading3"/>
      </w:pPr>
      <w:r>
        <w:t>AT: Posthumanism</w:t>
      </w:r>
    </w:p>
    <w:p w:rsidR="0045745F" w:rsidRPr="006D6DD7" w:rsidRDefault="0045745F" w:rsidP="0045745F">
      <w:pPr>
        <w:pStyle w:val="Heading4"/>
      </w:pPr>
      <w:r>
        <w:t>Posthumanism is compatible with traditional ethics but undermines progress for disabled people</w:t>
      </w:r>
    </w:p>
    <w:p w:rsidR="0045745F" w:rsidRPr="00C67E39" w:rsidRDefault="0045745F" w:rsidP="0045745F">
      <w:r w:rsidRPr="006D6DD7">
        <w:rPr>
          <w:rStyle w:val="Style13ptBold"/>
        </w:rPr>
        <w:t>Vehmas &amp; Watson 16</w:t>
      </w:r>
      <w:r w:rsidRPr="00C67E39">
        <w:t xml:space="preserve"> (</w:t>
      </w:r>
      <w:r w:rsidRPr="006D6DD7">
        <w:t>Simo Vehmas</w:t>
      </w:r>
      <w:r>
        <w:t xml:space="preserve">, </w:t>
      </w:r>
      <w:r w:rsidRPr="006D6DD7">
        <w:t xml:space="preserve">professor of special education and </w:t>
      </w:r>
      <w:r>
        <w:t>researches</w:t>
      </w:r>
      <w:r w:rsidRPr="006D6DD7">
        <w:t xml:space="preserve"> theoretical and ethical issues related</w:t>
      </w:r>
      <w:r>
        <w:t xml:space="preserve"> to disability,</w:t>
      </w:r>
      <w:r w:rsidRPr="006D6DD7">
        <w:t xml:space="preserve"> &amp; Nick Watson</w:t>
      </w:r>
      <w:r w:rsidRPr="00C67E39">
        <w:t>,</w:t>
      </w:r>
      <w:r>
        <w:t xml:space="preserve"> Chair of Disability Studies in Sociology, Professor at the Institute of Health and Wellbeing in University of Glasgow,</w:t>
      </w:r>
      <w:r w:rsidRPr="00C67E39">
        <w:t xml:space="preserve"> "Exploring normativity in disability studies", </w:t>
      </w:r>
      <w:r>
        <w:t>08 Jan 2016</w:t>
      </w:r>
      <w:r w:rsidRPr="00C67E39">
        <w:t xml:space="preserve">, No Publication, </w:t>
      </w:r>
      <w:hyperlink r:id="rId300" w:history="1">
        <w:r w:rsidRPr="00DF34A6">
          <w:rPr>
            <w:rStyle w:val="Hyperlink"/>
          </w:rPr>
          <w:t>https://www.tandfonline.com/loi/cdso20</w:t>
        </w:r>
      </w:hyperlink>
      <w:r>
        <w:t>)//AO</w:t>
      </w:r>
    </w:p>
    <w:p w:rsidR="0045745F" w:rsidRPr="00775E0D" w:rsidRDefault="0045745F" w:rsidP="0045745F">
      <w:pPr>
        <w:rPr>
          <w:u w:val="single"/>
        </w:rPr>
      </w:pPr>
      <w:r w:rsidRPr="00C67E39">
        <w:rPr>
          <w:sz w:val="8"/>
        </w:rPr>
        <w:t xml:space="preserve">Western philosophy and thought in general have traditionally emphasised certain characteristics that separate humans from non-human animals and what makes us distinctively human. In philosophy, the concept of a ‘moral being’ denotes a being that merits rights and is capable of acting morally. It has been argued that only rational beings can be moral, which allegedly implies that non-human animals as well as some people with cognitive disabilities are ‘amoral’ beings. Their behaviour, even if harmful or otherwise undesirable, is not seen as immoral but merely as regrettable, an unavoidable consequence of their not knowing better. </w:t>
      </w:r>
      <w:r w:rsidRPr="00445748">
        <w:rPr>
          <w:u w:val="single"/>
        </w:rPr>
        <w:t>In everyday morality and in moral philosophy (at least in the works of such</w:t>
      </w:r>
      <w:r>
        <w:rPr>
          <w:u w:val="single"/>
        </w:rPr>
        <w:t xml:space="preserve"> </w:t>
      </w:r>
      <w:r w:rsidRPr="00445748">
        <w:rPr>
          <w:u w:val="single"/>
        </w:rPr>
        <w:t>classics as Plato, Aristotle, Kant and Mill), rationality and practical reason are attributed to</w:t>
      </w:r>
      <w:r>
        <w:rPr>
          <w:u w:val="single"/>
        </w:rPr>
        <w:t xml:space="preserve"> </w:t>
      </w:r>
      <w:r w:rsidRPr="00445748">
        <w:rPr>
          <w:u w:val="single"/>
        </w:rPr>
        <w:t>adult human beings whose intelligence is ‘normal’</w:t>
      </w:r>
      <w:r w:rsidRPr="00C67E39">
        <w:rPr>
          <w:sz w:val="8"/>
        </w:rPr>
        <w:t xml:space="preserve"> (Sapontzis 1980; Vehmas 2004). </w:t>
      </w:r>
      <w:r w:rsidRPr="00445748">
        <w:rPr>
          <w:u w:val="single"/>
        </w:rPr>
        <w:t>Thus, it</w:t>
      </w:r>
      <w:r>
        <w:rPr>
          <w:u w:val="single"/>
        </w:rPr>
        <w:t xml:space="preserve"> </w:t>
      </w:r>
      <w:r w:rsidRPr="00445748">
        <w:rPr>
          <w:u w:val="single"/>
        </w:rPr>
        <w:t>can reasonably be argued that many disabled people are, according to some ethical theories,</w:t>
      </w:r>
      <w:r>
        <w:rPr>
          <w:u w:val="single"/>
        </w:rPr>
        <w:t xml:space="preserve"> </w:t>
      </w:r>
      <w:r w:rsidRPr="00445748">
        <w:rPr>
          <w:u w:val="single"/>
        </w:rPr>
        <w:t xml:space="preserve">marginal human beings </w:t>
      </w:r>
      <w:r w:rsidRPr="00C67E39">
        <w:rPr>
          <w:sz w:val="8"/>
        </w:rPr>
        <w:t xml:space="preserve">(Silvers 1998, 3). This moral philosophical tradition is found in contemporary philosophical ethics by such notable philosophers as Peter Singer (1993) and Jeff McMahan (2002). Understandably, many disability activists and researchers have had a critical and hostile attitude towards philosophy and philosophers (Oliver 2007; Schöne-Seifert and Rippe 1991). Speculations about the moral significance of individual characteristics have been abandoned as disablist and even eugenic (Koch 2011), and the mere humanity of all disabled people has been seen as the axiomatic foundation of their equal, unquestionable moral worth. Considering this history, </w:t>
      </w:r>
      <w:r w:rsidRPr="00445748">
        <w:rPr>
          <w:u w:val="single"/>
        </w:rPr>
        <w:t>it is somewhat surprising that posthumanist accounts have</w:t>
      </w:r>
      <w:r>
        <w:rPr>
          <w:u w:val="single"/>
        </w:rPr>
        <w:t xml:space="preserve"> </w:t>
      </w:r>
      <w:r w:rsidRPr="00445748">
        <w:rPr>
          <w:u w:val="single"/>
        </w:rPr>
        <w:t>gained increasing popularity in disability studies</w:t>
      </w:r>
      <w:r w:rsidRPr="00C67E39">
        <w:rPr>
          <w:sz w:val="8"/>
        </w:rPr>
        <w:t xml:space="preserve"> (Goodley, Lawthom, and Runswick-Cole 2014; Nayar 2013). </w:t>
      </w:r>
      <w:r w:rsidRPr="00445748">
        <w:rPr>
          <w:u w:val="single"/>
        </w:rPr>
        <w:t>Posthumanism argues, among other things, that human beings should not have a priori</w:t>
      </w:r>
      <w:r>
        <w:rPr>
          <w:u w:val="single"/>
        </w:rPr>
        <w:t xml:space="preserve"> </w:t>
      </w:r>
      <w:r w:rsidRPr="00445748">
        <w:rPr>
          <w:u w:val="single"/>
        </w:rPr>
        <w:t>ethical primacy over non-human animals, and that any moral hierarchy as well as the division</w:t>
      </w:r>
      <w:r>
        <w:rPr>
          <w:u w:val="single"/>
        </w:rPr>
        <w:t xml:space="preserve"> </w:t>
      </w:r>
      <w:r w:rsidRPr="00445748">
        <w:rPr>
          <w:u w:val="single"/>
        </w:rPr>
        <w:t>between humans and animals is false and based on ‘ethical parochialism’</w:t>
      </w:r>
      <w:r w:rsidRPr="00C67E39">
        <w:rPr>
          <w:sz w:val="8"/>
        </w:rPr>
        <w:t xml:space="preserve"> (Wolfe 2010, 61). Goodley, Lawthom, and Runswick-Cole have used Braidotti’s ideas of contesting anthropocentrism and the superior moral value of humans compared with other species, and valuing death as much as life, to claim that: disability is the quintessential posthuman condition: because it calls for new ontologies, ways of relating, living and dying. (Goodley, Lawthom, and Runswick-Cole 2014, 348; original emphasis) This contention is at best vague and equivocal and creates more questions than it answers. </w:t>
      </w:r>
      <w:r w:rsidRPr="00445748">
        <w:rPr>
          <w:u w:val="single"/>
        </w:rPr>
        <w:t>If the humanist legacy and its conviction of the superior moral value of human beings</w:t>
      </w:r>
      <w:r>
        <w:rPr>
          <w:u w:val="single"/>
        </w:rPr>
        <w:t xml:space="preserve"> </w:t>
      </w:r>
      <w:r w:rsidRPr="00445748">
        <w:rPr>
          <w:u w:val="single"/>
        </w:rPr>
        <w:t>over non-human animals are abandoned, postconventional disability studies ends up in</w:t>
      </w:r>
      <w:r>
        <w:rPr>
          <w:u w:val="single"/>
        </w:rPr>
        <w:t xml:space="preserve"> </w:t>
      </w:r>
      <w:r w:rsidRPr="00445748">
        <w:rPr>
          <w:u w:val="single"/>
        </w:rPr>
        <w:t>the murky theoretical waters of moral status.</w:t>
      </w:r>
      <w:r w:rsidRPr="00C67E39">
        <w:rPr>
          <w:sz w:val="8"/>
        </w:rPr>
        <w:t xml:space="preserve"> This is clearly something they do not want to do, probably because their poststructuralist theoretical tools give them very little capacity to deal with such issues (see Sayer 2011). Imagine, for example, that you can save from a burning building either a human that is a stranger to you or your beloved dog. Should a paramount moral consideration in such a case be the biological species, or the presumably more advanced cognitive capacities of the human, or the special relation you have to your dog? The most well-known and carefully articulated arguments with the aim to abolish anthropocentrism and speciesism in ethical thinking are those provided by </w:t>
      </w:r>
      <w:r w:rsidRPr="00C67E39">
        <w:rPr>
          <w:u w:val="single"/>
        </w:rPr>
        <w:t>philosophers promoting</w:t>
      </w:r>
      <w:r>
        <w:rPr>
          <w:u w:val="single"/>
        </w:rPr>
        <w:t xml:space="preserve"> </w:t>
      </w:r>
      <w:r w:rsidRPr="00C67E39">
        <w:rPr>
          <w:u w:val="single"/>
        </w:rPr>
        <w:t>animal rights</w:t>
      </w:r>
      <w:r w:rsidRPr="00C67E39">
        <w:rPr>
          <w:sz w:val="8"/>
        </w:rPr>
        <w:t xml:space="preserve">. Both Singer (1993) and McMahan (2002) have </w:t>
      </w:r>
      <w:r w:rsidRPr="00C67E39">
        <w:rPr>
          <w:u w:val="single"/>
        </w:rPr>
        <w:t>offered arguments to support</w:t>
      </w:r>
      <w:r>
        <w:rPr>
          <w:u w:val="single"/>
        </w:rPr>
        <w:t xml:space="preserve"> </w:t>
      </w:r>
      <w:r w:rsidRPr="00C67E39">
        <w:rPr>
          <w:u w:val="single"/>
        </w:rPr>
        <w:t>the notion that belonging to the species Homo sapiens is morally irrelevant</w:t>
      </w:r>
      <w:r w:rsidRPr="00445748">
        <w:rPr>
          <w:u w:val="single"/>
        </w:rPr>
        <w:t>. What matters</w:t>
      </w:r>
      <w:r>
        <w:rPr>
          <w:u w:val="single"/>
        </w:rPr>
        <w:t xml:space="preserve"> </w:t>
      </w:r>
      <w:r w:rsidRPr="00445748">
        <w:rPr>
          <w:u w:val="single"/>
        </w:rPr>
        <w:t>morally, they argue, are intrinsic psychological characteristics and other morally significant</w:t>
      </w:r>
      <w:r>
        <w:rPr>
          <w:u w:val="single"/>
        </w:rPr>
        <w:t xml:space="preserve"> </w:t>
      </w:r>
      <w:r w:rsidRPr="00445748">
        <w:rPr>
          <w:u w:val="single"/>
        </w:rPr>
        <w:t xml:space="preserve">factors such as </w:t>
      </w:r>
      <w:proofErr w:type="gramStart"/>
      <w:r w:rsidRPr="00445748">
        <w:rPr>
          <w:u w:val="single"/>
        </w:rPr>
        <w:t>sentience.</w:t>
      </w:r>
      <w:proofErr w:type="gramEnd"/>
      <w:r w:rsidRPr="00445748">
        <w:rPr>
          <w:u w:val="single"/>
        </w:rPr>
        <w:t xml:space="preserve"> </w:t>
      </w:r>
      <w:r w:rsidRPr="00C67E39">
        <w:rPr>
          <w:sz w:val="8"/>
        </w:rPr>
        <w:t xml:space="preserve">Based on such reassessments of moral status, being human no longer automatically secures one’s moral worth but, rather, their psychological and intellectual capacities. It is easy to theorise that humans and animals form an assemblage of subjects with equal worth, but it is more difficult to put this ideal into practice. In a world with limited resources, should we prioritise, for example, the health care of animals rather than humans? If not, clearly humans are morally more valuable than animals. If one finds this widely held moral intuition unacceptable, one should come up with an argument that plausibly proves that moral worth should be distributed equally to different species, and accept the logical conclusions of such an argument. Toying with the ideas provided by posthumanism may be useful to disability studies, but in our view such ideas should not be adopted without caution. For example, what would be the implications of ‘the displacement of anthropocentrism and the recognition of trans-species solidarity’ and viewing ‘subjectivity as an assemblage that includes non-human agents’ (Braidotti 2013, 67 and 82)? Goodley, Lawthom, and RunswickCole seem to suggest that it is not problematic to make a comparison between non-human animals and disabled people, because all humans are ultimately animals too: The problem is not that some categories of human are treated like animals; the problem resides in the unconscious desire of the human condition to treat animals in inhumane ways; and treat some humans as if they were animals. We think that reinvigorating discussion around human/ animal relations around disability might provide the necessary conditions and impetus for revaluing animals and humans as sharing a posthuman space of becoming. (2014, 355) This call for revaluing animals and humans as constituting a common posthuman condition somewhat resembles, again, the points raised by philosophers supporting animal rights and questioning the equal worth of humans with, for example, profound intellectual disabilities. We assume that posthumanist disability scholars do not wish to join Singer and McMahan in their ableist and disablist endeavour, and if so perhaps they should be a bit more hesitant in their embrace of Braidotti’s ideas. If we are to do away with categories and moral hierarchies between different biological species, and hold on to the idea of humans and non-humans constituting an equal moral class, one ends up in highly counter-intuitive conclusions (Curtis and Vehmas 2016). In this ethical scenario, it would be wrong to assume that human beings in themselves are morally more valuable than pet dogs, and pet dogs are more valuable to their owners (and possibly even in themselves) than vertebrates in general, and that vertebrates are more valuable than non-vertebrates. These kinds of hierarchies result from virtually all traditional ethical theories, albeit for different reasons (Curtis and Vehmas 2014). If these hierarchies are to be replaced with the notion of ‘posthuman space of becoming’, things such as sentience, capacity to reason and close relationships would perhaps no longer be morally paramount. But if that is the case, </w:t>
      </w:r>
      <w:r w:rsidRPr="00775E0D">
        <w:rPr>
          <w:u w:val="single"/>
        </w:rPr>
        <w:t>posthumanists need to argue in more detail exactly what</w:t>
      </w:r>
      <w:r>
        <w:rPr>
          <w:u w:val="single"/>
        </w:rPr>
        <w:t xml:space="preserve"> </w:t>
      </w:r>
      <w:r w:rsidRPr="00775E0D">
        <w:rPr>
          <w:u w:val="single"/>
        </w:rPr>
        <w:t>should be the basis of the moral worth of different kinds of humans and animals.</w:t>
      </w:r>
      <w:r>
        <w:rPr>
          <w:u w:val="single"/>
        </w:rPr>
        <w:t xml:space="preserve"> </w:t>
      </w:r>
      <w:r w:rsidRPr="00C67E39">
        <w:rPr>
          <w:sz w:val="8"/>
        </w:rPr>
        <w:t xml:space="preserve">Further, consider McMahan’s argument that those diagnosed with severe cognitive disability are psychologically comparable with non-human animals such as dogs, and are only able to achieve a level of well-being equal to that of ‘a contented dog’ (2002, 153). Most people would find this comparison at best questionable, if not offensive. This is because our collectively held ethical convictions are constructed narratively due to the various historical happenings and processes that have contributed to the general conceptions of right and wrong, good and bad. Particular historical episodes, such as the holocaust or the systematic mistreatment of disabled people in twentieth-century institutions, have had a tremendous effect on our moral thinking and at least in principle we consciously aim to prevent such atrocities ever happening again. One upshot of this is the general belief that we should pay special attention to protecting the equal worth of various minorities, including individuals with profound cognitive disabilities. In other words, regarding such individuals as morally more valuable than non-human animals is a reasonable upshot of the collective moral narrative of the western world. Naturally, this does not prove that maintaining such narrative ethical norms is philosophically justified, but pragmatically, and from the viewpoint of humans with profound cognitive disabilities and their families, it makes perfect sense. History has also taught us that it makes perfect sense to shun philosophical analyses that draw a parallel between individuals with such disabilities and animals – regardless of the empirical validity of the equation. Thus, perhaps there are, after all, good normative reasons to separate non-human animals from humans. The humanist tendency to favour human beings compared with other beings can be seen as a prejudice similar to racism and sexism, or it can be seen as an inevitable part of morality being fundamentally a human endeavour; it is, after all, ‘closely tied to the human perspective and the human motivational capacity because its point is the regulation of human conduct’ (Nagel 1986, 186). Besides, by definition, </w:t>
      </w:r>
      <w:r w:rsidRPr="00C67E39">
        <w:rPr>
          <w:u w:val="single"/>
        </w:rPr>
        <w:t>being humane involves not only</w:t>
      </w:r>
      <w:r>
        <w:rPr>
          <w:u w:val="single"/>
        </w:rPr>
        <w:t xml:space="preserve"> </w:t>
      </w:r>
      <w:r w:rsidRPr="00C67E39">
        <w:rPr>
          <w:u w:val="single"/>
        </w:rPr>
        <w:t>showing compassion and tenderness towards humans, but to non-human animals as well</w:t>
      </w:r>
      <w:r>
        <w:rPr>
          <w:u w:val="single"/>
        </w:rPr>
        <w:t xml:space="preserve"> </w:t>
      </w:r>
      <w:r w:rsidRPr="00C67E39">
        <w:rPr>
          <w:sz w:val="8"/>
        </w:rPr>
        <w:t xml:space="preserve">(we do not, however, wish to contradict the claim that humans do treat animals systematically in inhumane ways) (Williams 2006, 147). All in all, </w:t>
      </w:r>
      <w:r w:rsidRPr="00775E0D">
        <w:rPr>
          <w:u w:val="single"/>
        </w:rPr>
        <w:t>posthumanism may provide useful insights and we agree that animality should</w:t>
      </w:r>
      <w:r>
        <w:rPr>
          <w:u w:val="single"/>
        </w:rPr>
        <w:t xml:space="preserve"> </w:t>
      </w:r>
      <w:r w:rsidRPr="00775E0D">
        <w:rPr>
          <w:u w:val="single"/>
        </w:rPr>
        <w:t>be seen as a crucial part of humanity. This would not be a new idea; it would simply be a</w:t>
      </w:r>
      <w:r>
        <w:rPr>
          <w:u w:val="single"/>
        </w:rPr>
        <w:t xml:space="preserve"> </w:t>
      </w:r>
      <w:r w:rsidRPr="00775E0D">
        <w:rPr>
          <w:u w:val="single"/>
        </w:rPr>
        <w:t xml:space="preserve">reformulation of Aristotle’s notion of humans as political animals. </w:t>
      </w:r>
      <w:r w:rsidRPr="00C67E39">
        <w:rPr>
          <w:sz w:val="8"/>
        </w:rPr>
        <w:t xml:space="preserve">In this view, rationality, sociability and animality are aspects of humanity that are thoroughly unified. Our animality includes corporeality and the inevitable dependency on others and their care for us in the different phases of our lives (MacIntyre 1999, 81–98; Nussbaum 2006, 159–160). Also, perhaps we should reconsider the moral status of animals, how we treat them and live with them; for example, perhaps we should stop eating meat and grant at least some animals moral rights. </w:t>
      </w:r>
      <w:r w:rsidRPr="00775E0D">
        <w:rPr>
          <w:u w:val="single"/>
        </w:rPr>
        <w:t>But this should be kept separate from the moral worth of humans, and especially those</w:t>
      </w:r>
      <w:r>
        <w:rPr>
          <w:u w:val="single"/>
        </w:rPr>
        <w:t xml:space="preserve"> </w:t>
      </w:r>
      <w:r w:rsidRPr="00775E0D">
        <w:rPr>
          <w:u w:val="single"/>
        </w:rPr>
        <w:t>humans who are in the most vulnerable position. Included here are disabled people, too</w:t>
      </w:r>
      <w:r>
        <w:rPr>
          <w:u w:val="single"/>
        </w:rPr>
        <w:t xml:space="preserve"> </w:t>
      </w:r>
      <w:r w:rsidRPr="00775E0D">
        <w:rPr>
          <w:u w:val="single"/>
        </w:rPr>
        <w:t>many of whom are still forced to live in animal-like conditions. The superior moral worth of</w:t>
      </w:r>
      <w:r>
        <w:rPr>
          <w:u w:val="single"/>
        </w:rPr>
        <w:t xml:space="preserve"> </w:t>
      </w:r>
      <w:r w:rsidRPr="00775E0D">
        <w:rPr>
          <w:u w:val="single"/>
        </w:rPr>
        <w:t>all human beings in comparison with animals is a widely accepted conviction that should not</w:t>
      </w:r>
      <w:r>
        <w:rPr>
          <w:u w:val="single"/>
        </w:rPr>
        <w:t xml:space="preserve"> </w:t>
      </w:r>
      <w:r w:rsidRPr="00775E0D">
        <w:rPr>
          <w:u w:val="single"/>
        </w:rPr>
        <w:t>be lightly abandoned. Thus, we are not convinced that the posthumanist agenda to eradicate</w:t>
      </w:r>
      <w:r>
        <w:rPr>
          <w:u w:val="single"/>
        </w:rPr>
        <w:t xml:space="preserve"> </w:t>
      </w:r>
      <w:r w:rsidRPr="00775E0D">
        <w:rPr>
          <w:u w:val="single"/>
        </w:rPr>
        <w:t>epistemic and moral division between humans and animals serves disability theory or the</w:t>
      </w:r>
      <w:r>
        <w:rPr>
          <w:u w:val="single"/>
        </w:rPr>
        <w:t xml:space="preserve"> </w:t>
      </w:r>
      <w:r w:rsidRPr="00775E0D">
        <w:rPr>
          <w:u w:val="single"/>
        </w:rPr>
        <w:t>good of disabled people. Putting humans and animals in the same box opens up the door for</w:t>
      </w:r>
      <w:r>
        <w:rPr>
          <w:u w:val="single"/>
        </w:rPr>
        <w:t xml:space="preserve"> </w:t>
      </w:r>
      <w:r w:rsidRPr="00775E0D">
        <w:rPr>
          <w:u w:val="single"/>
        </w:rPr>
        <w:t>speculations about moral worth where disabled people are likely to be on the losing side.3</w:t>
      </w:r>
    </w:p>
    <w:p w:rsidR="00B246B5" w:rsidRPr="00F933AF" w:rsidRDefault="00B246B5" w:rsidP="00B246B5">
      <w:pPr>
        <w:pStyle w:val="Heading3"/>
        <w:rPr>
          <w:rFonts w:cs="Calibri"/>
        </w:rPr>
      </w:pPr>
      <w:r w:rsidRPr="00F933AF">
        <w:rPr>
          <w:rFonts w:cs="Calibri"/>
        </w:rPr>
        <w:t>AT: Social Model</w:t>
      </w:r>
    </w:p>
    <w:p w:rsidR="00B246B5" w:rsidRPr="00F933AF" w:rsidRDefault="00B246B5" w:rsidP="00B246B5">
      <w:pPr>
        <w:pStyle w:val="Heading4"/>
        <w:rPr>
          <w:rFonts w:cs="Calibri"/>
        </w:rPr>
      </w:pPr>
      <w:r w:rsidRPr="00F933AF">
        <w:rPr>
          <w:rFonts w:cs="Calibri"/>
        </w:rPr>
        <w:t xml:space="preserve">The social model links just as hard to what it critiques – it reinforces a dichotomy that pushes out considerations of certain facets of disability and reinforces a T-truth narrative of disability </w:t>
      </w:r>
    </w:p>
    <w:p w:rsidR="00B246B5" w:rsidRPr="00F933AF" w:rsidRDefault="00B246B5" w:rsidP="00155A7D">
      <w:pPr>
        <w:spacing w:line="240" w:lineRule="auto"/>
        <w:rPr>
          <w:rFonts w:cs="Calibri"/>
          <w:sz w:val="16"/>
          <w:szCs w:val="16"/>
        </w:rPr>
      </w:pPr>
      <w:r w:rsidRPr="00F933AF">
        <w:rPr>
          <w:rStyle w:val="Style13ptBold"/>
          <w:rFonts w:cs="Calibri"/>
        </w:rPr>
        <w:t>Shakespeare and Watson 02</w:t>
      </w:r>
      <w:r w:rsidRPr="00F933AF">
        <w:rPr>
          <w:rStyle w:val="Style13ptBold"/>
          <w:rFonts w:cs="Calibri"/>
          <w:b w:val="0"/>
          <w:sz w:val="16"/>
          <w:szCs w:val="16"/>
        </w:rPr>
        <w:t>,</w:t>
      </w:r>
      <w:r w:rsidRPr="00F933AF">
        <w:rPr>
          <w:rStyle w:val="Style13ptBold"/>
          <w:rFonts w:cs="Calibri"/>
          <w:sz w:val="16"/>
          <w:szCs w:val="16"/>
        </w:rPr>
        <w:t xml:space="preserve"> </w:t>
      </w:r>
      <w:r w:rsidRPr="00F933AF">
        <w:rPr>
          <w:rStyle w:val="Style13ptBold"/>
          <w:rFonts w:cs="Calibri"/>
          <w:b w:val="0"/>
          <w:sz w:val="16"/>
          <w:szCs w:val="16"/>
        </w:rPr>
        <w:t>Tom -</w:t>
      </w:r>
      <w:r w:rsidRPr="00F933AF">
        <w:rPr>
          <w:rStyle w:val="Style13ptBold"/>
          <w:rFonts w:cs="Calibri"/>
          <w:sz w:val="16"/>
          <w:szCs w:val="16"/>
        </w:rPr>
        <w:t xml:space="preserve"> </w:t>
      </w:r>
      <w:r w:rsidRPr="00F933AF">
        <w:rPr>
          <w:rFonts w:cs="Calibri"/>
          <w:color w:val="222222"/>
          <w:sz w:val="16"/>
          <w:szCs w:val="16"/>
          <w:shd w:val="clear" w:color="auto" w:fill="FFFFFF"/>
        </w:rPr>
        <w:t>English sociologist and broadcaster</w:t>
      </w:r>
      <w:r w:rsidRPr="00F933AF">
        <w:rPr>
          <w:rFonts w:cs="Calibri"/>
          <w:sz w:val="16"/>
          <w:szCs w:val="16"/>
        </w:rPr>
        <w:t xml:space="preserve"> </w:t>
      </w:r>
      <w:r w:rsidRPr="00F933AF">
        <w:rPr>
          <w:rStyle w:val="Style13ptBold"/>
          <w:rFonts w:cs="Calibri"/>
          <w:b w:val="0"/>
          <w:sz w:val="16"/>
          <w:szCs w:val="16"/>
        </w:rPr>
        <w:t>and Nicholas</w:t>
      </w:r>
      <w:r w:rsidRPr="00F933AF">
        <w:rPr>
          <w:rFonts w:cs="Calibri"/>
          <w:b/>
          <w:sz w:val="16"/>
          <w:szCs w:val="16"/>
        </w:rPr>
        <w:t xml:space="preserve"> -</w:t>
      </w:r>
      <w:r w:rsidRPr="00F933AF">
        <w:rPr>
          <w:rFonts w:cs="Calibri"/>
          <w:sz w:val="16"/>
          <w:szCs w:val="16"/>
        </w:rPr>
        <w:t xml:space="preserve"> </w:t>
      </w:r>
      <w:r w:rsidRPr="00F933AF">
        <w:rPr>
          <w:rFonts w:cs="Calibri"/>
          <w:color w:val="222222"/>
          <w:sz w:val="16"/>
          <w:szCs w:val="16"/>
          <w:shd w:val="clear" w:color="auto" w:fill="FFFFFF"/>
        </w:rPr>
        <w:t>English-Canadian medievalist, literary critic, religious historian, and author. </w:t>
      </w:r>
      <w:r w:rsidRPr="00F933AF">
        <w:rPr>
          <w:rStyle w:val="Style13ptBold"/>
          <w:rFonts w:cs="Calibri"/>
          <w:b w:val="0"/>
          <w:sz w:val="16"/>
          <w:szCs w:val="16"/>
        </w:rPr>
        <w:t xml:space="preserve"> “The Social Model of Disability: An Outdated Ideology?”</w:t>
      </w:r>
      <w:r w:rsidRPr="00F933AF">
        <w:rPr>
          <w:rStyle w:val="Style13ptBold"/>
          <w:rFonts w:cs="Calibri"/>
          <w:sz w:val="16"/>
          <w:szCs w:val="16"/>
        </w:rPr>
        <w:t xml:space="preserve"> ‘</w:t>
      </w:r>
      <w:r w:rsidRPr="00F933AF">
        <w:rPr>
          <w:rFonts w:cs="Calibri"/>
          <w:sz w:val="16"/>
          <w:szCs w:val="16"/>
        </w:rPr>
        <w:t>Research in Social Science and Disability’ Volume 2, pp. 9-28 (2002)//mr</w:t>
      </w:r>
    </w:p>
    <w:p w:rsidR="00B246B5" w:rsidRPr="00F933AF" w:rsidRDefault="00B246B5" w:rsidP="00B246B5">
      <w:pPr>
        <w:rPr>
          <w:rFonts w:cs="Calibri"/>
        </w:rPr>
      </w:pPr>
      <w:r w:rsidRPr="00F933AF">
        <w:rPr>
          <w:rFonts w:cs="Calibri"/>
          <w:sz w:val="16"/>
        </w:rPr>
        <w:t xml:space="preserve">We argue that </w:t>
      </w:r>
      <w:r w:rsidRPr="00F933AF">
        <w:rPr>
          <w:rFonts w:cs="Calibri"/>
          <w:u w:val="single"/>
        </w:rPr>
        <w:t>the very success of the social model is now its main weakness</w:t>
      </w:r>
      <w:r w:rsidRPr="00F933AF">
        <w:rPr>
          <w:rFonts w:cs="Calibri"/>
          <w:sz w:val="16"/>
        </w:rPr>
        <w:t xml:space="preserve">. </w:t>
      </w:r>
      <w:r w:rsidRPr="00F933AF">
        <w:rPr>
          <w:rFonts w:cs="Calibri"/>
          <w:u w:val="single"/>
        </w:rPr>
        <w:t>Because it is such a powerful tool, and because it was so central to the disability movement, it became a sacred cow, an ideology which could not easily be challenged</w:t>
      </w:r>
      <w:r w:rsidRPr="00F933AF">
        <w:rPr>
          <w:rFonts w:cs="Calibri"/>
          <w:sz w:val="16"/>
        </w:rPr>
        <w:t xml:space="preserve">. </w:t>
      </w:r>
      <w:r w:rsidRPr="00F933AF">
        <w:rPr>
          <w:rFonts w:cs="Calibri"/>
          <w:u w:val="single"/>
        </w:rPr>
        <w:t>Part of its effectiveness arose from its simplicity. It could be reduced to a slogan: ‘disabled by society not by our bodies’.</w:t>
      </w:r>
      <w:r w:rsidRPr="00F933AF">
        <w:rPr>
          <w:rFonts w:cs="Calibri"/>
          <w:sz w:val="16"/>
        </w:rPr>
        <w:t xml:space="preserve"> Organisations and policies could be easily evaluated: did they use the (social model) term ‘disabled people’ or did they use the (medical model) term ‘people with disabilities’? Did they focus on barrier removal, or did they focus on medical intervention and rehabilitation? </w:t>
      </w:r>
      <w:r w:rsidRPr="00F933AF">
        <w:rPr>
          <w:rFonts w:cs="Calibri"/>
          <w:b/>
          <w:u w:val="single"/>
        </w:rPr>
        <w:t>The social model could be used to view the world in black and white,</w:t>
      </w:r>
      <w:r w:rsidRPr="00F933AF">
        <w:rPr>
          <w:rFonts w:cs="Calibri"/>
          <w:sz w:val="16"/>
        </w:rPr>
        <w:t xml:space="preserve"> even if this was not the intention of those who originally framed it. Psychologically, </w:t>
      </w:r>
      <w:r w:rsidRPr="00F933AF">
        <w:rPr>
          <w:rFonts w:cs="Calibri"/>
          <w:u w:val="single"/>
        </w:rPr>
        <w:t>people’s commitment to the social model was based on</w:t>
      </w:r>
      <w:r w:rsidRPr="00F933AF">
        <w:rPr>
          <w:rFonts w:cs="Calibri"/>
          <w:sz w:val="16"/>
        </w:rPr>
        <w:t xml:space="preserve"> the way it had transformed their self-esteem. Any individual who had become an activist on the basis of joining </w:t>
      </w:r>
      <w:r w:rsidRPr="00F933AF">
        <w:rPr>
          <w:rFonts w:cs="Calibri"/>
          <w:u w:val="single"/>
        </w:rPr>
        <w:t>a collective united by the social model ideology had a deep investment in the social model definition of disability. ‘We’ were oppressed: ‘they’ were oppressors. ‘We’ talk about disability, we don’t mention impairment</w:t>
      </w:r>
      <w:r w:rsidRPr="00F933AF">
        <w:rPr>
          <w:rFonts w:cs="Calibri"/>
          <w:sz w:val="16"/>
        </w:rPr>
        <w:t xml:space="preserve">. You can’t be a proper activist, unless you accept the social model as your creed. This reading of the history of the British disability movement will be contested by some. We are in danger of constructing a ‘straw person’, it will be suggested. After all, no one really takes such an extreme position. The issue of impairment was never really ignored. The social model does not really produce such a rigid dichotomy. But our contention is that many British activists in their public discourse use exactly this ‘strong’ version of the social model that we are critiquing. It may be that in private, their talk is at odds with the ‘strong social model’. </w:t>
      </w:r>
      <w:r w:rsidRPr="00F933AF">
        <w:rPr>
          <w:rFonts w:cs="Calibri"/>
          <w:u w:val="single"/>
        </w:rPr>
        <w:t>Most activists concede that behind closed doors they talk about aches and pains and urinary tract infections, even while they deny any relevance of the body while they are out campaigning. Yet this inconsistency is surely wrong: if the rhetoric says one thing, while everyone behaves 7 privately in a more complex way, then perhaps it is time to reexamine the rhetoric and speak more honestly</w:t>
      </w:r>
      <w:r w:rsidRPr="00F933AF">
        <w:rPr>
          <w:rFonts w:cs="Calibri"/>
          <w:sz w:val="16"/>
        </w:rPr>
        <w:t xml:space="preserve">. Within academia, while some of the leading exponents of the social model now claim to operate a less rigid approach, they still simultaneously reinforce the ‘strong’ social model. For example, Mike Oliver (1996, 34) supplies a table in which two columns list the differences between the ‘individual model’ and the ‘social model’. In the first column, we find words such as ‘medicalisation’, ‘adjustment’, ‘prejudice’, ‘attitudes’, ‘care’, policy’ etc, and in the second column we find the alternatives: ‘self-help’, ‘affirmation’, ‘discrimination’, ‘behaviour’, ‘rights’, ‘politics’. Oliver’s commentary genuflects to the need for flexibility: “It should be noted that, like all tables, </w:t>
      </w:r>
      <w:r w:rsidRPr="00F933AF">
        <w:rPr>
          <w:rFonts w:cs="Calibri"/>
          <w:u w:val="single"/>
        </w:rPr>
        <w:t xml:space="preserve">this </w:t>
      </w:r>
      <w:r w:rsidRPr="00F933AF">
        <w:rPr>
          <w:rFonts w:cs="Calibri"/>
          <w:sz w:val="16"/>
        </w:rPr>
        <w:t xml:space="preserve">one </w:t>
      </w:r>
      <w:r w:rsidRPr="00F933AF">
        <w:rPr>
          <w:rFonts w:cs="Calibri"/>
          <w:u w:val="single"/>
        </w:rPr>
        <w:t>oversimplifies a complex reality and each item should be seen as the polar end of a continuum.</w:t>
      </w:r>
      <w:r w:rsidRPr="00F933AF">
        <w:rPr>
          <w:rFonts w:cs="Calibri"/>
          <w:sz w:val="16"/>
        </w:rPr>
        <w:t xml:space="preserve">” (Oliver, 1996, 33) </w:t>
      </w:r>
      <w:r w:rsidRPr="00F933AF">
        <w:rPr>
          <w:rFonts w:cs="Calibri"/>
          <w:u w:val="single"/>
        </w:rPr>
        <w:t>before immediately reinforcing the social model dichotomy</w:t>
      </w:r>
      <w:r w:rsidRPr="00F933AF">
        <w:rPr>
          <w:rFonts w:cs="Calibri"/>
          <w:sz w:val="16"/>
        </w:rPr>
        <w:t xml:space="preserve">: “Nevertheless, underpinning [the table] is the same fundamental distinction between impairment and disability as defined by UPIAS…” (Oliver, 1996, 33). Jenny Morris’ very popular and influential book, Pride Against Prejudice (1991) blurred the distinction between impairment and disability in several ways: she discussed the role of impairment and personal experience in the lives of disabled people; she talked about cultural representation; and she used terminology inconsistently, sometimes talking about ‘disability’ when in strictly social model terms she was talking about impairment. For these reasons, her work was regarded by some in the British disability movement as ‘ideologically doubtful’. This 8 tendency, to evaluate ideas on the basis of their conformity to social model orthodoxy, can be seen regularly in the pages of the international journal Disability and Society. For example, recent reviews by Colin Barnes (1998, 1999) of books by American disability scholars have strongly criticised such perspectives because they ignore British disability studies work, and particularly because they fail to adhere to the social model definition of disability. Barnes writes: “… most American and Canadian accounts are impairment specific in that they limit their discussions to ‘people with physical disabilities’ or the body; ‘disability’ is both biological condition and a social construct, and the terms ‘disabled people’ and ‘people with disabilities’ are used interchangeably. As Mike Oliver has repeatedly made clear, </w:t>
      </w:r>
      <w:r w:rsidRPr="00F933AF">
        <w:rPr>
          <w:rFonts w:cs="Calibri"/>
          <w:u w:val="single"/>
        </w:rPr>
        <w:t>this is about far more than simply ‘political correctness’. It’s about the crucial issue of causality, the role of language, its normalising tendencies and the politicisation of the process of definition.</w:t>
      </w:r>
      <w:r w:rsidRPr="00F933AF">
        <w:rPr>
          <w:rFonts w:cs="Calibri"/>
          <w:sz w:val="16"/>
        </w:rPr>
        <w:t xml:space="preserve">” (Barnes, 1999, 578) </w:t>
      </w:r>
    </w:p>
    <w:p w:rsidR="00B246B5" w:rsidRPr="00F933AF" w:rsidRDefault="00B246B5" w:rsidP="00B246B5">
      <w:pPr>
        <w:pStyle w:val="Heading3"/>
        <w:rPr>
          <w:rFonts w:cs="Calibri"/>
        </w:rPr>
      </w:pPr>
      <w:r w:rsidRPr="00F933AF">
        <w:rPr>
          <w:rFonts w:cs="Calibri"/>
        </w:rPr>
        <w:t>2nc</w:t>
      </w:r>
      <w:r w:rsidR="00654D92">
        <w:rPr>
          <w:rFonts w:cs="Calibri"/>
        </w:rPr>
        <w:t xml:space="preserve"> </w:t>
      </w:r>
      <w:r w:rsidRPr="00F933AF">
        <w:rPr>
          <w:rFonts w:cs="Calibri"/>
        </w:rPr>
        <w:t>– Social Model</w:t>
      </w:r>
    </w:p>
    <w:p w:rsidR="00B246B5" w:rsidRPr="00F933AF" w:rsidRDefault="00B246B5" w:rsidP="00B246B5">
      <w:pPr>
        <w:pStyle w:val="Heading4"/>
        <w:rPr>
          <w:rFonts w:cs="Calibri"/>
        </w:rPr>
      </w:pPr>
      <w:r w:rsidRPr="00F933AF">
        <w:rPr>
          <w:rFonts w:cs="Calibri"/>
        </w:rPr>
        <w:t xml:space="preserve">The binaric categorization of “medical” and “social” model misses the point – disability is multi-faceted and understanding it from multiple angles is the core of empowerment </w:t>
      </w:r>
    </w:p>
    <w:p w:rsidR="00B246B5" w:rsidRPr="00F933AF" w:rsidRDefault="00B246B5" w:rsidP="00B246B5">
      <w:pPr>
        <w:rPr>
          <w:rFonts w:cs="Calibri"/>
          <w:sz w:val="16"/>
          <w:szCs w:val="16"/>
        </w:rPr>
      </w:pPr>
      <w:r w:rsidRPr="00F933AF">
        <w:rPr>
          <w:rStyle w:val="Style13ptBold"/>
          <w:rFonts w:cs="Calibri"/>
        </w:rPr>
        <w:t>Shakespeare and Watson 02</w:t>
      </w:r>
      <w:r w:rsidRPr="00F933AF">
        <w:rPr>
          <w:rStyle w:val="Style13ptBold"/>
          <w:rFonts w:cs="Calibri"/>
          <w:b w:val="0"/>
          <w:sz w:val="16"/>
          <w:szCs w:val="16"/>
        </w:rPr>
        <w:t>,</w:t>
      </w:r>
      <w:r w:rsidRPr="00F933AF">
        <w:rPr>
          <w:rStyle w:val="Style13ptBold"/>
          <w:rFonts w:cs="Calibri"/>
          <w:sz w:val="16"/>
          <w:szCs w:val="16"/>
        </w:rPr>
        <w:t xml:space="preserve"> </w:t>
      </w:r>
      <w:r w:rsidRPr="00F933AF">
        <w:rPr>
          <w:rStyle w:val="Style13ptBold"/>
          <w:rFonts w:cs="Calibri"/>
          <w:b w:val="0"/>
          <w:sz w:val="16"/>
          <w:szCs w:val="16"/>
        </w:rPr>
        <w:t>Tom -</w:t>
      </w:r>
      <w:r w:rsidRPr="00F933AF">
        <w:rPr>
          <w:rStyle w:val="Style13ptBold"/>
          <w:rFonts w:cs="Calibri"/>
          <w:sz w:val="16"/>
          <w:szCs w:val="16"/>
        </w:rPr>
        <w:t xml:space="preserve"> </w:t>
      </w:r>
      <w:r w:rsidRPr="00F933AF">
        <w:rPr>
          <w:rFonts w:cs="Calibri"/>
          <w:color w:val="222222"/>
          <w:sz w:val="16"/>
          <w:szCs w:val="16"/>
          <w:shd w:val="clear" w:color="auto" w:fill="FFFFFF"/>
        </w:rPr>
        <w:t>English sociologist and broadcaster</w:t>
      </w:r>
      <w:r w:rsidRPr="00F933AF">
        <w:rPr>
          <w:rFonts w:cs="Calibri"/>
          <w:sz w:val="16"/>
          <w:szCs w:val="16"/>
        </w:rPr>
        <w:t xml:space="preserve"> </w:t>
      </w:r>
      <w:r w:rsidRPr="00F933AF">
        <w:rPr>
          <w:rStyle w:val="Style13ptBold"/>
          <w:rFonts w:cs="Calibri"/>
          <w:b w:val="0"/>
          <w:sz w:val="16"/>
          <w:szCs w:val="16"/>
        </w:rPr>
        <w:t>and Nicholas</w:t>
      </w:r>
      <w:r w:rsidRPr="00F933AF">
        <w:rPr>
          <w:rFonts w:cs="Calibri"/>
          <w:b/>
          <w:sz w:val="16"/>
          <w:szCs w:val="16"/>
        </w:rPr>
        <w:t xml:space="preserve"> -</w:t>
      </w:r>
      <w:r w:rsidRPr="00F933AF">
        <w:rPr>
          <w:rFonts w:cs="Calibri"/>
          <w:sz w:val="16"/>
          <w:szCs w:val="16"/>
        </w:rPr>
        <w:t xml:space="preserve"> </w:t>
      </w:r>
      <w:r w:rsidRPr="00F933AF">
        <w:rPr>
          <w:rFonts w:cs="Calibri"/>
          <w:color w:val="222222"/>
          <w:sz w:val="16"/>
          <w:szCs w:val="16"/>
          <w:shd w:val="clear" w:color="auto" w:fill="FFFFFF"/>
        </w:rPr>
        <w:t>English-Canadian medievalist, literary critic, religious historian, and author. </w:t>
      </w:r>
      <w:r w:rsidRPr="00F933AF">
        <w:rPr>
          <w:rStyle w:val="Style13ptBold"/>
          <w:rFonts w:cs="Calibri"/>
          <w:b w:val="0"/>
          <w:sz w:val="16"/>
          <w:szCs w:val="16"/>
        </w:rPr>
        <w:t>“The Social Model of Disability: An Outdated Ideology?”</w:t>
      </w:r>
      <w:r w:rsidRPr="00F933AF">
        <w:rPr>
          <w:rStyle w:val="Style13ptBold"/>
          <w:rFonts w:cs="Calibri"/>
          <w:sz w:val="16"/>
          <w:szCs w:val="16"/>
        </w:rPr>
        <w:t xml:space="preserve"> ‘</w:t>
      </w:r>
      <w:r w:rsidRPr="00F933AF">
        <w:rPr>
          <w:rFonts w:cs="Calibri"/>
          <w:sz w:val="16"/>
          <w:szCs w:val="16"/>
        </w:rPr>
        <w:t>Research in Social Science and Disability’ Volume 2, pp. 9-28 (2002)//mr</w:t>
      </w:r>
    </w:p>
    <w:p w:rsidR="00B246B5" w:rsidRPr="00F933AF" w:rsidRDefault="00B246B5" w:rsidP="00B246B5">
      <w:pPr>
        <w:rPr>
          <w:rFonts w:cs="Calibri"/>
          <w:sz w:val="16"/>
        </w:rPr>
      </w:pPr>
      <w:r w:rsidRPr="00F933AF">
        <w:rPr>
          <w:rFonts w:cs="Calibri"/>
          <w:u w:val="single"/>
        </w:rPr>
        <w:t>The ubiquity of impairment is an empirical fact</w:t>
      </w:r>
      <w:r w:rsidRPr="00F933AF">
        <w:rPr>
          <w:rFonts w:cs="Calibri"/>
          <w:sz w:val="16"/>
        </w:rPr>
        <w:t xml:space="preserve">, not a relativist claim. We are not trying to say that short-sightedness is equivalent to blindness, or that being unfit is a similar experience to being paralysed. Clearly, </w:t>
      </w:r>
      <w:r w:rsidRPr="00F933AF">
        <w:rPr>
          <w:rFonts w:cs="Calibri"/>
          <w:u w:val="single"/>
        </w:rPr>
        <w:t>the limitations which individual bodies or minds impose</w:t>
      </w:r>
      <w:r w:rsidRPr="00F933AF">
        <w:rPr>
          <w:rFonts w:cs="Calibri"/>
          <w:sz w:val="16"/>
        </w:rPr>
        <w:t xml:space="preserve"> (always in specific contexts) </w:t>
      </w:r>
      <w:r w:rsidRPr="00F933AF">
        <w:rPr>
          <w:rFonts w:cs="Calibri"/>
          <w:u w:val="single"/>
        </w:rPr>
        <w:t>vary</w:t>
      </w:r>
      <w:r w:rsidRPr="00F933AF">
        <w:rPr>
          <w:rFonts w:cs="Calibri"/>
          <w:sz w:val="16"/>
        </w:rPr>
        <w:t xml:space="preserve"> from the trivial to the profound. There are important differences to which theory and practice should be sensitive, but these differences cannot be straightforwardly allocated to two distinct ontological statuses. </w:t>
      </w:r>
      <w:r w:rsidRPr="00F933AF">
        <w:rPr>
          <w:rFonts w:cs="Calibri"/>
          <w:u w:val="single"/>
        </w:rPr>
        <w:t>Our point is that everyone has limitations, and that everyone is vulnerable to more limitations and will, through the ageing process, inevitably experience functional loss and morbidity.</w:t>
      </w:r>
      <w:r w:rsidRPr="00F933AF">
        <w:rPr>
          <w:rFonts w:cs="Calibri"/>
          <w:sz w:val="16"/>
        </w:rPr>
        <w:t xml:space="preserve"> Many of us will be supportive of attempts to minimise or eliminate these limitations, where possible, which does not mean ‘cure at all costs’. 28 Moreover, </w:t>
      </w:r>
      <w:r w:rsidRPr="00F933AF">
        <w:rPr>
          <w:rFonts w:cs="Calibri"/>
          <w:u w:val="single"/>
        </w:rPr>
        <w:t>while all living beings are impaired - that is, frail, limited, vulnerable, mortal - we are not all oppressed on the basis of this impairment and illness</w:t>
      </w:r>
      <w:r w:rsidRPr="00F933AF">
        <w:rPr>
          <w:rFonts w:cs="Calibri"/>
          <w:sz w:val="16"/>
        </w:rPr>
        <w:t xml:space="preserve">. Only a proportion of people experience the additional disabling processes of society. Put another way, </w:t>
      </w:r>
      <w:r w:rsidRPr="00F933AF">
        <w:rPr>
          <w:rFonts w:cs="Calibri"/>
          <w:u w:val="single"/>
        </w:rPr>
        <w:t>societies have evolved to minimise the problems of the majority of people with impairment, but have failed to deal effectively with the problems of a minority of people with impairment</w:t>
      </w:r>
      <w:r w:rsidRPr="00F933AF">
        <w:rPr>
          <w:rFonts w:cs="Calibri"/>
          <w:sz w:val="16"/>
        </w:rPr>
        <w:t xml:space="preserve">. In fact, </w:t>
      </w:r>
      <w:r w:rsidRPr="00F933AF">
        <w:rPr>
          <w:rFonts w:cs="Calibri"/>
          <w:u w:val="single"/>
        </w:rPr>
        <w:t>societies have actively excluded, disempowered and oppressed (‘disabled’) this minority.</w:t>
      </w:r>
      <w:r w:rsidRPr="00F933AF">
        <w:rPr>
          <w:rFonts w:cs="Calibri"/>
          <w:sz w:val="16"/>
        </w:rPr>
        <w:t xml:space="preserve"> Of course, the size and nature of this minority changes. </w:t>
      </w:r>
      <w:r w:rsidRPr="00F933AF">
        <w:rPr>
          <w:rFonts w:cs="Calibri"/>
          <w:u w:val="single"/>
        </w:rPr>
        <w:t>It is very difficult to achieve a core definition of ‘disabled people’, because it is not clear who counts as disabled or not. This is because different societies treat particular groups of people with impairments in different ways</w:t>
      </w:r>
      <w:r w:rsidRPr="00F933AF">
        <w:rPr>
          <w:rFonts w:cs="Calibri"/>
          <w:sz w:val="16"/>
        </w:rPr>
        <w:t xml:space="preserve">. For example, in the medieval period, being unable to read was not a problem, because social processes did not demand literacy: learning difficulties only became salient and visible once a complex social order required literate workers and citizens. </w:t>
      </w:r>
      <w:r w:rsidRPr="00F933AF">
        <w:rPr>
          <w:rFonts w:cs="Calibri"/>
          <w:b/>
          <w:u w:val="single"/>
        </w:rPr>
        <w:t>Rather than trying to break the definitional link between impairment and disability, we should expose the essential connection between impairment and embodiment</w:t>
      </w:r>
      <w:r w:rsidRPr="00F933AF">
        <w:rPr>
          <w:rFonts w:cs="Calibri"/>
          <w:sz w:val="16"/>
        </w:rPr>
        <w:t xml:space="preserve">. After all, as Shakespeare (1994) also argues, part of the psychological origins of hostility to disabled people may lie in the tendency of nondisabled people to deny their vulnerability and frailty and mortality, and to project these uncomfortable issues onto disabled people, who they can subsequently oppress and exclude and ignore. </w:t>
      </w:r>
      <w:r w:rsidRPr="00F933AF">
        <w:rPr>
          <w:rFonts w:cs="Calibri"/>
          <w:u w:val="single"/>
        </w:rPr>
        <w:t>The continuum of impairment and embodiment is translated into a dichotomy between ‘able-bodied people’ and ‘disabled people’,</w:t>
      </w:r>
      <w:r w:rsidRPr="00F933AF">
        <w:rPr>
          <w:rFonts w:cs="Calibri"/>
          <w:sz w:val="16"/>
        </w:rPr>
        <w:t xml:space="preserve"> as Davis (1995) and others have demonstrated. </w:t>
      </w:r>
      <w:r w:rsidRPr="00F933AF">
        <w:rPr>
          <w:rFonts w:cs="Calibri"/>
          <w:u w:val="single"/>
        </w:rPr>
        <w:t>Understanding these 29 processes of exclusion and discrimination is where the core focus of an empowering disability studies should lie.</w:t>
      </w:r>
      <w:r w:rsidRPr="00F933AF">
        <w:rPr>
          <w:rFonts w:cs="Calibri"/>
          <w:sz w:val="16"/>
        </w:rPr>
        <w:t xml:space="preserve"> </w:t>
      </w:r>
    </w:p>
    <w:p w:rsidR="00B246B5" w:rsidRDefault="00B246B5" w:rsidP="00B246B5"/>
    <w:p w:rsidR="0045745F" w:rsidRPr="0045745F" w:rsidRDefault="0045745F" w:rsidP="0045745F">
      <w:pPr>
        <w:pStyle w:val="Heading3"/>
      </w:pPr>
      <w:r>
        <w:t>AT: Util/Consequentialism Bad</w:t>
      </w:r>
    </w:p>
    <w:p w:rsidR="00924169" w:rsidRPr="00F933AF" w:rsidRDefault="00924169" w:rsidP="00924169">
      <w:pPr>
        <w:pStyle w:val="Heading4"/>
        <w:rPr>
          <w:rFonts w:cs="Calibri"/>
        </w:rPr>
      </w:pPr>
      <w:r w:rsidRPr="00F933AF">
        <w:rPr>
          <w:rFonts w:cs="Calibri"/>
        </w:rPr>
        <w:t xml:space="preserve">Utilitarianism is the </w:t>
      </w:r>
      <w:r w:rsidRPr="00F933AF">
        <w:rPr>
          <w:rFonts w:cs="Calibri"/>
          <w:u w:val="single"/>
        </w:rPr>
        <w:t xml:space="preserve">only way </w:t>
      </w:r>
      <w:r w:rsidRPr="00F933AF">
        <w:rPr>
          <w:rFonts w:cs="Calibri"/>
        </w:rPr>
        <w:t xml:space="preserve">to ensure those with disabilities receive sufficient access to public benefits and distribution of resources – this is most consistent and prevents arbitrary determinations by the aff’s framing  </w:t>
      </w:r>
    </w:p>
    <w:p w:rsidR="00924169" w:rsidRPr="00F933AF" w:rsidRDefault="00924169" w:rsidP="00924169">
      <w:pPr>
        <w:rPr>
          <w:rStyle w:val="Style13ptBold"/>
          <w:rFonts w:cs="Calibri"/>
          <w:b w:val="0"/>
          <w:sz w:val="16"/>
          <w:szCs w:val="16"/>
        </w:rPr>
      </w:pPr>
      <w:r w:rsidRPr="00F933AF">
        <w:rPr>
          <w:rStyle w:val="Style13ptBold"/>
          <w:rFonts w:cs="Calibri"/>
        </w:rPr>
        <w:t>Stein 04</w:t>
      </w:r>
      <w:r w:rsidRPr="00F933AF">
        <w:rPr>
          <w:rStyle w:val="Style13ptBold"/>
          <w:rFonts w:cs="Calibri"/>
          <w:b w:val="0"/>
          <w:sz w:val="16"/>
          <w:szCs w:val="16"/>
        </w:rPr>
        <w:t xml:space="preserve">, Mark </w:t>
      </w:r>
      <w:proofErr w:type="gramStart"/>
      <w:r w:rsidRPr="00F933AF">
        <w:rPr>
          <w:rStyle w:val="Style13ptBold"/>
          <w:rFonts w:cs="Calibri"/>
          <w:b w:val="0"/>
          <w:sz w:val="16"/>
          <w:szCs w:val="16"/>
        </w:rPr>
        <w:t xml:space="preserve">– </w:t>
      </w:r>
      <w:r w:rsidRPr="00F933AF">
        <w:rPr>
          <w:rFonts w:cs="Calibri"/>
          <w:color w:val="333333"/>
          <w:sz w:val="16"/>
          <w:szCs w:val="16"/>
          <w:shd w:val="clear" w:color="auto" w:fill="FFFFFF"/>
        </w:rPr>
        <w:t> J.D</w:t>
      </w:r>
      <w:proofErr w:type="gramEnd"/>
      <w:r w:rsidRPr="00F933AF">
        <w:rPr>
          <w:rFonts w:cs="Calibri"/>
          <w:color w:val="333333"/>
          <w:sz w:val="16"/>
          <w:szCs w:val="16"/>
          <w:shd w:val="clear" w:color="auto" w:fill="FFFFFF"/>
        </w:rPr>
        <w:t>. from Michigan Law School, and practiced law for several years before earning a Ph.D. in political science from Yale.</w:t>
      </w:r>
      <w:r w:rsidR="000125FB">
        <w:rPr>
          <w:rFonts w:cs="Calibri"/>
          <w:sz w:val="16"/>
          <w:szCs w:val="16"/>
        </w:rPr>
        <w:t xml:space="preserve"> </w:t>
      </w:r>
      <w:r w:rsidRPr="00F933AF">
        <w:rPr>
          <w:rStyle w:val="Style13ptBold"/>
          <w:rFonts w:cs="Calibri"/>
          <w:b w:val="0"/>
          <w:sz w:val="16"/>
          <w:szCs w:val="16"/>
        </w:rPr>
        <w:t xml:space="preserve">“Utilitarianism and the Disabled: Distribution of Resources” 02 </w:t>
      </w:r>
      <w:r w:rsidR="00F736C9">
        <w:rPr>
          <w:rStyle w:val="Style13ptBold"/>
          <w:rFonts w:cs="Calibri"/>
          <w:b w:val="0"/>
          <w:sz w:val="16"/>
          <w:szCs w:val="16"/>
        </w:rPr>
        <w:t>April 2004 Wiley Online Library//mr</w:t>
      </w:r>
    </w:p>
    <w:p w:rsidR="00924169" w:rsidRPr="00F933AF" w:rsidRDefault="00924169" w:rsidP="00924169">
      <w:pPr>
        <w:rPr>
          <w:rFonts w:cs="Calibri"/>
          <w:color w:val="000000"/>
          <w:sz w:val="16"/>
        </w:rPr>
      </w:pPr>
      <w:r w:rsidRPr="00F933AF">
        <w:rPr>
          <w:rFonts w:cs="Calibri"/>
          <w:color w:val="000000"/>
          <w:u w:val="single"/>
        </w:rPr>
        <w:t>Resource egalitarians and welfare egalitarians have long argued over which theory best handles the distribution of resources between disabled people and nondisabled people</w:t>
      </w:r>
      <w:r w:rsidRPr="00F933AF">
        <w:rPr>
          <w:rFonts w:cs="Calibri"/>
          <w:color w:val="000000"/>
          <w:sz w:val="16"/>
        </w:rPr>
        <w:t xml:space="preserve">. The resource egalitarian contends that welfare egalitarianism, if taken seriously, could require virtually unlimited redistribution from the nondisabled to the disabled, in order to bring the disabled as close as possible to equality of welfare. 1 The welfare egalitarian responds that a strict resource egalitarianism would allow disabled people no more resources than the nondisabled poor, even if the disabled would fare horribly without additional help. 2 There is an answer to this conundrum. </w:t>
      </w:r>
      <w:r w:rsidRPr="00F933AF">
        <w:rPr>
          <w:rFonts w:cs="Calibri"/>
          <w:color w:val="000000"/>
          <w:u w:val="single"/>
        </w:rPr>
        <w:t>The theory that best handles the distribution of resources between disabled people and nondisabled people is utilitarianism.</w:t>
      </w:r>
      <w:r w:rsidRPr="00F933AF">
        <w:rPr>
          <w:rFonts w:cs="Calibri"/>
          <w:color w:val="000000"/>
          <w:sz w:val="16"/>
        </w:rPr>
        <w:t xml:space="preserve"> Unlike resource egali- tarianism, </w:t>
      </w:r>
      <w:r w:rsidRPr="00F933AF">
        <w:rPr>
          <w:rFonts w:cs="Calibri"/>
          <w:color w:val="000000"/>
          <w:u w:val="single"/>
        </w:rPr>
        <w:t>utilitarianism can allocate more resources to the disabled than to the nondisabled, as long as the disabled would benefit more from those resources.</w:t>
      </w:r>
      <w:r w:rsidRPr="00F933AF">
        <w:rPr>
          <w:rFonts w:cs="Calibri"/>
          <w:color w:val="000000"/>
          <w:sz w:val="16"/>
        </w:rPr>
        <w:t xml:space="preserve"> 3 Unlike welfare egalitarianism, </w:t>
      </w:r>
      <w:r w:rsidRPr="00F933AF">
        <w:rPr>
          <w:rFonts w:cs="Calibri"/>
          <w:color w:val="000000"/>
          <w:u w:val="single"/>
        </w:rPr>
        <w:t>utilitarianism can limit redistribution to the disabled: redistribution will stop when the disabled would no longer benefit more than others from additional resources</w:t>
      </w:r>
      <w:r w:rsidRPr="00F933AF">
        <w:rPr>
          <w:rFonts w:cs="Calibri"/>
          <w:color w:val="000000"/>
          <w:sz w:val="16"/>
        </w:rPr>
        <w:t xml:space="preserve">, even if the disabled are still far from equality of welfare. Many objections could be raised to the brash claim that utilitarianism best handles the distribution of resources between the disabled and the nondisabled. In this essay, I will consider one such objection: it might be thought that there are circumstances under which utilitarianism would distribute fewer resources to the physically disabled than to nondisabled people, on the ground that the disabled would derive less benefit from those resources. The result, seemingly unfair, would be that some disabled people receive fewer resources and also have far less welfare than some nondisabled people. </w:t>
      </w:r>
      <w:r w:rsidRPr="00F933AF">
        <w:rPr>
          <w:rFonts w:cs="Calibri"/>
          <w:color w:val="000000"/>
          <w:u w:val="single"/>
        </w:rPr>
        <w:t>The objection that utilitarianism would unfairly distribute a less-than-equal share of resources to the disabled is</w:t>
      </w:r>
      <w:r w:rsidRPr="00F933AF">
        <w:rPr>
          <w:rFonts w:cs="Calibri"/>
          <w:color w:val="000000"/>
          <w:sz w:val="16"/>
        </w:rPr>
        <w:t xml:space="preserve"> most associated with Sen; 4 it has also surfaced in the work of Scanlon 5 and Elster. 6 I will argue that this objection is </w:t>
      </w:r>
      <w:r w:rsidRPr="00F933AF">
        <w:rPr>
          <w:rFonts w:cs="Calibri"/>
          <w:color w:val="000000"/>
          <w:u w:val="single"/>
        </w:rPr>
        <w:t>based on a misunderstanding of the circumstances under which the disabled would benefit less than the nondisabled from additional resources</w:t>
      </w:r>
      <w:r w:rsidRPr="00F933AF">
        <w:rPr>
          <w:rFonts w:cs="Calibri"/>
          <w:color w:val="000000"/>
          <w:sz w:val="16"/>
        </w:rPr>
        <w:t>. In those limited circumstances in which the disabled really would benefit less from resources, I will argue, it does not seem unfair to allocate fewer resources to them</w:t>
      </w:r>
      <w:r w:rsidRPr="00F933AF">
        <w:rPr>
          <w:rFonts w:cs="Calibri"/>
          <w:color w:val="000000"/>
          <w:u w:val="single"/>
        </w:rPr>
        <w:t>. In what follows I will be making, or at least suggesting, interpersonal utility comparisons</w:t>
      </w:r>
      <w:r w:rsidRPr="00F933AF">
        <w:rPr>
          <w:rFonts w:cs="Calibri"/>
          <w:color w:val="000000"/>
          <w:sz w:val="16"/>
        </w:rPr>
        <w:t xml:space="preserve"> (IUC's). This is inevitable, as I will be responding to the charge that utilitarians would allocate too few resources to the disabled because of certain IUC's that utilitarians would make between the disabled and the nondisabled. Now someone who believes (or professes to believe) that IUC's are meaningless can nevertheless level this charge against utilitarians; he can say that while he does not believe in IUC's, utilitarians do believe in them, and would make them in such a way as to reach an unfair result. But, someone who charges that utilitarians would make certain kinds of IUC's can hardly complain if, in response, utilitarians consider whether those are really the kinds of IUC's that they would make. </w:t>
      </w:r>
      <w:r w:rsidRPr="00F933AF">
        <w:rPr>
          <w:rFonts w:cs="Calibri"/>
          <w:color w:val="000000"/>
          <w:u w:val="single"/>
        </w:rPr>
        <w:t>For utilitarians</w:t>
      </w:r>
      <w:r w:rsidRPr="00F933AF">
        <w:rPr>
          <w:rFonts w:cs="Calibri"/>
          <w:color w:val="000000"/>
          <w:sz w:val="16"/>
        </w:rPr>
        <w:t xml:space="preserve">, of course, </w:t>
      </w:r>
      <w:r w:rsidRPr="00F933AF">
        <w:rPr>
          <w:rFonts w:cs="Calibri"/>
          <w:color w:val="000000"/>
          <w:u w:val="single"/>
        </w:rPr>
        <w:t xml:space="preserve">an IUC is only the first step in arriving at a distributive policy. It is also necessary to consider the effects of various distributive or redistributive schemes on security, on production incentives, and so forth. That someone would benefit more from a certain resource is a reason to distribute the resource to him, but not necessarily a conclusive reason. </w:t>
      </w:r>
      <w:r w:rsidRPr="00F933AF">
        <w:rPr>
          <w:rFonts w:cs="Calibri"/>
          <w:color w:val="000000"/>
          <w:sz w:val="16"/>
        </w:rPr>
        <w:t xml:space="preserve">However, this essay will focus on considerations of relative benefit and will largely ignore other issues such as incentive effects. My discussion will be limited to cases of physical disability; somewhat different issues are presented by intellectual disability, such as severe mental retardation, or emotional disability, such as clinical depression. Also, while most of the examples I will discuss involve medical resources, I will not consider cases in which the distribution of resources is in effect also the distribution of life itself. Prominent utilitarian bioethicists have suggested that since the disabled have on average less welfare, they should perhaps receive less consideration, in the allocation of life-saving treatment, than people whose only disability is the need for such treatment. 7 So, for example, a life-saving organ transplant should be given to an ambulatory person in preference to a paraplegic who would have the same post-transplant life expectancy, in order to maximize quality-adjusted life years. Some have found this conclusion troubling. I do also. But if cases involving the distribution of life present problems for utilitarians, they also present problems for egalitarians. </w:t>
      </w:r>
      <w:r w:rsidRPr="00F933AF">
        <w:rPr>
          <w:rFonts w:cs="Calibri"/>
          <w:color w:val="000000"/>
          <w:u w:val="single"/>
        </w:rPr>
        <w:t xml:space="preserve">Many versions of egalitarianism would appear to require that we discriminate in favor of disabled people in the allocation of life- saving organ transplants; to me, this policy would if anything be more counterintuitive than discriminating against the disabled. </w:t>
      </w:r>
      <w:r w:rsidRPr="00F933AF">
        <w:rPr>
          <w:rFonts w:cs="Calibri"/>
          <w:color w:val="000000"/>
          <w:sz w:val="16"/>
        </w:rPr>
        <w:t xml:space="preserve">I have elsewhere tried to articulate a version of utilitarianism that does not require us to discriminate against the disabled in the distribution of life. 8 This essay, however, does not assume the success of that effort. This essay concerns the distribution of non- life-saving resources, not the distribution of life. Readers can accept or reject the arguments I advance here while keeping an open mind as to whether utilitarianism produces unsavory results in the distribution of life. Indeed, my arguments here could be accepted even by someone whose mind is closed against utilitarianism in the matter of the distribution of life. </w:t>
      </w:r>
    </w:p>
    <w:p w:rsidR="00721D38" w:rsidRPr="00F933AF" w:rsidRDefault="00721D38" w:rsidP="00721D38">
      <w:pPr>
        <w:pStyle w:val="Heading4"/>
        <w:rPr>
          <w:rFonts w:cs="Calibri"/>
        </w:rPr>
      </w:pPr>
      <w:r w:rsidRPr="00F933AF">
        <w:rPr>
          <w:rFonts w:cs="Calibri"/>
        </w:rPr>
        <w:t>Utilitarian offers a golden mean to distribute welfare with greater benefit criterion</w:t>
      </w:r>
    </w:p>
    <w:p w:rsidR="00721D38" w:rsidRPr="00F933AF" w:rsidRDefault="00721D38" w:rsidP="00721D38">
      <w:pPr>
        <w:rPr>
          <w:rFonts w:cs="Calibri"/>
        </w:rPr>
      </w:pPr>
      <w:r w:rsidRPr="00F933AF">
        <w:rPr>
          <w:rStyle w:val="Style13ptBold"/>
          <w:rFonts w:cs="Calibri"/>
        </w:rPr>
        <w:t>Bickenbach 8</w:t>
      </w:r>
      <w:r w:rsidRPr="00F933AF">
        <w:rPr>
          <w:rFonts w:cs="Calibri"/>
        </w:rPr>
        <w:t xml:space="preserve"> (Jerome E. Bickenbach, PhD in disability studies from the University of Alberta, professor of philosophy at Queen’s University, Review of Distributive Justice and Disability: Utilitarianism against Egalitarianism by Mark S. Stein, law degree from the University of Michigan, PhD in political science from Yale, former fellow at Harvard’s Petre-Flom Center, April 2008, Social Theory and Practice, Vol. 34, No. 2, Florida State University Department of Philosophy, JSTOR)/CWB</w:t>
      </w:r>
    </w:p>
    <w:p w:rsidR="00721D38" w:rsidRPr="003B3CFE" w:rsidRDefault="00721D38" w:rsidP="00721D38">
      <w:pPr>
        <w:rPr>
          <w:rFonts w:cs="Calibri"/>
          <w:u w:val="single"/>
        </w:rPr>
      </w:pPr>
      <w:r w:rsidRPr="00F933AF">
        <w:rPr>
          <w:rFonts w:cs="Calibri"/>
          <w:sz w:val="16"/>
        </w:rPr>
        <w:t xml:space="preserve">Mark Stein believes that </w:t>
      </w:r>
      <w:r w:rsidRPr="00F933AF">
        <w:rPr>
          <w:rStyle w:val="StyleUnderline"/>
          <w:rFonts w:cs="Calibri"/>
        </w:rPr>
        <w:t>the best way of teasing out differences between utilitarian and egalitarian theories of distributive justice is to explore how these theories deal with disability</w:t>
      </w:r>
      <w:r w:rsidRPr="00F933AF">
        <w:rPr>
          <w:rFonts w:cs="Calibri"/>
          <w:sz w:val="16"/>
        </w:rPr>
        <w:t xml:space="preserve">. And in this superb, clearly written and entertaining book, Stein makes the case that, </w:t>
      </w:r>
      <w:r w:rsidRPr="00F933AF">
        <w:rPr>
          <w:rStyle w:val="StyleUnderline"/>
          <w:rFonts w:cs="Calibri"/>
        </w:rPr>
        <w:t>pitted head-to head, utilitarianism is the clear winner. Egalitarian theories that seek to equalize resources,</w:t>
      </w:r>
      <w:r w:rsidRPr="00F933AF">
        <w:rPr>
          <w:rFonts w:cs="Calibri"/>
          <w:sz w:val="16"/>
        </w:rPr>
        <w:t xml:space="preserve"> Stein argues, </w:t>
      </w:r>
      <w:r w:rsidRPr="00F933AF">
        <w:rPr>
          <w:rStyle w:val="StyleUnderline"/>
          <w:rFonts w:cs="Calibri"/>
        </w:rPr>
        <w:t>are unable to provide the extra medical resources that people with disabilities require, while egalitarian theories that equalize welfare make the opposite mistake and massively redistribute resources to a few especially disadvantaged individuals with disabilities, at the cost of resources for everyone else:</w:t>
      </w:r>
      <w:r w:rsidRPr="00F933AF">
        <w:rPr>
          <w:rFonts w:cs="Calibri"/>
          <w:sz w:val="16"/>
        </w:rPr>
        <w:t xml:space="preserve"> </w:t>
      </w:r>
      <w:r w:rsidRPr="00F933AF">
        <w:rPr>
          <w:rStyle w:val="StyleUnderline"/>
          <w:rFonts w:cs="Calibri"/>
        </w:rPr>
        <w:t xml:space="preserve">Resource egalitarianism would distribute too little to disabled people who could benefit greatly from additional resources; welfare egalitarianism would distribute too much to disabled people who could benefit hardly at all from additional resources. </w:t>
      </w:r>
      <w:r w:rsidRPr="00F933AF">
        <w:rPr>
          <w:rFonts w:cs="Calibri"/>
          <w:sz w:val="16"/>
        </w:rPr>
        <w:t xml:space="preserve">(2) </w:t>
      </w:r>
      <w:r w:rsidRPr="00F933AF">
        <w:rPr>
          <w:rStyle w:val="StyleUnderline"/>
          <w:rFonts w:cs="Calibri"/>
        </w:rPr>
        <w:t>By contrast to resource and welfare egalitarianism, utilitarianism offers a "golden mean" that redistributes in a truly fair and sensible manner to persons with disabilities. It can do so because utilitarianism is the only distributive theory that always, and only, relies on the "greater benefit criterion," namely, that resources should be distributed to those who would most benefit from them in terms of increased welfare. Sensitivity to relative benefit is</w:t>
      </w:r>
      <w:r w:rsidRPr="00F933AF">
        <w:rPr>
          <w:rFonts w:cs="Calibri"/>
          <w:sz w:val="16"/>
        </w:rPr>
        <w:t xml:space="preserve"> the </w:t>
      </w:r>
      <w:r w:rsidRPr="00F933AF">
        <w:rPr>
          <w:rStyle w:val="StyleUnderline"/>
          <w:rFonts w:cs="Calibri"/>
        </w:rPr>
        <w:t>key. Using hypothetical cases to test our intuitions—a methodology I find apt and totally persuasive—Stein dispatches</w:t>
      </w:r>
      <w:r w:rsidRPr="00F933AF">
        <w:rPr>
          <w:rFonts w:cs="Calibri"/>
          <w:sz w:val="16"/>
        </w:rPr>
        <w:t xml:space="preserve"> generic versions of resource and welfare egalitarianism before turning to the </w:t>
      </w:r>
      <w:r w:rsidRPr="00F933AF">
        <w:rPr>
          <w:rStyle w:val="StyleUnderline"/>
          <w:rFonts w:cs="Calibri"/>
        </w:rPr>
        <w:t>specific and nuanced accounts</w:t>
      </w:r>
      <w:r w:rsidRPr="00F933AF">
        <w:rPr>
          <w:rFonts w:cs="Calibri"/>
          <w:sz w:val="16"/>
        </w:rPr>
        <w:t xml:space="preserve"> of John Rawls, Ronald Dworkin, and Bruce Ackerman (representing resource egalitarians), and then to those theorists who, whether they are prepared to admit this or not, merge welfare egalitarianism and utilitarianism—such as Amartya Sen, G.A. Cohen, Norman Daniels and Martha Nussbaum—before ending up with </w:t>
      </w:r>
      <w:r w:rsidRPr="00F933AF">
        <w:rPr>
          <w:rStyle w:val="StyleUnderline"/>
          <w:rFonts w:cs="Calibri"/>
        </w:rPr>
        <w:t>the so-called "prioritarians" (Derek Parfit and Richard Arneson), who, Stein argues, have more or less ceded the day to utilitarianism.</w:t>
      </w:r>
    </w:p>
    <w:p w:rsidR="003B3CFE" w:rsidRPr="00F933AF" w:rsidRDefault="003B3CFE" w:rsidP="003B3CFE">
      <w:pPr>
        <w:pStyle w:val="Heading4"/>
        <w:rPr>
          <w:rFonts w:cs="Calibri"/>
        </w:rPr>
      </w:pPr>
      <w:r w:rsidRPr="00F933AF">
        <w:rPr>
          <w:rFonts w:cs="Calibri"/>
        </w:rPr>
        <w:t>In immigration policy debates, rights-based approaches inevitably calculate consequences by external actors- turns morality</w:t>
      </w:r>
    </w:p>
    <w:p w:rsidR="003B3CFE" w:rsidRPr="00035F66" w:rsidRDefault="003B3CFE" w:rsidP="003B3CFE">
      <w:pPr>
        <w:rPr>
          <w:rFonts w:cs="Calibri"/>
        </w:rPr>
      </w:pPr>
      <w:r w:rsidRPr="00F933AF">
        <w:rPr>
          <w:rStyle w:val="Style13ptBold"/>
          <w:rFonts w:cs="Calibri"/>
        </w:rPr>
        <w:t>Shuck 8</w:t>
      </w:r>
      <w:r w:rsidRPr="00F933AF">
        <w:rPr>
          <w:rFonts w:cs="Calibri"/>
        </w:rPr>
        <w:t xml:space="preserve"> (Peter H. Schuck, professor of law at </w:t>
      </w:r>
      <w:r w:rsidRPr="00035F66">
        <w:rPr>
          <w:rFonts w:cs="Calibri"/>
        </w:rPr>
        <w:t>Yale, law degree from Harvard, LLM in international law from NYU, 1/1/8, “The Morality of Immigration Policy”, Yale Law School Faculty Scholarship, http://digitalcommons.law.yale.edu/cgi/viewcontent.cgi?article=2653&amp;context=fss_papers)/CWB</w:t>
      </w:r>
    </w:p>
    <w:p w:rsidR="003B3CFE" w:rsidRPr="00F933AF" w:rsidRDefault="003B3CFE" w:rsidP="003B3CFE">
      <w:pPr>
        <w:rPr>
          <w:rFonts w:cs="Calibri"/>
          <w:sz w:val="16"/>
        </w:rPr>
      </w:pPr>
      <w:r w:rsidRPr="00035F66">
        <w:rPr>
          <w:rFonts w:cs="Calibri"/>
          <w:sz w:val="16"/>
        </w:rPr>
        <w:t xml:space="preserve">I. MORALITY AND IMMIGRATION There is something in us that likes to moralize about immigration, to view it as an activity as to which strong normative views, including feelings of right and wrong, not merely prudence or wisdom, are both natural and appropriate. </w:t>
      </w:r>
      <w:r w:rsidRPr="00035F66">
        <w:rPr>
          <w:rStyle w:val="StyleUnderline"/>
          <w:rFonts w:cs="Calibri"/>
        </w:rPr>
        <w:t>This moralizing impulse in public policy assessment is hardly unique to immigration. Nor am I suggesting that moral considerations actually dominate immigration policy outcomes.</w:t>
      </w:r>
      <w:r w:rsidRPr="00035F66">
        <w:rPr>
          <w:rFonts w:cs="Calibri"/>
          <w:sz w:val="16"/>
        </w:rPr>
        <w:t xml:space="preserve"> In fact, the role of such arguments in any particular situation depends on many factors.1 Instead, I simply mean that </w:t>
      </w:r>
      <w:r w:rsidRPr="00035F66">
        <w:rPr>
          <w:rStyle w:val="Emphasis"/>
          <w:rFonts w:cs="Calibri"/>
        </w:rPr>
        <w:t>moral claims are inevitably a part</w:t>
      </w:r>
      <w:r w:rsidRPr="00035F66">
        <w:rPr>
          <w:rFonts w:cs="Calibri"/>
          <w:sz w:val="16"/>
        </w:rPr>
        <w:t xml:space="preserve">, and sometimes an important or even decisive part, </w:t>
      </w:r>
      <w:r w:rsidRPr="00035F66">
        <w:rPr>
          <w:rStyle w:val="StyleUnderline"/>
          <w:rFonts w:cs="Calibri"/>
        </w:rPr>
        <w:t xml:space="preserve">of the lingua franca </w:t>
      </w:r>
      <w:r w:rsidRPr="00035F66">
        <w:rPr>
          <w:rStyle w:val="Emphasis"/>
          <w:rFonts w:cs="Calibri"/>
        </w:rPr>
        <w:t>of immigration debates</w:t>
      </w:r>
      <w:r w:rsidRPr="00035F66">
        <w:rPr>
          <w:rStyle w:val="StyleUnderline"/>
          <w:rFonts w:cs="Calibri"/>
        </w:rPr>
        <w:t xml:space="preserve">. </w:t>
      </w:r>
      <w:r w:rsidRPr="00035F66">
        <w:rPr>
          <w:rFonts w:cs="Calibri"/>
          <w:sz w:val="16"/>
        </w:rPr>
        <w:t xml:space="preserve">The clearest example, but certainly not the only one, is the bitter division over the status and treatment of undocumented immigrants, which I shall discuss below. 2 Before developing the arguments, let me briefly define my terms. A. Morality </w:t>
      </w:r>
      <w:proofErr w:type="gramStart"/>
      <w:r w:rsidRPr="00035F66">
        <w:rPr>
          <w:rFonts w:cs="Calibri"/>
          <w:sz w:val="16"/>
        </w:rPr>
        <w:t>What</w:t>
      </w:r>
      <w:proofErr w:type="gramEnd"/>
      <w:r w:rsidRPr="00035F66">
        <w:rPr>
          <w:rFonts w:cs="Calibri"/>
          <w:sz w:val="16"/>
        </w:rPr>
        <w:t xml:space="preserve"> do I mean by morality? I define it, most simply, as a concern to do the right thing, to be ethically scrupulous, to avoid doing wrong or acting unjustly. I distinguish it from a concern merely to avoid doing a misguided or harmful thing. But what is the right thing that morality seeks to advance? Broadly and conventionally speaking, there are two competing answers to this question: deontology and consequentialism. </w:t>
      </w:r>
      <w:r w:rsidRPr="00035F66">
        <w:rPr>
          <w:rStyle w:val="StyleUnderline"/>
          <w:rFonts w:cs="Calibri"/>
        </w:rPr>
        <w:t>Deontology defines moral conduct as action that is right in itself, with rightness in turn being defined in terms of certain antecedent and abstract principles or values-for example, human dignity, equality, and flourishing. Consequentialism defines the morality or rightness of a policy in terms of its actual, real-world effects for example, wealth creation or production of other forms of well-being</w:t>
      </w:r>
      <w:r w:rsidRPr="00035F66">
        <w:rPr>
          <w:rFonts w:cs="Calibri"/>
          <w:sz w:val="16"/>
        </w:rPr>
        <w:t xml:space="preserve">. There are, of course, as many different conceptions of rightness-initself as there are diverse people engaged self-consciously in deontological moral reflection. Before proceeding, I wish to be clear that I am not a moral philosopher or even particularly well-read in moral philosophy. I recognize, moreover, that an immense professional literature exists that seeks to elucidate the relationship between deontology and consequentialism, a literature with which I am not prepared to engage here.3 Fortunately, my main points in this Article in no way depend on whether I am right about the nature of this relationship. </w:t>
      </w:r>
      <w:r w:rsidRPr="00035F66">
        <w:rPr>
          <w:rStyle w:val="StyleUnderline"/>
          <w:rFonts w:cs="Calibri"/>
        </w:rPr>
        <w:t xml:space="preserve">That said, I believe that </w:t>
      </w:r>
      <w:r w:rsidRPr="00035F66">
        <w:rPr>
          <w:rStyle w:val="Emphasis"/>
          <w:rFonts w:cs="Calibri"/>
        </w:rPr>
        <w:t>any deontological claim in the realm of practical or applied ethics</w:t>
      </w:r>
      <w:r w:rsidRPr="00035F66">
        <w:rPr>
          <w:rStyle w:val="StyleUnderline"/>
          <w:rFonts w:cs="Calibri"/>
        </w:rPr>
        <w:t xml:space="preserve">, the subject of this Article, </w:t>
      </w:r>
      <w:r w:rsidRPr="00035F66">
        <w:rPr>
          <w:rStyle w:val="Emphasis"/>
          <w:rFonts w:cs="Calibri"/>
        </w:rPr>
        <w:t>must ultimately devolve for its proof on some set of consequentialist claims</w:t>
      </w:r>
      <w:r w:rsidRPr="00035F66">
        <w:rPr>
          <w:rStyle w:val="StyleUnderline"/>
          <w:rFonts w:cs="Calibri"/>
        </w:rPr>
        <w:t xml:space="preserve">. 4 </w:t>
      </w:r>
      <w:r w:rsidRPr="00035F66">
        <w:rPr>
          <w:rStyle w:val="Emphasis"/>
          <w:rFonts w:cs="Calibri"/>
        </w:rPr>
        <w:t xml:space="preserve">If the content of what is right-in-itself is, say, some notion of human flourishing, then in assessing a policy alternative in light of that norm, it becomes necessary at some point to defend that alternative in consequentialist terms by showing that certain conduct does, or does not, in fact conduce to human flourishing, </w:t>
      </w:r>
      <w:r w:rsidRPr="00035F66">
        <w:rPr>
          <w:rStyle w:val="StyleUnderline"/>
          <w:rFonts w:cs="Calibri"/>
        </w:rPr>
        <w:t>however defined. If one seeks to justify a law permitting gay marriage, for example, as moral action on deontological grounds because it instantiates the value of, say, dignity or equality, then at some pivotal point in the argument one must show that the law's effects will in fact promote the dignity or equality of the couple-perhaps by giving them as much pleasure or self-respect as other couples receive from marriage. The deontological claim</w:t>
      </w:r>
      <w:r w:rsidRPr="00035F66">
        <w:rPr>
          <w:rFonts w:cs="Calibri"/>
          <w:sz w:val="16"/>
        </w:rPr>
        <w:t xml:space="preserve"> may constrain the kinds of consequences that are relevant to its justification, but </w:t>
      </w:r>
      <w:r w:rsidRPr="00035F66">
        <w:rPr>
          <w:rStyle w:val="Emphasis"/>
          <w:rFonts w:cs="Calibri"/>
        </w:rPr>
        <w:t>once</w:t>
      </w:r>
      <w:r w:rsidRPr="00035F66">
        <w:rPr>
          <w:rFonts w:cs="Calibri"/>
          <w:sz w:val="16"/>
        </w:rPr>
        <w:t xml:space="preserve"> the claim is </w:t>
      </w:r>
      <w:r w:rsidRPr="00035F66">
        <w:rPr>
          <w:rStyle w:val="Emphasis"/>
          <w:rFonts w:cs="Calibri"/>
        </w:rPr>
        <w:t>elaborated</w:t>
      </w:r>
      <w:r w:rsidRPr="00035F66">
        <w:rPr>
          <w:rStyle w:val="StyleUnderline"/>
          <w:rFonts w:cs="Calibri"/>
        </w:rPr>
        <w:t xml:space="preserve"> conceptually and normatively as deeply as the analysis permits, the claim's validity must ultimately rest on propositions about its actual effects in the real world</w:t>
      </w:r>
      <w:r w:rsidRPr="00035F66">
        <w:rPr>
          <w:rFonts w:cs="Calibri"/>
          <w:sz w:val="16"/>
        </w:rPr>
        <w:t xml:space="preserve">.5 By adopting a consequentialist approach, I emphatically do not dismiss the importance of deontological approaches. Indeed, </w:t>
      </w:r>
      <w:r w:rsidRPr="00035F66">
        <w:rPr>
          <w:rStyle w:val="StyleUnderline"/>
          <w:rFonts w:cs="Calibri"/>
        </w:rPr>
        <w:t>consequentialism would be less attractive without an underlying, perhaps deontological, conception of the good</w:t>
      </w:r>
      <w:r w:rsidRPr="00035F66">
        <w:rPr>
          <w:rFonts w:cs="Calibri"/>
          <w:sz w:val="16"/>
        </w:rPr>
        <w:t xml:space="preserve">.6 </w:t>
      </w:r>
      <w:r w:rsidRPr="00035F66">
        <w:rPr>
          <w:rStyle w:val="Emphasis"/>
          <w:rFonts w:cs="Calibri"/>
        </w:rPr>
        <w:t>Deontological approaches</w:t>
      </w:r>
      <w:r w:rsidRPr="00035F66">
        <w:rPr>
          <w:rStyle w:val="StyleUnderline"/>
          <w:rFonts w:cs="Calibri"/>
        </w:rPr>
        <w:t xml:space="preserve"> help us to </w:t>
      </w:r>
      <w:r w:rsidRPr="00035F66">
        <w:rPr>
          <w:rStyle w:val="Emphasis"/>
          <w:rFonts w:cs="Calibri"/>
        </w:rPr>
        <w:t>decide which ends we wish to pursue</w:t>
      </w:r>
      <w:r w:rsidRPr="00035F66">
        <w:rPr>
          <w:rStyle w:val="StyleUnderline"/>
          <w:rFonts w:cs="Calibri"/>
        </w:rPr>
        <w:t xml:space="preserve"> a priori</w:t>
      </w:r>
      <w:r w:rsidRPr="00035F66">
        <w:rPr>
          <w:rFonts w:cs="Calibri"/>
          <w:sz w:val="16"/>
        </w:rPr>
        <w:t xml:space="preserve">. I do not, therefore, subscribe to consequentialism monistically. I simply argue that as a descriptive matter, </w:t>
      </w:r>
      <w:r w:rsidRPr="00035F66">
        <w:rPr>
          <w:rStyle w:val="StyleUnderline"/>
          <w:rFonts w:cs="Calibri"/>
        </w:rPr>
        <w:t xml:space="preserve">consequentialism can shed much light on which among the competing ends we should choose. </w:t>
      </w:r>
      <w:r w:rsidRPr="00035F66">
        <w:rPr>
          <w:rFonts w:cs="Calibri"/>
          <w:sz w:val="16"/>
        </w:rPr>
        <w:t xml:space="preserve">As Shelly Kagan notes, "the goodness of an act's consequences is at least one morally relevant factor in determining the moral status of that act," but the goodness of consequences requires a theory of the good to ground the comparison.7 </w:t>
      </w:r>
      <w:r w:rsidRPr="00035F66">
        <w:rPr>
          <w:rStyle w:val="StyleUnderline"/>
          <w:rFonts w:cs="Calibri"/>
        </w:rPr>
        <w:t>Even if my logical or methodological assertion here could be questioned, I still maintain that consequentialism is a more personally congenial, and generally a more illuminating, way to analyze and assess the morality of immigration policy.</w:t>
      </w:r>
      <w:r w:rsidRPr="00035F66">
        <w:rPr>
          <w:rFonts w:cs="Calibri"/>
          <w:sz w:val="16"/>
        </w:rPr>
        <w:t xml:space="preserve"> This is true, I believe, even when one considers consequentialism's characteristic limitations, as I shall do below. Nevertheless, the deontological-consequentialist distinction remains useful here, so I do not want to collapse it entirely. </w:t>
      </w:r>
      <w:r w:rsidRPr="00035F66">
        <w:rPr>
          <w:rStyle w:val="StyleUnderline"/>
          <w:rFonts w:cs="Calibri"/>
        </w:rPr>
        <w:t>My reason is that a policy justification invoking anticipated consequences that will predictably advance one's own well-being, other than one's interest in acting morally, is importantly different from a justification that invokes relatively disinterested reasons favoring the well-being of others in the nation or some other morally-relevant community.</w:t>
      </w:r>
      <w:r w:rsidRPr="00035F66">
        <w:rPr>
          <w:rFonts w:cs="Calibri"/>
          <w:sz w:val="16"/>
        </w:rPr>
        <w:t xml:space="preserve"> When I speak of moral argument in the immigration debate, then, I am referring to the latter. I do so, moreover, even though moral and non-moral arguments are intertwined rhetorically in ways that may make them difficult to distinguish analytically, and sometime empirically, in any particular case. B. Immigration Policy Interests </w:t>
      </w:r>
      <w:r w:rsidRPr="00035F66">
        <w:rPr>
          <w:rStyle w:val="Emphasis"/>
          <w:rFonts w:cs="Calibri"/>
        </w:rPr>
        <w:t>Immigration policy involves numerous actors and interests other than the immigrants themselves</w:t>
      </w:r>
      <w:r w:rsidRPr="00035F66">
        <w:rPr>
          <w:rFonts w:cs="Calibri"/>
          <w:sz w:val="16"/>
        </w:rPr>
        <w:t xml:space="preserve"> and their families: the local, regional, and national communities in </w:t>
      </w:r>
      <w:r w:rsidRPr="00035F66">
        <w:rPr>
          <w:rStyle w:val="StyleUnderline"/>
          <w:rFonts w:cs="Calibri"/>
        </w:rPr>
        <w:t>the states of origin</w:t>
      </w:r>
      <w:r w:rsidRPr="00035F66">
        <w:rPr>
          <w:rFonts w:cs="Calibri"/>
          <w:sz w:val="16"/>
        </w:rPr>
        <w:t xml:space="preserve">;8 the communities in </w:t>
      </w:r>
      <w:r w:rsidRPr="00035F66">
        <w:rPr>
          <w:rStyle w:val="StyleUnderline"/>
          <w:rFonts w:cs="Calibri"/>
        </w:rPr>
        <w:t>the receiving states</w:t>
      </w:r>
      <w:r w:rsidRPr="00035F66">
        <w:rPr>
          <w:rFonts w:cs="Calibri"/>
          <w:sz w:val="16"/>
        </w:rPr>
        <w:t xml:space="preserve">; the identity and ethos of these communities; </w:t>
      </w:r>
      <w:r w:rsidRPr="00035F66">
        <w:rPr>
          <w:rStyle w:val="StyleUnderline"/>
          <w:rFonts w:cs="Calibri"/>
        </w:rPr>
        <w:t>the immigrants' competitors</w:t>
      </w:r>
      <w:r w:rsidRPr="00035F66">
        <w:rPr>
          <w:rFonts w:cs="Calibri"/>
          <w:sz w:val="16"/>
        </w:rPr>
        <w:t xml:space="preserve"> for jobs, space, social services, status goods, and so forth. </w:t>
      </w:r>
      <w:r w:rsidRPr="00035F66">
        <w:rPr>
          <w:rStyle w:val="StyleUnderline"/>
          <w:rFonts w:cs="Calibri"/>
        </w:rPr>
        <w:t>The impacts on these groups are enormous</w:t>
      </w:r>
      <w:r w:rsidRPr="00035F66">
        <w:rPr>
          <w:rFonts w:cs="Calibri"/>
          <w:sz w:val="16"/>
        </w:rPr>
        <w:t xml:space="preserve"> at both the macro and micro levels. Some of these impacts are beneficial, some are detrimental, and some are both simultaneously. </w:t>
      </w:r>
      <w:r w:rsidRPr="00035F66">
        <w:rPr>
          <w:rStyle w:val="Emphasis"/>
          <w:rFonts w:cs="Calibri"/>
        </w:rPr>
        <w:t>Judgments about benefit and detriment depend</w:t>
      </w:r>
      <w:r w:rsidRPr="00035F66">
        <w:rPr>
          <w:rStyle w:val="StyleUnderline"/>
          <w:rFonts w:cs="Calibri"/>
        </w:rPr>
        <w:t xml:space="preserve">, among other things, </w:t>
      </w:r>
      <w:r w:rsidRPr="00035F66">
        <w:rPr>
          <w:rStyle w:val="Emphasis"/>
          <w:rFonts w:cs="Calibri"/>
        </w:rPr>
        <w:t>on</w:t>
      </w:r>
      <w:r w:rsidRPr="00035F66">
        <w:rPr>
          <w:rStyle w:val="StyleUnderline"/>
          <w:rFonts w:cs="Calibri"/>
        </w:rPr>
        <w:t xml:space="preserve"> the units of analysis that the analyst employs and the </w:t>
      </w:r>
      <w:r w:rsidRPr="00035F66">
        <w:rPr>
          <w:rStyle w:val="Emphasis"/>
          <w:rFonts w:cs="Calibri"/>
        </w:rPr>
        <w:t>distributive calculus for assessing</w:t>
      </w:r>
      <w:r w:rsidRPr="00035F66">
        <w:rPr>
          <w:rStyle w:val="StyleUnderline"/>
          <w:rFonts w:cs="Calibri"/>
        </w:rPr>
        <w:t xml:space="preserve"> those</w:t>
      </w:r>
      <w:r w:rsidRPr="00035F66">
        <w:rPr>
          <w:rStyle w:val="Emphasis"/>
          <w:rFonts w:cs="Calibri"/>
        </w:rPr>
        <w:t xml:space="preserve"> effects </w:t>
      </w:r>
      <w:r w:rsidRPr="00035F66">
        <w:rPr>
          <w:rStyle w:val="StyleUnderline"/>
          <w:rFonts w:cs="Calibri"/>
        </w:rPr>
        <w:t>across those units</w:t>
      </w:r>
      <w:r w:rsidRPr="00035F66">
        <w:rPr>
          <w:rFonts w:cs="Calibri"/>
          <w:sz w:val="16"/>
        </w:rPr>
        <w:t>.</w:t>
      </w:r>
      <w:r w:rsidRPr="00F933AF">
        <w:rPr>
          <w:rFonts w:cs="Calibri"/>
          <w:sz w:val="16"/>
        </w:rPr>
        <w:t xml:space="preserve"> </w:t>
      </w:r>
    </w:p>
    <w:p w:rsidR="00924169" w:rsidRPr="00F933AF" w:rsidRDefault="00924169" w:rsidP="00924169">
      <w:pPr>
        <w:rPr>
          <w:rFonts w:cs="Calibri"/>
        </w:rPr>
      </w:pPr>
    </w:p>
    <w:p w:rsidR="00340585" w:rsidRDefault="00340585" w:rsidP="00035F66">
      <w:pPr>
        <w:pStyle w:val="Heading1"/>
      </w:pPr>
      <w:r>
        <w:t xml:space="preserve">Topicality </w:t>
      </w:r>
    </w:p>
    <w:p w:rsidR="00035F66" w:rsidRPr="00035F66" w:rsidRDefault="00D71D53" w:rsidP="00035F66">
      <w:pPr>
        <w:pStyle w:val="Heading2"/>
      </w:pPr>
      <w:r>
        <w:t>T - Restrictions</w:t>
      </w:r>
    </w:p>
    <w:p w:rsidR="00340585" w:rsidRPr="00152378" w:rsidRDefault="00340585" w:rsidP="00340585">
      <w:pPr>
        <w:pStyle w:val="Heading4"/>
      </w:pPr>
      <w:r>
        <w:t>Public Charge is considered a regulation – not a restriction</w:t>
      </w:r>
    </w:p>
    <w:p w:rsidR="00340585" w:rsidRDefault="00340585" w:rsidP="00340585">
      <w:r w:rsidRPr="006C1924">
        <w:rPr>
          <w:rStyle w:val="Style13ptBold"/>
        </w:rPr>
        <w:t>Hammond and Orr 17</w:t>
      </w:r>
      <w:r>
        <w:t xml:space="preserve"> (</w:t>
      </w:r>
      <w:r w:rsidRPr="00D018BF">
        <w:t>Samuel Hammond and Robert Orr</w:t>
      </w:r>
      <w:r>
        <w:t xml:space="preserve">, </w:t>
      </w:r>
      <w:r w:rsidRPr="006C1924">
        <w:t xml:space="preserve">the Poverty and Welfare Policy Analyst for the Niskanen Center </w:t>
      </w:r>
      <w:r>
        <w:t>and an</w:t>
      </w:r>
      <w:r w:rsidRPr="006C1924">
        <w:t xml:space="preserve"> intern within the Poverty and Welfare program </w:t>
      </w:r>
      <w:r>
        <w:t xml:space="preserve">“Redefining “Public Charge”: Gauging the Threat to Noncitizens from Trump’s Draft EO,”  [Niskanen Center], 2017, accessed: 7/16/18, </w:t>
      </w:r>
      <w:r w:rsidRPr="006C1924">
        <w:t>https://niskanencenter.org/wp-content/uploads/2017/02/Redefining_Public_Charge.pdf</w:t>
      </w:r>
      <w:r>
        <w:t>)//DCai</w:t>
      </w:r>
    </w:p>
    <w:p w:rsidR="00340585" w:rsidRPr="00D018BF" w:rsidRDefault="00340585" w:rsidP="00340585">
      <w:pPr>
        <w:rPr>
          <w:sz w:val="16"/>
        </w:rPr>
      </w:pPr>
      <w:r w:rsidRPr="00D018BF">
        <w:rPr>
          <w:sz w:val="16"/>
        </w:rPr>
        <w:t xml:space="preserve">On February 2nd, 2017, the Washington Post published a draft executive order believed to be under consideration by Donald Trump’s administration that, if signed, would curtail the admission of new immigrants likely to make use of any means-tested program, as well as permit the deportation of immigrants who already do. </w:t>
      </w:r>
      <w:r w:rsidRPr="00D018BF">
        <w:rPr>
          <w:rStyle w:val="StyleUnderline"/>
        </w:rPr>
        <w:t>The order makes reference to Section 212 of the Immigration and Nationality Act which defines</w:t>
      </w:r>
      <w:r>
        <w:rPr>
          <w:rStyle w:val="StyleUnderline"/>
        </w:rPr>
        <w:t xml:space="preserve"> </w:t>
      </w:r>
      <w:r w:rsidRPr="00D018BF">
        <w:rPr>
          <w:rStyle w:val="StyleUnderline"/>
        </w:rPr>
        <w:t>general classes of alien ineligible for admission to the United States</w:t>
      </w:r>
      <w:r w:rsidRPr="00D018BF">
        <w:rPr>
          <w:sz w:val="16"/>
        </w:rPr>
        <w:t xml:space="preserve">. </w:t>
      </w:r>
      <w:r w:rsidRPr="00D018BF">
        <w:rPr>
          <w:rStyle w:val="StyleUnderline"/>
        </w:rPr>
        <w:t>It includes any alien who a</w:t>
      </w:r>
      <w:r>
        <w:rPr>
          <w:rStyle w:val="StyleUnderline"/>
        </w:rPr>
        <w:t xml:space="preserve"> </w:t>
      </w:r>
      <w:r w:rsidRPr="00D018BF">
        <w:rPr>
          <w:rStyle w:val="StyleUnderline"/>
        </w:rPr>
        <w:t>consular officer may, at the time of the visa application or adjustment of status, suspect of</w:t>
      </w:r>
      <w:r>
        <w:rPr>
          <w:rStyle w:val="StyleUnderline"/>
        </w:rPr>
        <w:t xml:space="preserve"> </w:t>
      </w:r>
      <w:r w:rsidRPr="00D018BF">
        <w:rPr>
          <w:rStyle w:val="StyleUnderline"/>
        </w:rPr>
        <w:t xml:space="preserve">becoming a “public charge.” </w:t>
      </w:r>
      <w:r w:rsidRPr="00D018BF">
        <w:rPr>
          <w:sz w:val="16"/>
        </w:rPr>
        <w:t>This has historically been interpreted to mean individuals likely to become primarily dependent on cash assistance programs such as SSI, TANF or institutionalized for long-term care. Yet t</w:t>
      </w:r>
      <w:r w:rsidRPr="00D018BF">
        <w:rPr>
          <w:rStyle w:val="Emphasis"/>
        </w:rPr>
        <w:t>he definition of public charge is detailed in regulation,</w:t>
      </w:r>
      <w:r>
        <w:rPr>
          <w:rStyle w:val="Emphasis"/>
        </w:rPr>
        <w:t xml:space="preserve"> </w:t>
      </w:r>
      <w:r w:rsidRPr="00D018BF">
        <w:rPr>
          <w:rStyle w:val="Emphasis"/>
        </w:rPr>
        <w:t>not statute, and as such the guidance about how to identify a public charge is not set in stone.</w:t>
      </w:r>
      <w:r>
        <w:rPr>
          <w:rStyle w:val="Emphasis"/>
        </w:rPr>
        <w:t xml:space="preserve"> </w:t>
      </w:r>
      <w:r w:rsidRPr="00D018BF">
        <w:rPr>
          <w:sz w:val="16"/>
        </w:rPr>
        <w:t xml:space="preserve">In this report, </w:t>
      </w:r>
      <w:r w:rsidRPr="00D018BF">
        <w:rPr>
          <w:rStyle w:val="StyleUnderline"/>
        </w:rPr>
        <w:t>we trace the recent policy history around immigrant eligibility for public benefit</w:t>
      </w:r>
      <w:r>
        <w:rPr>
          <w:rStyle w:val="StyleUnderline"/>
        </w:rPr>
        <w:t xml:space="preserve"> </w:t>
      </w:r>
      <w:r w:rsidRPr="00D018BF">
        <w:rPr>
          <w:rStyle w:val="StyleUnderline"/>
        </w:rPr>
        <w:t>programs and estimate the population of noncitizens who would potentially fall under an</w:t>
      </w:r>
      <w:r>
        <w:rPr>
          <w:rStyle w:val="StyleUnderline"/>
        </w:rPr>
        <w:t xml:space="preserve"> </w:t>
      </w:r>
      <w:r w:rsidRPr="00D018BF">
        <w:rPr>
          <w:rStyle w:val="StyleUnderline"/>
        </w:rPr>
        <w:t>inclusive definition of public charge.</w:t>
      </w:r>
      <w:r w:rsidRPr="00D018BF">
        <w:rPr>
          <w:sz w:val="16"/>
        </w:rPr>
        <w:t xml:space="preserve"> We find that this draft executive order, if enacted, would dramatically expand the ability to deny immigrants admission on public charge grounds, and potentially enable the deportation of up to 1.9 million currently lawful aliens.</w:t>
      </w:r>
    </w:p>
    <w:p w:rsidR="00340585" w:rsidRPr="00340585" w:rsidRDefault="00D71D53" w:rsidP="00D71D53">
      <w:pPr>
        <w:pStyle w:val="Heading1"/>
      </w:pPr>
      <w:r>
        <w:t>CPs</w:t>
      </w:r>
    </w:p>
    <w:p w:rsidR="00721D38" w:rsidRDefault="00721D38" w:rsidP="00721D38">
      <w:pPr>
        <w:pStyle w:val="Heading2"/>
        <w:rPr>
          <w:rFonts w:cs="Calibri"/>
        </w:rPr>
      </w:pPr>
      <w:r w:rsidRPr="00F933AF">
        <w:rPr>
          <w:rFonts w:cs="Calibri"/>
        </w:rPr>
        <w:t>States CP</w:t>
      </w:r>
    </w:p>
    <w:p w:rsidR="006F6EF3" w:rsidRDefault="006F6EF3" w:rsidP="006F6EF3">
      <w:pPr>
        <w:pStyle w:val="Heading4"/>
      </w:pPr>
      <w:r>
        <w:rPr>
          <w:lang w:eastAsia="ko-KR"/>
        </w:rPr>
        <w:t xml:space="preserve">Counterplan text: </w:t>
      </w:r>
      <w:r>
        <w:t>The fifty states and territories should expand publicly-financed health benefits to documented and undocumented immigrants. The provision of mental health care and treatment to immigrants bolsters local confidence and solves the chilling effect.</w:t>
      </w:r>
    </w:p>
    <w:p w:rsidR="006F6EF3" w:rsidRPr="003B57DA" w:rsidRDefault="006F6EF3" w:rsidP="006F6EF3"/>
    <w:p w:rsidR="006F6EF3" w:rsidRPr="003B57DA" w:rsidRDefault="006F6EF3" w:rsidP="006F6EF3">
      <w:pPr>
        <w:pStyle w:val="Heading4"/>
      </w:pPr>
      <w:r>
        <w:t>The federal government is incapable of restoring health benefits especially under a Trumpian Administration—states are key</w:t>
      </w:r>
    </w:p>
    <w:p w:rsidR="006F6EF3" w:rsidRPr="004B376E" w:rsidRDefault="006F6EF3" w:rsidP="006F6EF3">
      <w:r>
        <w:rPr>
          <w:b/>
        </w:rPr>
        <w:t xml:space="preserve">Moore 17 </w:t>
      </w:r>
      <w:r w:rsidRPr="006561C8">
        <w:rPr>
          <w:sz w:val="18"/>
          <w:szCs w:val="18"/>
        </w:rPr>
        <w:t xml:space="preserve">(Andrew F. Moore, associate professor of law at the University of Detroit Mercy School of Law, Lexis Nexis, “The Immigration Paradox: Protecting Immigrants </w:t>
      </w:r>
      <w:proofErr w:type="gramStart"/>
      <w:r w:rsidRPr="006561C8">
        <w:rPr>
          <w:sz w:val="18"/>
          <w:szCs w:val="18"/>
        </w:rPr>
        <w:t>Through</w:t>
      </w:r>
      <w:proofErr w:type="gramEnd"/>
      <w:r w:rsidRPr="006561C8">
        <w:rPr>
          <w:sz w:val="18"/>
          <w:szCs w:val="18"/>
        </w:rPr>
        <w:t xml:space="preserve"> Better Mental Health Care,</w:t>
      </w:r>
      <w:r>
        <w:rPr>
          <w:sz w:val="18"/>
          <w:szCs w:val="18"/>
        </w:rPr>
        <w:t>” V. Ways to Address the Problem,</w:t>
      </w:r>
      <w:r w:rsidRPr="006561C8">
        <w:rPr>
          <w:sz w:val="18"/>
          <w:szCs w:val="18"/>
        </w:rPr>
        <w:t xml:space="preserve"> 2017, pg. </w:t>
      </w:r>
      <w:r>
        <w:rPr>
          <w:sz w:val="18"/>
          <w:szCs w:val="18"/>
        </w:rPr>
        <w:t>13</w:t>
      </w:r>
      <w:r w:rsidRPr="006561C8">
        <w:rPr>
          <w:sz w:val="18"/>
          <w:szCs w:val="18"/>
        </w:rPr>
        <w:t>)//jy</w:t>
      </w:r>
    </w:p>
    <w:p w:rsidR="006F6EF3" w:rsidRDefault="006F6EF3" w:rsidP="006F6EF3">
      <w:pPr>
        <w:rPr>
          <w:sz w:val="14"/>
        </w:rPr>
      </w:pPr>
      <w:r w:rsidRPr="00F46CD3">
        <w:rPr>
          <w:sz w:val="14"/>
        </w:rPr>
        <w:t xml:space="preserve">For those seeking to remedy this situation, </w:t>
      </w:r>
      <w:r w:rsidRPr="00316E06">
        <w:rPr>
          <w:u w:val="single"/>
        </w:rPr>
        <w:t>reform at the federal level looks unlikely</w:t>
      </w:r>
      <w:r w:rsidRPr="00F46CD3">
        <w:rPr>
          <w:sz w:val="14"/>
        </w:rPr>
        <w:t xml:space="preserve"> at this point. </w:t>
      </w:r>
      <w:proofErr w:type="gramStart"/>
      <w:r w:rsidRPr="00F46CD3">
        <w:rPr>
          <w:sz w:val="14"/>
        </w:rPr>
        <w:t>n322</w:t>
      </w:r>
      <w:proofErr w:type="gramEnd"/>
      <w:r w:rsidRPr="00F46CD3">
        <w:rPr>
          <w:sz w:val="14"/>
        </w:rPr>
        <w:t xml:space="preserve"> Aside from recent steps taken by the government to recognize how mental illness may render an immigrant incompetent in removal proceedings, the movement of </w:t>
      </w:r>
      <w:r w:rsidRPr="00316E06">
        <w:rPr>
          <w:u w:val="single"/>
        </w:rPr>
        <w:t>the Trump administration has been toward reinforcing false perceptions about immigrant criminality and the need to remove immigrants as a result</w:t>
      </w:r>
      <w:r w:rsidRPr="00F46CD3">
        <w:rPr>
          <w:sz w:val="14"/>
        </w:rPr>
        <w:t xml:space="preserve">. </w:t>
      </w:r>
      <w:proofErr w:type="gramStart"/>
      <w:r w:rsidRPr="00F46CD3">
        <w:rPr>
          <w:sz w:val="14"/>
        </w:rPr>
        <w:t>n323</w:t>
      </w:r>
      <w:proofErr w:type="gramEnd"/>
      <w:r w:rsidRPr="00F46CD3">
        <w:rPr>
          <w:sz w:val="14"/>
        </w:rPr>
        <w:t xml:space="preserve"> </w:t>
      </w:r>
      <w:r w:rsidRPr="00316E06">
        <w:rPr>
          <w:u w:val="single"/>
        </w:rPr>
        <w:t>A restoration of health benefits taken away under the PRWORA also seems highly unlikely in a political environment in which Congress is debating how to repeal parts of the ACA</w:t>
      </w:r>
      <w:r w:rsidRPr="00F46CD3">
        <w:rPr>
          <w:sz w:val="14"/>
        </w:rPr>
        <w:t xml:space="preserve">. </w:t>
      </w:r>
      <w:proofErr w:type="gramStart"/>
      <w:r w:rsidRPr="00F46CD3">
        <w:rPr>
          <w:sz w:val="14"/>
        </w:rPr>
        <w:t>n324</w:t>
      </w:r>
      <w:proofErr w:type="gramEnd"/>
      <w:r w:rsidRPr="00F46CD3">
        <w:rPr>
          <w:sz w:val="14"/>
        </w:rPr>
        <w:t xml:space="preserve"> The current administration's approach is tragic, given the very good arguments recommending a return to full immigrant coverage, including undocumented coverage. </w:t>
      </w:r>
      <w:proofErr w:type="gramStart"/>
      <w:r w:rsidRPr="00F46CD3">
        <w:rPr>
          <w:sz w:val="14"/>
        </w:rPr>
        <w:t>n325</w:t>
      </w:r>
      <w:proofErr w:type="gramEnd"/>
      <w:r w:rsidRPr="00F46CD3">
        <w:rPr>
          <w:sz w:val="14"/>
        </w:rPr>
        <w:t xml:space="preserve"> </w:t>
      </w:r>
      <w:r w:rsidRPr="00316E06">
        <w:rPr>
          <w:u w:val="single"/>
        </w:rPr>
        <w:t>Poor immigrant health leads to spillover economic costs because there are risks to public health for untreated immigrants</w:t>
      </w:r>
      <w:r w:rsidRPr="00F46CD3">
        <w:rPr>
          <w:sz w:val="14"/>
        </w:rPr>
        <w:t xml:space="preserve">. For example, pregnant immigrant [*115] mothers have particular needs while giving birth to U.S. citizen children, </w:t>
      </w:r>
      <w:r w:rsidRPr="00316E06">
        <w:rPr>
          <w:u w:val="single"/>
        </w:rPr>
        <w:t>there is a chilling effect on immigrants who are otherwise authorized under the law to receive benefits, and there are particularly vulnerable groups such as the elderly and immigrants who already suffer from mental health issues, whose denial of coverage is unjust.</w:t>
      </w:r>
      <w:r w:rsidRPr="00F46CD3">
        <w:rPr>
          <w:sz w:val="14"/>
        </w:rPr>
        <w:t xml:space="preserve"> </w:t>
      </w:r>
      <w:proofErr w:type="gramStart"/>
      <w:r w:rsidRPr="00F46CD3">
        <w:rPr>
          <w:sz w:val="14"/>
        </w:rPr>
        <w:t>n326</w:t>
      </w:r>
      <w:proofErr w:type="gramEnd"/>
      <w:r w:rsidRPr="00F46CD3">
        <w:rPr>
          <w:sz w:val="14"/>
        </w:rPr>
        <w:t xml:space="preserve"> There has been good scholarship advocating for </w:t>
      </w:r>
      <w:r w:rsidRPr="00F46CD3">
        <w:rPr>
          <w:u w:val="single"/>
        </w:rPr>
        <w:t>the expansion of publicly-financed health benefits, including mental health benefits for undocumented children</w:t>
      </w:r>
      <w:r w:rsidRPr="00F46CD3">
        <w:rPr>
          <w:sz w:val="14"/>
        </w:rPr>
        <w:t xml:space="preserve">. n327 The particular vulnerability of children has been highlighted, since children are covered by a separate federal program, the Children's Health Insurance Program ("CHIP"), which also has a five-year bar for immigrants. </w:t>
      </w:r>
    </w:p>
    <w:p w:rsidR="00721D38" w:rsidRPr="00F933AF" w:rsidRDefault="00721D38" w:rsidP="00F933AF">
      <w:pPr>
        <w:rPr>
          <w:rFonts w:cs="Calibri"/>
        </w:rPr>
      </w:pPr>
    </w:p>
    <w:p w:rsidR="00057119" w:rsidRDefault="00057119" w:rsidP="00057119">
      <w:pPr>
        <w:pStyle w:val="Heading2"/>
      </w:pPr>
      <w:r>
        <w:t xml:space="preserve">Healthcare Adv CP </w:t>
      </w:r>
      <w:r w:rsidR="002D1EEF">
        <w:t>–</w:t>
      </w:r>
      <w:r>
        <w:t xml:space="preserve"> CHC</w:t>
      </w:r>
      <w:r w:rsidR="002D1EEF">
        <w:t xml:space="preserve">/FQHC </w:t>
      </w:r>
    </w:p>
    <w:p w:rsidR="002D1EEF" w:rsidRDefault="00D71D53" w:rsidP="002D1EEF">
      <w:pPr>
        <w:pStyle w:val="Heading3"/>
      </w:pPr>
      <w:r>
        <w:t>1nc</w:t>
      </w:r>
      <w:r w:rsidR="002B593D">
        <w:t xml:space="preserve"> V1</w:t>
      </w:r>
    </w:p>
    <w:p w:rsidR="00E21E86" w:rsidRPr="00E21E86" w:rsidRDefault="00E21E86" w:rsidP="00E21E86">
      <w:pPr>
        <w:pStyle w:val="Heading4"/>
      </w:pPr>
      <w:r>
        <w:t xml:space="preserve">Text: </w:t>
      </w:r>
      <w:r w:rsidRPr="00E21E86">
        <w:t>The United States Federal Government should substantially increase grant fund</w:t>
      </w:r>
      <w:r>
        <w:t>ing to community health clinics</w:t>
      </w:r>
    </w:p>
    <w:p w:rsidR="00057119" w:rsidRDefault="00057119" w:rsidP="00057119">
      <w:pPr>
        <w:pStyle w:val="Heading4"/>
      </w:pPr>
      <w:r>
        <w:t>CHC’s solve immigrant healthcare access- increasing funding is key</w:t>
      </w:r>
    </w:p>
    <w:p w:rsidR="00057119" w:rsidRPr="00350E53" w:rsidRDefault="00057119" w:rsidP="00057119">
      <w:r w:rsidRPr="00350E53">
        <w:rPr>
          <w:rStyle w:val="Style13ptBold"/>
        </w:rPr>
        <w:t>Wallace et al 16,</w:t>
      </w:r>
      <w:r w:rsidRPr="00350E53">
        <w:t xml:space="preserve">  (Steven P. Wallace, Maria-Elena Young, Michael A. Rodríguez, Amy Bonilla, Nadereh Pourat</w:t>
      </w:r>
      <w:r>
        <w:t>, “Community Health Centers Play a Critical Role in Caring for the Remaining Uninsured in the Affordable Care Act Era”, October 2016</w:t>
      </w:r>
      <w:r w:rsidRPr="00350E53">
        <w:t xml:space="preserve">, </w:t>
      </w:r>
      <w:r>
        <w:t>Health Policy Brief, UCLA Center for Health Policy Research</w:t>
      </w:r>
      <w:r w:rsidRPr="00350E53">
        <w:t>, http://healthpolicy.ucla.edu/publications/Documents/PDF/2016/FQHC_PB-oct2016.pdf)</w:t>
      </w:r>
    </w:p>
    <w:p w:rsidR="00057119" w:rsidRDefault="00057119" w:rsidP="00057119">
      <w:pPr>
        <w:rPr>
          <w:u w:val="single"/>
        </w:rPr>
      </w:pPr>
      <w:r w:rsidRPr="003058D6">
        <w:rPr>
          <w:u w:val="single"/>
        </w:rPr>
        <w:t>CHCs are primary care providers with</w:t>
      </w:r>
      <w:r>
        <w:rPr>
          <w:u w:val="single"/>
        </w:rPr>
        <w:t xml:space="preserve"> </w:t>
      </w:r>
      <w:r w:rsidRPr="003058D6">
        <w:rPr>
          <w:u w:val="single"/>
        </w:rPr>
        <w:t>a mission to serve low-income and</w:t>
      </w:r>
      <w:r>
        <w:rPr>
          <w:u w:val="single"/>
        </w:rPr>
        <w:t xml:space="preserve"> </w:t>
      </w:r>
      <w:r w:rsidRPr="003058D6">
        <w:rPr>
          <w:u w:val="single"/>
        </w:rPr>
        <w:t>underserved communities. Nationally, more</w:t>
      </w:r>
      <w:r>
        <w:rPr>
          <w:u w:val="single"/>
        </w:rPr>
        <w:t xml:space="preserve"> </w:t>
      </w:r>
      <w:r w:rsidRPr="003058D6">
        <w:rPr>
          <w:u w:val="single"/>
        </w:rPr>
        <w:t>than 6 million CHC patients (28 percent)</w:t>
      </w:r>
      <w:r>
        <w:rPr>
          <w:u w:val="single"/>
        </w:rPr>
        <w:t xml:space="preserve"> </w:t>
      </w:r>
      <w:r w:rsidRPr="003058D6">
        <w:rPr>
          <w:u w:val="single"/>
        </w:rPr>
        <w:t>were uninsured in 2014</w:t>
      </w:r>
      <w:proofErr w:type="gramStart"/>
      <w:r w:rsidRPr="003058D6">
        <w:rPr>
          <w:u w:val="single"/>
        </w:rPr>
        <w:t>,2</w:t>
      </w:r>
      <w:proofErr w:type="gramEnd"/>
      <w:r>
        <w:rPr>
          <w:u w:val="single"/>
        </w:rPr>
        <w:t xml:space="preserve"> </w:t>
      </w:r>
      <w:r w:rsidRPr="003058D6">
        <w:rPr>
          <w:u w:val="single"/>
        </w:rPr>
        <w:t>accounting for</w:t>
      </w:r>
      <w:r>
        <w:rPr>
          <w:u w:val="single"/>
        </w:rPr>
        <w:t xml:space="preserve"> </w:t>
      </w:r>
      <w:r w:rsidRPr="003058D6">
        <w:rPr>
          <w:u w:val="single"/>
        </w:rPr>
        <w:t>about one-third of all low-income uninsured</w:t>
      </w:r>
      <w:r>
        <w:rPr>
          <w:u w:val="single"/>
        </w:rPr>
        <w:t xml:space="preserve"> </w:t>
      </w:r>
      <w:r w:rsidRPr="003058D6">
        <w:rPr>
          <w:u w:val="single"/>
        </w:rPr>
        <w:t>persons nationally.</w:t>
      </w:r>
      <w:r w:rsidRPr="003058D6">
        <w:rPr>
          <w:sz w:val="10"/>
        </w:rPr>
        <w:t xml:space="preserve"> Significant numbers of uninsured patients are served by CHCs in the four states examined in this analysis: California, New York, Georgia, and Texas. Of the two states that did not expand Medicaid (Georgia and Texas), almost half (46 percent) of those served by CHCs were uninsured (Exhibit 1). CHCs in the expansion states of New York and California also had significant numbers of uninsured patients (19 percent and 27 percent, respectively). CHCs Have Served More Insured Patients Post-ACA Prior to ACA, some predicted that newly insured persons would leave CHCs for private providers. Instead, the number of insured patients served has increased over time, both nationally and in this study’s sample of CHCs in immigrant communities. </w:t>
      </w:r>
      <w:r w:rsidRPr="003058D6">
        <w:rPr>
          <w:u w:val="single"/>
        </w:rPr>
        <w:t>Nationally, the</w:t>
      </w:r>
      <w:r>
        <w:rPr>
          <w:u w:val="single"/>
        </w:rPr>
        <w:t xml:space="preserve"> </w:t>
      </w:r>
      <w:r w:rsidRPr="003058D6">
        <w:rPr>
          <w:u w:val="single"/>
        </w:rPr>
        <w:t>number of insured patients using CHCs rose</w:t>
      </w:r>
      <w:r>
        <w:rPr>
          <w:u w:val="single"/>
        </w:rPr>
        <w:t xml:space="preserve"> </w:t>
      </w:r>
      <w:r w:rsidRPr="003058D6">
        <w:rPr>
          <w:u w:val="single"/>
        </w:rPr>
        <w:t>from 12 million in 2010 to 16.5 million in</w:t>
      </w:r>
      <w:r>
        <w:rPr>
          <w:u w:val="single"/>
        </w:rPr>
        <w:t xml:space="preserve"> </w:t>
      </w:r>
      <w:r w:rsidRPr="003058D6">
        <w:rPr>
          <w:u w:val="single"/>
        </w:rPr>
        <w:t>2014, an increase of 35 percent.</w:t>
      </w:r>
      <w:r w:rsidRPr="003058D6">
        <w:rPr>
          <w:sz w:val="10"/>
        </w:rPr>
        <w:t xml:space="preserve">3 In all four states studied, the total number of insured patients increased as well, with the greatest growth in California (from 1.67 million to 2.70 million, a 61 percent increase), followed by New York (1.05 to 1.44 million, 37 percent increase); Texas (440,000 to 630,000, 43 percent increase); and Georgia (157,000 to 198,000, 26 percent increase) (Exhibit 2). The data shown in Exhibit 2 suggest that the demand for safety net services remains high in both expansion and nonexpansion states. </w:t>
      </w:r>
      <w:r w:rsidRPr="003058D6">
        <w:rPr>
          <w:u w:val="single"/>
        </w:rPr>
        <w:t>Most CHCs saw an increase in the number of</w:t>
      </w:r>
      <w:r>
        <w:rPr>
          <w:u w:val="single"/>
        </w:rPr>
        <w:t xml:space="preserve"> </w:t>
      </w:r>
      <w:r w:rsidRPr="003058D6">
        <w:rPr>
          <w:u w:val="single"/>
        </w:rPr>
        <w:t>insured patients, both because they retained</w:t>
      </w:r>
      <w:r>
        <w:rPr>
          <w:u w:val="single"/>
        </w:rPr>
        <w:t xml:space="preserve"> </w:t>
      </w:r>
      <w:r w:rsidRPr="003058D6">
        <w:rPr>
          <w:u w:val="single"/>
        </w:rPr>
        <w:t>previous patients who became insured and</w:t>
      </w:r>
      <w:r>
        <w:rPr>
          <w:u w:val="single"/>
        </w:rPr>
        <w:t xml:space="preserve"> </w:t>
      </w:r>
      <w:r w:rsidRPr="003058D6">
        <w:rPr>
          <w:u w:val="single"/>
        </w:rPr>
        <w:t>because they attracted new insured patients.</w:t>
      </w:r>
      <w:r>
        <w:rPr>
          <w:u w:val="single"/>
        </w:rPr>
        <w:t xml:space="preserve"> </w:t>
      </w:r>
      <w:r w:rsidRPr="003058D6">
        <w:rPr>
          <w:sz w:val="10"/>
        </w:rPr>
        <w:t xml:space="preserve">Interview respondents shared examples in which newly insured, long-time patients chose to continue seeking care at their organizations because of long-standing relationships and rapport. One respondent reported that some newly insured patients had tried out different providers and had returned to the CHC because of the perceived better quality of care. CHCs Continue to Serve Large Numbers of Patients Who Remain Uninsured </w:t>
      </w:r>
      <w:proofErr w:type="gramStart"/>
      <w:r w:rsidRPr="003058D6">
        <w:rPr>
          <w:sz w:val="10"/>
        </w:rPr>
        <w:t>The</w:t>
      </w:r>
      <w:proofErr w:type="gramEnd"/>
      <w:r w:rsidRPr="003058D6">
        <w:rPr>
          <w:sz w:val="10"/>
        </w:rPr>
        <w:t xml:space="preserve"> numbers of uninsured CHC patients are substantial across all four states in our study. In the nonexpansion states of Georgia and Texas, the total number of uninsured CHC patients increased from 2010 to 2014, while New York experienced a modest decline. Only California showed a significant decline in the number of uninsured served by CHCs, but more than 1 million patients remained uninsured (Exhibit 2). In Georgia and Texas, interview respondents pointed out that many of their current citizen or documented immigrant patients had incomes that were too high for them to qualify for Medicaid, but not high enough that they could qualify for federal marketplace subsidies because their states did not expand Medicaid.4 Likewise, some of those newly insured through the exchanges had high-deductible policies, which meant that they continued to use the subsidized primary care services of CHCs. Mean Percent of Federally Qualified Health Center Patients Who Were Uninsured, New York, California, Texas, and Georgia, 2014 Exhibit 1 56.0% 46.5% 40.4% 46.4% 31.9% 25.3% 27.5% 18.6% New York California Texas Georgia All clinics Interviewed sites Source: U.S. HRSA, Uniform Data System2 Number of Insured and Uninsured Patients (in Thousands) Served at Federally Qualified Health Centers, New York, California, Texas, and Georgia, 2010, 2012, 2014 Exhibit 2 CHCs Continue to Serve Many Uninsured Immigrants </w:t>
      </w:r>
      <w:r w:rsidRPr="003058D6">
        <w:rPr>
          <w:u w:val="single"/>
        </w:rPr>
        <w:t>Across all four states studied, CHCs reported</w:t>
      </w:r>
      <w:r>
        <w:rPr>
          <w:u w:val="single"/>
        </w:rPr>
        <w:t xml:space="preserve"> </w:t>
      </w:r>
      <w:r w:rsidRPr="003058D6">
        <w:rPr>
          <w:u w:val="single"/>
        </w:rPr>
        <w:t>that a common reason that patients were</w:t>
      </w:r>
      <w:r>
        <w:rPr>
          <w:u w:val="single"/>
        </w:rPr>
        <w:t xml:space="preserve"> </w:t>
      </w:r>
      <w:r w:rsidRPr="003058D6">
        <w:rPr>
          <w:u w:val="single"/>
        </w:rPr>
        <w:t>ineligible for insurance was their legal status.</w:t>
      </w:r>
      <w:r>
        <w:rPr>
          <w:u w:val="single"/>
        </w:rPr>
        <w:t xml:space="preserve"> </w:t>
      </w:r>
      <w:r w:rsidRPr="003058D6">
        <w:rPr>
          <w:u w:val="single"/>
        </w:rPr>
        <w:t>Over half of all immigrants nationally are</w:t>
      </w:r>
      <w:r>
        <w:rPr>
          <w:u w:val="single"/>
        </w:rPr>
        <w:t xml:space="preserve"> </w:t>
      </w:r>
      <w:r w:rsidRPr="003058D6">
        <w:rPr>
          <w:u w:val="single"/>
        </w:rPr>
        <w:t>not citizens and face barriers to coverage</w:t>
      </w:r>
      <w:r>
        <w:rPr>
          <w:u w:val="single"/>
        </w:rPr>
        <w:t xml:space="preserve"> </w:t>
      </w:r>
      <w:r w:rsidRPr="003058D6">
        <w:rPr>
          <w:u w:val="single"/>
        </w:rPr>
        <w:t>because of their legal status.5</w:t>
      </w:r>
      <w:r>
        <w:rPr>
          <w:u w:val="single"/>
        </w:rPr>
        <w:t xml:space="preserve"> </w:t>
      </w:r>
      <w:r w:rsidRPr="003058D6">
        <w:rPr>
          <w:sz w:val="10"/>
        </w:rPr>
        <w:t xml:space="preserve">Respondents in all four study states served individuals who were undocumented. In addition, in Georgia and Texas, some documented immigrants —such as recently arrived Lawful Permanent Residents and immigrants with Deferred Action for Childhood Arrivals (DACA)—also remained ineligible for insurance. Using the proportion of patients “best served in a language other than English” as a rough proxy for all immigrant patients,6 we found that </w:t>
      </w:r>
      <w:r w:rsidRPr="003058D6">
        <w:rPr>
          <w:u w:val="single"/>
        </w:rPr>
        <w:t>immigrants</w:t>
      </w:r>
      <w:r>
        <w:rPr>
          <w:u w:val="single"/>
        </w:rPr>
        <w:t xml:space="preserve"> </w:t>
      </w:r>
      <w:r w:rsidRPr="003058D6">
        <w:rPr>
          <w:u w:val="single"/>
        </w:rPr>
        <w:t>were an increasingly larger share of patients</w:t>
      </w:r>
      <w:r>
        <w:rPr>
          <w:u w:val="single"/>
        </w:rPr>
        <w:t xml:space="preserve"> </w:t>
      </w:r>
      <w:r w:rsidRPr="003058D6">
        <w:rPr>
          <w:u w:val="single"/>
        </w:rPr>
        <w:t>served by CHCs.</w:t>
      </w:r>
      <w:r w:rsidRPr="003058D6">
        <w:rPr>
          <w:sz w:val="10"/>
        </w:rPr>
        <w:t xml:space="preserve"> Between 2010 to 2014, the population of these patients grew from 4.7 million to 5.3 million persons nationally, a 12 percent increase. CHCs in our study states have estimated proportions of immigrants in their patient populations that are similar or higher to the proportions of immigrants in those states’ low-income populations7 (Exhibit 3). Short-Term Boost in Federal Grants Provided CHCs with Needed Support Both prior to the ACA and currently, the federal core grant7 for FQHCs from HRSA has been a primary source of funding to offset the costs of care for uninsured patients who pay on a sliding fee scale. A few CHCs have also received additional federal funding— such as family planning and Ryan White funds—that helps pay for the uninsured. 198 172 151 170 157 155 2,704 1,025 1,905 1,357 1,674 1,263 630 548 527 558 440 509 1,440 329 1,224 364 3,500 3,000 2,500 2,000 1,500 1,000 500 0 1,049 368 2010 2012 2014 New York 2010 2012 2014 California 2010 2012 2014 Texas 2010 2012 2014 Georgia Uninsured Insured Thousands Source: U.S. HRSA, Uniform Data System2 However, one of the most significant impacts of the ACA for CHCs was the influx of new targeted federal grants. Across all four states, but especially in nonexpansion states, these grants provided a needed infusion of resources for conducting outreach and meeting the ongoing needs of patients. </w:t>
      </w:r>
      <w:r w:rsidRPr="003058D6">
        <w:rPr>
          <w:u w:val="single"/>
        </w:rPr>
        <w:t>CHCs reported that service and infrastructure</w:t>
      </w:r>
      <w:r>
        <w:rPr>
          <w:u w:val="single"/>
        </w:rPr>
        <w:t xml:space="preserve"> </w:t>
      </w:r>
      <w:r w:rsidRPr="003058D6">
        <w:rPr>
          <w:u w:val="single"/>
        </w:rPr>
        <w:t>expansion grants increased capacity for new</w:t>
      </w:r>
      <w:r>
        <w:rPr>
          <w:u w:val="single"/>
        </w:rPr>
        <w:t xml:space="preserve"> </w:t>
      </w:r>
      <w:r w:rsidRPr="003058D6">
        <w:rPr>
          <w:u w:val="single"/>
        </w:rPr>
        <w:t>clinical services, such as pharmacy, behavioral</w:t>
      </w:r>
      <w:r>
        <w:rPr>
          <w:u w:val="single"/>
        </w:rPr>
        <w:t xml:space="preserve"> </w:t>
      </w:r>
      <w:r w:rsidRPr="003058D6">
        <w:rPr>
          <w:u w:val="single"/>
        </w:rPr>
        <w:t>health, and dental health. At some CHCs,</w:t>
      </w:r>
      <w:r>
        <w:rPr>
          <w:u w:val="single"/>
        </w:rPr>
        <w:t xml:space="preserve"> </w:t>
      </w:r>
      <w:r w:rsidRPr="003058D6">
        <w:rPr>
          <w:u w:val="single"/>
        </w:rPr>
        <w:t>these grants provided the opportunity to</w:t>
      </w:r>
      <w:r>
        <w:rPr>
          <w:u w:val="single"/>
        </w:rPr>
        <w:t xml:space="preserve"> </w:t>
      </w:r>
      <w:r w:rsidRPr="003058D6">
        <w:rPr>
          <w:u w:val="single"/>
        </w:rPr>
        <w:t>establish or expand services that were likely</w:t>
      </w:r>
      <w:r>
        <w:rPr>
          <w:u w:val="single"/>
        </w:rPr>
        <w:t xml:space="preserve"> </w:t>
      </w:r>
      <w:r w:rsidRPr="003058D6">
        <w:rPr>
          <w:u w:val="single"/>
        </w:rPr>
        <w:t>to increase revenue, such as pediatrics or</w:t>
      </w:r>
      <w:r>
        <w:rPr>
          <w:u w:val="single"/>
        </w:rPr>
        <w:t xml:space="preserve"> </w:t>
      </w:r>
      <w:r w:rsidRPr="003058D6">
        <w:rPr>
          <w:u w:val="single"/>
        </w:rPr>
        <w:t>obstetrics and gynecology</w:t>
      </w:r>
      <w:r w:rsidRPr="003058D6">
        <w:rPr>
          <w:sz w:val="10"/>
        </w:rPr>
        <w:t xml:space="preserve">, since children and pregnant women were more likely to have coverage under Medicaid. Grants were also used to recruit nonclinical staff in charge of supporting and growing community outreach, patient education, and care coordination. Despite new and ongoing sources of funding, </w:t>
      </w:r>
      <w:r w:rsidRPr="003058D6">
        <w:rPr>
          <w:u w:val="single"/>
        </w:rPr>
        <w:t>CHCs face significant financial challenges.</w:t>
      </w:r>
      <w:r>
        <w:rPr>
          <w:u w:val="single"/>
        </w:rPr>
        <w:t xml:space="preserve"> </w:t>
      </w:r>
      <w:r w:rsidRPr="003058D6">
        <w:rPr>
          <w:u w:val="single"/>
        </w:rPr>
        <w:t>Few CHCs have contingency plans for the</w:t>
      </w:r>
      <w:r>
        <w:rPr>
          <w:u w:val="single"/>
        </w:rPr>
        <w:t xml:space="preserve"> </w:t>
      </w:r>
      <w:r w:rsidRPr="003058D6">
        <w:rPr>
          <w:u w:val="single"/>
        </w:rPr>
        <w:t>reduction in enhanced funding scheduled</w:t>
      </w:r>
      <w:r>
        <w:rPr>
          <w:u w:val="single"/>
        </w:rPr>
        <w:t xml:space="preserve"> </w:t>
      </w:r>
      <w:r w:rsidRPr="003058D6">
        <w:rPr>
          <w:u w:val="single"/>
        </w:rPr>
        <w:t>to occur in 2017, as there is no ready source</w:t>
      </w:r>
      <w:r>
        <w:rPr>
          <w:u w:val="single"/>
        </w:rPr>
        <w:t xml:space="preserve"> </w:t>
      </w:r>
      <w:r w:rsidRPr="003058D6">
        <w:rPr>
          <w:u w:val="single"/>
        </w:rPr>
        <w:t>of replacement funds nor any simple way to</w:t>
      </w:r>
      <w:r>
        <w:rPr>
          <w:u w:val="single"/>
        </w:rPr>
        <w:t xml:space="preserve"> </w:t>
      </w:r>
      <w:r w:rsidRPr="003058D6">
        <w:rPr>
          <w:u w:val="single"/>
        </w:rPr>
        <w:t>reduce expenditures without impairing the</w:t>
      </w:r>
      <w:r>
        <w:rPr>
          <w:u w:val="single"/>
        </w:rPr>
        <w:t xml:space="preserve"> </w:t>
      </w:r>
      <w:r w:rsidRPr="003058D6">
        <w:rPr>
          <w:u w:val="single"/>
        </w:rPr>
        <w:t xml:space="preserve">ability to serve existing patients. </w:t>
      </w:r>
      <w:r w:rsidRPr="003058D6">
        <w:rPr>
          <w:sz w:val="10"/>
        </w:rPr>
        <w:t xml:space="preserve">Further, it is unclear what the financial impact may be on CHCs if Medicaid changes from a costbased reimbursement to a capitation or health outcome-based reimbursement. Respondents reported that their </w:t>
      </w:r>
      <w:r w:rsidRPr="003058D6">
        <w:rPr>
          <w:u w:val="single"/>
        </w:rPr>
        <w:t>organizations are not</w:t>
      </w:r>
      <w:r>
        <w:rPr>
          <w:u w:val="single"/>
        </w:rPr>
        <w:t xml:space="preserve"> </w:t>
      </w:r>
      <w:r w:rsidRPr="003058D6">
        <w:rPr>
          <w:u w:val="single"/>
        </w:rPr>
        <w:t>prepared for a shift from current payment</w:t>
      </w:r>
      <w:r>
        <w:rPr>
          <w:u w:val="single"/>
        </w:rPr>
        <w:t xml:space="preserve"> </w:t>
      </w:r>
      <w:r w:rsidRPr="003058D6">
        <w:rPr>
          <w:u w:val="single"/>
        </w:rPr>
        <w:t>systems that are based largely on patient</w:t>
      </w:r>
      <w:r>
        <w:rPr>
          <w:u w:val="single"/>
        </w:rPr>
        <w:t xml:space="preserve"> </w:t>
      </w:r>
      <w:r w:rsidRPr="003058D6">
        <w:rPr>
          <w:u w:val="single"/>
        </w:rPr>
        <w:t>visits to value-based payment systems that</w:t>
      </w:r>
      <w:r>
        <w:rPr>
          <w:u w:val="single"/>
        </w:rPr>
        <w:t xml:space="preserve"> </w:t>
      </w:r>
      <w:r w:rsidRPr="003058D6">
        <w:rPr>
          <w:u w:val="single"/>
        </w:rPr>
        <w:t>focus more on patient outcomes.8</w:t>
      </w:r>
      <w:r w:rsidRPr="003058D6">
        <w:rPr>
          <w:sz w:val="10"/>
        </w:rPr>
        <w:t xml:space="preserve"> Mean Percent of Federally Qualified Health Center Patients Best Served In a Language Other Than English, and Immigrants as a Percent of Low-Income Population, New York, California, Texas, and Georgia, 2014 Exhibit 3 13.0% 20.6% 10.8% 25.0% 36.7% 43.0% 52.8% 36.0% 38.1% New York California Texas Georgia All clinics Interviewed sites Immigrants as % of low-income population in state 21.3% 31.3% 26.9% Source: U.S. HRSA, Uniform Data System2 and U.S. Census American Community Survey5 ACA Funding Enabled CHCs to Expand Outreach and Enroll Uninsured Patients in Health Insurance Programs CHCs increased their numbers of insured patients through outreach and enrollment activities aimed at both their existing uninsured patients and new patients. Some </w:t>
      </w:r>
      <w:r w:rsidRPr="003058D6">
        <w:rPr>
          <w:u w:val="single"/>
        </w:rPr>
        <w:t>CHCs reported that they previously had not</w:t>
      </w:r>
      <w:r>
        <w:rPr>
          <w:u w:val="single"/>
        </w:rPr>
        <w:t xml:space="preserve"> </w:t>
      </w:r>
      <w:r w:rsidRPr="003058D6">
        <w:rPr>
          <w:u w:val="single"/>
        </w:rPr>
        <w:t>dedicated significant resources to outreach and</w:t>
      </w:r>
      <w:r>
        <w:rPr>
          <w:u w:val="single"/>
        </w:rPr>
        <w:t xml:space="preserve"> </w:t>
      </w:r>
      <w:r w:rsidRPr="003058D6">
        <w:rPr>
          <w:u w:val="single"/>
        </w:rPr>
        <w:t>enrollment, but that they used ACA funding</w:t>
      </w:r>
      <w:r>
        <w:rPr>
          <w:u w:val="single"/>
        </w:rPr>
        <w:t xml:space="preserve"> </w:t>
      </w:r>
      <w:r w:rsidRPr="003058D6">
        <w:rPr>
          <w:u w:val="single"/>
        </w:rPr>
        <w:t>to participate in community events to enroll</w:t>
      </w:r>
      <w:r>
        <w:rPr>
          <w:u w:val="single"/>
        </w:rPr>
        <w:t xml:space="preserve"> </w:t>
      </w:r>
      <w:r w:rsidRPr="003058D6">
        <w:rPr>
          <w:u w:val="single"/>
        </w:rPr>
        <w:t>significant numbers of new and existing</w:t>
      </w:r>
      <w:r>
        <w:rPr>
          <w:u w:val="single"/>
        </w:rPr>
        <w:t xml:space="preserve"> </w:t>
      </w:r>
      <w:r w:rsidRPr="003058D6">
        <w:rPr>
          <w:u w:val="single"/>
        </w:rPr>
        <w:t>patients in health insurance, at the same time</w:t>
      </w:r>
      <w:r>
        <w:rPr>
          <w:u w:val="single"/>
        </w:rPr>
        <w:t xml:space="preserve"> </w:t>
      </w:r>
      <w:r w:rsidRPr="003058D6">
        <w:rPr>
          <w:u w:val="single"/>
        </w:rPr>
        <w:t>increasing their visibility in the community.</w:t>
      </w:r>
      <w:r>
        <w:rPr>
          <w:u w:val="single"/>
        </w:rPr>
        <w:t xml:space="preserve"> </w:t>
      </w:r>
      <w:r w:rsidRPr="003058D6">
        <w:rPr>
          <w:sz w:val="10"/>
        </w:rPr>
        <w:t xml:space="preserve">Many CHCs reported that the passage of the ACA resulted in increased public awareness about available health insurance. Even in states that did not expand Medicaid, CHCs successfully enrolled many children and adults who were previously eligible for Medicaid or CHIP (Children’s Health Insurance Program) but were not enrolled. CHCs Continue to Face Infrastructure and Financial Capacity Limits Many </w:t>
      </w:r>
      <w:r w:rsidRPr="003058D6">
        <w:rPr>
          <w:u w:val="single"/>
        </w:rPr>
        <w:t>CHCs reported that limitations in</w:t>
      </w:r>
      <w:r>
        <w:rPr>
          <w:u w:val="single"/>
        </w:rPr>
        <w:t xml:space="preserve"> </w:t>
      </w:r>
      <w:r w:rsidRPr="003058D6">
        <w:rPr>
          <w:u w:val="single"/>
        </w:rPr>
        <w:t>infrastructure, including clinical space and</w:t>
      </w:r>
      <w:r>
        <w:rPr>
          <w:u w:val="single"/>
        </w:rPr>
        <w:t xml:space="preserve"> </w:t>
      </w:r>
      <w:r w:rsidRPr="003058D6">
        <w:rPr>
          <w:u w:val="single"/>
        </w:rPr>
        <w:t>equipment, posed an obstacle to expanding</w:t>
      </w:r>
      <w:r>
        <w:rPr>
          <w:u w:val="single"/>
        </w:rPr>
        <w:t xml:space="preserve"> </w:t>
      </w:r>
      <w:r w:rsidRPr="003058D6">
        <w:rPr>
          <w:u w:val="single"/>
        </w:rPr>
        <w:t>services. Some of the smaller CHCs reported</w:t>
      </w:r>
      <w:r>
        <w:rPr>
          <w:u w:val="single"/>
        </w:rPr>
        <w:t xml:space="preserve"> </w:t>
      </w:r>
      <w:r w:rsidRPr="003058D6">
        <w:rPr>
          <w:u w:val="single"/>
        </w:rPr>
        <w:t>that the limited availability of capital funding</w:t>
      </w:r>
      <w:r>
        <w:rPr>
          <w:u w:val="single"/>
        </w:rPr>
        <w:t xml:space="preserve"> </w:t>
      </w:r>
      <w:r w:rsidRPr="003058D6">
        <w:rPr>
          <w:u w:val="single"/>
        </w:rPr>
        <w:t>grants and the competition for them created</w:t>
      </w:r>
      <w:r>
        <w:rPr>
          <w:u w:val="single"/>
        </w:rPr>
        <w:t xml:space="preserve"> </w:t>
      </w:r>
      <w:r w:rsidRPr="003058D6">
        <w:rPr>
          <w:u w:val="single"/>
        </w:rPr>
        <w:t>a barrier to expanding physical capacity.</w:t>
      </w:r>
      <w:r>
        <w:rPr>
          <w:u w:val="single"/>
        </w:rPr>
        <w:t xml:space="preserve"> </w:t>
      </w:r>
      <w:r w:rsidRPr="003058D6">
        <w:rPr>
          <w:u w:val="single"/>
        </w:rPr>
        <w:t>A significant challenge for CHCs was that</w:t>
      </w:r>
      <w:r>
        <w:rPr>
          <w:u w:val="single"/>
        </w:rPr>
        <w:t xml:space="preserve"> </w:t>
      </w:r>
      <w:r w:rsidRPr="003058D6">
        <w:rPr>
          <w:u w:val="single"/>
        </w:rPr>
        <w:t>expansion of services required new funding,</w:t>
      </w:r>
      <w:r>
        <w:rPr>
          <w:u w:val="single"/>
        </w:rPr>
        <w:t xml:space="preserve"> </w:t>
      </w:r>
      <w:r w:rsidRPr="003058D6">
        <w:rPr>
          <w:u w:val="single"/>
        </w:rPr>
        <w:t>but generating new funding often required</w:t>
      </w:r>
      <w:r>
        <w:rPr>
          <w:u w:val="single"/>
        </w:rPr>
        <w:t xml:space="preserve"> </w:t>
      </w:r>
      <w:r w:rsidRPr="003058D6">
        <w:rPr>
          <w:u w:val="single"/>
        </w:rPr>
        <w:t>increased revenue-generating services.</w:t>
      </w:r>
      <w:r w:rsidRPr="003058D6">
        <w:rPr>
          <w:sz w:val="10"/>
        </w:rPr>
        <w:t xml:space="preserve"> And growth had its own costs, such as the need for increased administrative capacity to enroll more patients in insurance and to implement organizational policies (e.g., the use of electronic health records for monitoring quality and outcome indicators). Each CHC pursued financial strategies tailored to its organizational needs. These included engaging in strategic planning, developing systems for long-term planning, conducting financial modeling using the CHC’s own data, growing financial reserves, and improving billing and reimbursement processes. CHCs Must Carefully Balance Their Payer Mix and Services While HRSA core grants are essential to CHCs, most seek Medicaid, Medicare, and private insurance patients, as well as and public and private grants. Many CHCs mentioned that adult primary care receives the least amount of federal funding and is also the most difficult service area in which to obtain additional foundation grants. To maximize the number of uninsured patients they can afford to serve, many CHCs share resources among those clinic sites that have more insured patients and services and those that have higher levels of uncompensated care. Services that were revenue generators in some states were revenue losers in others; for example, Medicaid coverage for dental services is different in each state. As a result, the optimal balance of payer mix and services was specific to organizations as well as sites. CHCs Faced Workforce Recruitment and Retention Challenges CHCs across all four states reported that challenges to recruiting and retaining staff led to more financial and capacity challenges. </w:t>
      </w:r>
      <w:r w:rsidRPr="003058D6">
        <w:rPr>
          <w:u w:val="single"/>
        </w:rPr>
        <w:t>One of the most common difficulties was the</w:t>
      </w:r>
      <w:r>
        <w:rPr>
          <w:u w:val="single"/>
        </w:rPr>
        <w:t xml:space="preserve"> </w:t>
      </w:r>
      <w:r w:rsidRPr="003058D6">
        <w:rPr>
          <w:u w:val="single"/>
        </w:rPr>
        <w:t>ability to provide competitive salaries for</w:t>
      </w:r>
      <w:r>
        <w:rPr>
          <w:u w:val="single"/>
        </w:rPr>
        <w:t xml:space="preserve"> </w:t>
      </w:r>
      <w:r w:rsidRPr="003058D6">
        <w:rPr>
          <w:u w:val="single"/>
        </w:rPr>
        <w:t>hiring and retaining clinical staff</w:t>
      </w:r>
      <w:proofErr w:type="gramStart"/>
      <w:r w:rsidRPr="003058D6">
        <w:rPr>
          <w:u w:val="single"/>
        </w:rPr>
        <w:t>,9</w:t>
      </w:r>
      <w:proofErr w:type="gramEnd"/>
      <w:r>
        <w:rPr>
          <w:u w:val="single"/>
        </w:rPr>
        <w:t xml:space="preserve"> </w:t>
      </w:r>
      <w:r w:rsidRPr="003058D6">
        <w:rPr>
          <w:u w:val="single"/>
        </w:rPr>
        <w:t>who were</w:t>
      </w:r>
      <w:r>
        <w:rPr>
          <w:u w:val="single"/>
        </w:rPr>
        <w:t xml:space="preserve"> </w:t>
      </w:r>
      <w:r w:rsidRPr="003058D6">
        <w:rPr>
          <w:u w:val="single"/>
        </w:rPr>
        <w:t>being recruited by private sector providers</w:t>
      </w:r>
      <w:r>
        <w:rPr>
          <w:u w:val="single"/>
        </w:rPr>
        <w:t xml:space="preserve"> </w:t>
      </w:r>
      <w:r w:rsidRPr="003058D6">
        <w:rPr>
          <w:u w:val="single"/>
        </w:rPr>
        <w:t>increasing staffing due to an influx of insured</w:t>
      </w:r>
      <w:r>
        <w:rPr>
          <w:u w:val="single"/>
        </w:rPr>
        <w:t xml:space="preserve"> </w:t>
      </w:r>
      <w:r w:rsidRPr="003058D6">
        <w:rPr>
          <w:u w:val="single"/>
        </w:rPr>
        <w:t>patients.</w:t>
      </w:r>
      <w:r w:rsidRPr="003058D6">
        <w:rPr>
          <w:sz w:val="10"/>
        </w:rPr>
        <w:t xml:space="preserve"> Because of the low-income and often immigrant patient populations of CHCs, respondents noted that they had the additional challenge of identifying employees who were culturally competent and embraced the CHC’s mission. Workforce shortages often prevented or delayed the expansion of services, even when there was adequate space and patient demand. Some sites reported using per diem providers to fill in gaps or sharing providers with a local hospital or another CHC. CHCs faced challenges in hiring sufficient administrative staff for effective billing and reimbursement, documenting and tracking service quality and patient outcome indicators, and grant writing. New IT systems increased the data available but also created new specialized staffing needs. Several CHCs reported that responding to grant opportunities required staff to collect data and prepare reports on top of their daily workload. Increased patient loads also required administrative staff to take on more intake duties, care coordination, and case management. On the other hand, ACA funds for marketplace navigators and outreach staff relieved some financial pressure on many organizations. In some cases, it freed up discretionary funds that had been used for outreach and enrollment to be used for other high-priority services. Policy Implications and Solutions </w:t>
      </w:r>
      <w:r w:rsidRPr="003058D6">
        <w:rPr>
          <w:u w:val="single"/>
        </w:rPr>
        <w:t>CHCs continue to be key providers of</w:t>
      </w:r>
      <w:r>
        <w:rPr>
          <w:u w:val="single"/>
        </w:rPr>
        <w:t xml:space="preserve"> </w:t>
      </w:r>
      <w:r w:rsidRPr="003058D6">
        <w:rPr>
          <w:u w:val="single"/>
        </w:rPr>
        <w:t>primary care to the remaining uninsured</w:t>
      </w:r>
      <w:r>
        <w:rPr>
          <w:u w:val="single"/>
        </w:rPr>
        <w:t xml:space="preserve"> </w:t>
      </w:r>
      <w:r w:rsidRPr="003058D6">
        <w:rPr>
          <w:u w:val="single"/>
        </w:rPr>
        <w:t>in the ACA era. Fostering a robust CHC</w:t>
      </w:r>
      <w:r>
        <w:rPr>
          <w:u w:val="single"/>
        </w:rPr>
        <w:t xml:space="preserve"> </w:t>
      </w:r>
      <w:r w:rsidRPr="003058D6">
        <w:rPr>
          <w:u w:val="single"/>
        </w:rPr>
        <w:t>delivery system requires continued public</w:t>
      </w:r>
      <w:r>
        <w:rPr>
          <w:u w:val="single"/>
        </w:rPr>
        <w:t xml:space="preserve"> </w:t>
      </w:r>
      <w:r w:rsidRPr="003058D6">
        <w:rPr>
          <w:u w:val="single"/>
        </w:rPr>
        <w:t>policy effort, including the following:</w:t>
      </w:r>
      <w:r>
        <w:rPr>
          <w:u w:val="single"/>
        </w:rPr>
        <w:t xml:space="preserve"> </w:t>
      </w:r>
      <w:r w:rsidRPr="003058D6">
        <w:rPr>
          <w:u w:val="single"/>
        </w:rPr>
        <w:t>Maintain and enhance CHC core funding.</w:t>
      </w:r>
      <w:r>
        <w:rPr>
          <w:u w:val="single"/>
        </w:rPr>
        <w:t xml:space="preserve"> </w:t>
      </w:r>
      <w:r w:rsidRPr="003058D6">
        <w:rPr>
          <w:u w:val="single"/>
        </w:rPr>
        <w:t>The ACA temporarily provided enhanced</w:t>
      </w:r>
      <w:r>
        <w:rPr>
          <w:u w:val="single"/>
        </w:rPr>
        <w:t xml:space="preserve"> </w:t>
      </w:r>
      <w:r w:rsidRPr="003058D6">
        <w:rPr>
          <w:u w:val="single"/>
        </w:rPr>
        <w:t>funding for CHCs to help them expand</w:t>
      </w:r>
      <w:r>
        <w:rPr>
          <w:u w:val="single"/>
        </w:rPr>
        <w:t xml:space="preserve"> </w:t>
      </w:r>
      <w:r w:rsidRPr="003058D6">
        <w:rPr>
          <w:u w:val="single"/>
        </w:rPr>
        <w:t>services, under the assumption that having</w:t>
      </w:r>
      <w:r>
        <w:rPr>
          <w:u w:val="single"/>
        </w:rPr>
        <w:t xml:space="preserve"> </w:t>
      </w:r>
      <w:r w:rsidRPr="003058D6">
        <w:rPr>
          <w:u w:val="single"/>
        </w:rPr>
        <w:t>more insured patients would make a longterm</w:t>
      </w:r>
      <w:r>
        <w:rPr>
          <w:u w:val="single"/>
        </w:rPr>
        <w:t xml:space="preserve"> </w:t>
      </w:r>
      <w:r w:rsidRPr="003058D6">
        <w:rPr>
          <w:u w:val="single"/>
        </w:rPr>
        <w:t>boost unnecessary.</w:t>
      </w:r>
      <w:r w:rsidRPr="003058D6">
        <w:rPr>
          <w:sz w:val="10"/>
        </w:rPr>
        <w:t xml:space="preserve"> The enhanced funding, which accounts for 70 percent of direct federal funding to CHCs</w:t>
      </w:r>
      <w:proofErr w:type="gramStart"/>
      <w:r w:rsidRPr="003058D6">
        <w:rPr>
          <w:sz w:val="10"/>
        </w:rPr>
        <w:t>,7</w:t>
      </w:r>
      <w:proofErr w:type="gramEnd"/>
      <w:r w:rsidRPr="003058D6">
        <w:rPr>
          <w:sz w:val="10"/>
        </w:rPr>
        <w:t xml:space="preserve"> is set to end after Fiscal Year 2017. But </w:t>
      </w:r>
      <w:r w:rsidRPr="003058D6">
        <w:rPr>
          <w:u w:val="single"/>
        </w:rPr>
        <w:t>the large</w:t>
      </w:r>
      <w:r>
        <w:rPr>
          <w:u w:val="single"/>
        </w:rPr>
        <w:t xml:space="preserve"> </w:t>
      </w:r>
      <w:r w:rsidRPr="003058D6">
        <w:rPr>
          <w:u w:val="single"/>
        </w:rPr>
        <w:t>numbers of uninsured patients still served by</w:t>
      </w:r>
      <w:r>
        <w:rPr>
          <w:u w:val="single"/>
        </w:rPr>
        <w:t xml:space="preserve"> </w:t>
      </w:r>
      <w:r w:rsidRPr="003058D6">
        <w:rPr>
          <w:u w:val="single"/>
        </w:rPr>
        <w:t>CHCs makes a permanent boost in the federal</w:t>
      </w:r>
      <w:r>
        <w:rPr>
          <w:u w:val="single"/>
        </w:rPr>
        <w:t xml:space="preserve"> </w:t>
      </w:r>
      <w:r w:rsidRPr="003058D6">
        <w:rPr>
          <w:u w:val="single"/>
        </w:rPr>
        <w:t>core grant necessary to avoid cuts to services</w:t>
      </w:r>
      <w:r>
        <w:rPr>
          <w:u w:val="single"/>
        </w:rPr>
        <w:t xml:space="preserve"> </w:t>
      </w:r>
      <w:r w:rsidRPr="003058D6">
        <w:rPr>
          <w:u w:val="single"/>
        </w:rPr>
        <w:t>available to the remaining uninsured.</w:t>
      </w:r>
    </w:p>
    <w:p w:rsidR="00057119" w:rsidRDefault="002B593D" w:rsidP="002B593D">
      <w:pPr>
        <w:pStyle w:val="Heading3"/>
      </w:pPr>
      <w:r>
        <w:t>1nc V2</w:t>
      </w:r>
    </w:p>
    <w:p w:rsidR="002B593D" w:rsidRDefault="002B593D" w:rsidP="002B593D">
      <w:pPr>
        <w:pStyle w:val="Heading4"/>
      </w:pPr>
      <w:r>
        <w:t>Text: Community Health Centers should</w:t>
      </w:r>
    </w:p>
    <w:p w:rsidR="002B593D" w:rsidRDefault="002B593D" w:rsidP="002B593D">
      <w:pPr>
        <w:pStyle w:val="Heading4"/>
        <w:numPr>
          <w:ilvl w:val="0"/>
          <w:numId w:val="13"/>
        </w:numPr>
      </w:pPr>
      <w:proofErr w:type="gramStart"/>
      <w:r>
        <w:t>educate</w:t>
      </w:r>
      <w:proofErr w:type="gramEnd"/>
      <w:r>
        <w:t xml:space="preserve"> immigrant communities to encourage the use of available public health services</w:t>
      </w:r>
    </w:p>
    <w:p w:rsidR="002B593D" w:rsidRDefault="002B593D" w:rsidP="002B593D">
      <w:pPr>
        <w:pStyle w:val="Heading4"/>
        <w:numPr>
          <w:ilvl w:val="0"/>
          <w:numId w:val="13"/>
        </w:numPr>
      </w:pPr>
      <w:proofErr w:type="gramStart"/>
      <w:r>
        <w:t>train</w:t>
      </w:r>
      <w:proofErr w:type="gramEnd"/>
      <w:r>
        <w:t xml:space="preserve"> staff and providers to address gaps in knowledge about immigrants</w:t>
      </w:r>
    </w:p>
    <w:p w:rsidR="002B593D" w:rsidRDefault="002B593D" w:rsidP="002B593D">
      <w:pPr>
        <w:pStyle w:val="Heading4"/>
        <w:numPr>
          <w:ilvl w:val="0"/>
          <w:numId w:val="13"/>
        </w:numPr>
      </w:pPr>
      <w:proofErr w:type="gramStart"/>
      <w:r>
        <w:t>review</w:t>
      </w:r>
      <w:proofErr w:type="gramEnd"/>
      <w:r>
        <w:t xml:space="preserve"> current forms and applications to ensure only necessary information is requested</w:t>
      </w:r>
    </w:p>
    <w:p w:rsidR="002B593D" w:rsidRDefault="002B593D" w:rsidP="002B593D">
      <w:pPr>
        <w:pStyle w:val="Heading4"/>
        <w:numPr>
          <w:ilvl w:val="0"/>
          <w:numId w:val="13"/>
        </w:numPr>
      </w:pPr>
      <w:proofErr w:type="gramStart"/>
      <w:r>
        <w:t>strengthen</w:t>
      </w:r>
      <w:proofErr w:type="gramEnd"/>
      <w:r>
        <w:t xml:space="preserve"> privacy policies regarding patient information</w:t>
      </w:r>
    </w:p>
    <w:p w:rsidR="002B593D" w:rsidRDefault="002B593D" w:rsidP="002B593D">
      <w:pPr>
        <w:pStyle w:val="Heading4"/>
        <w:numPr>
          <w:ilvl w:val="0"/>
          <w:numId w:val="13"/>
        </w:numPr>
      </w:pPr>
      <w:proofErr w:type="gramStart"/>
      <w:r>
        <w:t>increase</w:t>
      </w:r>
      <w:proofErr w:type="gramEnd"/>
      <w:r>
        <w:t xml:space="preserve"> screening and use of Emergency Medicaid</w:t>
      </w:r>
    </w:p>
    <w:p w:rsidR="002B593D" w:rsidRDefault="002B593D" w:rsidP="002B593D">
      <w:pPr>
        <w:pStyle w:val="Heading4"/>
        <w:numPr>
          <w:ilvl w:val="0"/>
          <w:numId w:val="13"/>
        </w:numPr>
      </w:pPr>
      <w:proofErr w:type="gramStart"/>
      <w:r>
        <w:t>increase</w:t>
      </w:r>
      <w:proofErr w:type="gramEnd"/>
      <w:r>
        <w:t xml:space="preserve"> cultural competence and language access capacity</w:t>
      </w:r>
    </w:p>
    <w:p w:rsidR="002B593D" w:rsidRPr="0002678A" w:rsidRDefault="002B593D" w:rsidP="002B593D"/>
    <w:p w:rsidR="002B593D" w:rsidRDefault="002B593D" w:rsidP="002B593D">
      <w:pPr>
        <w:pStyle w:val="Heading4"/>
      </w:pPr>
      <w:r>
        <w:t>The CP solves the entirety of the aff—encourages use of public health services, informs immigrants of their rights, rebuilds community trust, and resolves language barriers</w:t>
      </w:r>
    </w:p>
    <w:p w:rsidR="002B593D" w:rsidRPr="003C411A" w:rsidRDefault="002B593D" w:rsidP="002B593D">
      <w:r>
        <w:rPr>
          <w:b/>
        </w:rPr>
        <w:t xml:space="preserve">Ambegaokar 15 </w:t>
      </w:r>
      <w:r w:rsidRPr="005F595E">
        <w:rPr>
          <w:sz w:val="18"/>
          <w:szCs w:val="18"/>
        </w:rPr>
        <w:t xml:space="preserve">(Sonal Ambegaokar, member of the National Health Law Program (NHeLP), Partnership for Public Health Law: Advancing Public Health </w:t>
      </w:r>
      <w:proofErr w:type="gramStart"/>
      <w:r w:rsidRPr="005F595E">
        <w:rPr>
          <w:sz w:val="18"/>
          <w:szCs w:val="18"/>
        </w:rPr>
        <w:t>Through</w:t>
      </w:r>
      <w:proofErr w:type="gramEnd"/>
      <w:r w:rsidRPr="005F595E">
        <w:rPr>
          <w:sz w:val="18"/>
          <w:szCs w:val="18"/>
        </w:rPr>
        <w:t xml:space="preserve"> Law, 2015, “Opportunities for Maximizing Revenue and Access to Care for Immigration Populations,”</w:t>
      </w:r>
      <w:r>
        <w:rPr>
          <w:sz w:val="18"/>
          <w:szCs w:val="18"/>
        </w:rPr>
        <w:t xml:space="preserve"> pg. 7-10</w:t>
      </w:r>
      <w:r w:rsidRPr="005F595E">
        <w:rPr>
          <w:sz w:val="18"/>
          <w:szCs w:val="18"/>
        </w:rPr>
        <w:t>, http://www.astho.org/Public-Policy/Public-Health-Law/Access-to-Care-for-Immigrant-Populations-Overview/)</w:t>
      </w:r>
      <w:r>
        <w:rPr>
          <w:sz w:val="18"/>
          <w:szCs w:val="18"/>
        </w:rPr>
        <w:t>//jy</w:t>
      </w:r>
    </w:p>
    <w:p w:rsidR="002B593D" w:rsidRDefault="002B593D" w:rsidP="002B593D">
      <w:pPr>
        <w:rPr>
          <w:sz w:val="12"/>
        </w:rPr>
      </w:pPr>
      <w:r w:rsidRPr="00995D2E">
        <w:rPr>
          <w:sz w:val="12"/>
        </w:rPr>
        <w:t xml:space="preserve">Below are suggested </w:t>
      </w:r>
      <w:r w:rsidRPr="00D31E14">
        <w:rPr>
          <w:u w:val="single"/>
        </w:rPr>
        <w:t>best practices for CHCs</w:t>
      </w:r>
      <w:r w:rsidRPr="00995D2E">
        <w:rPr>
          <w:sz w:val="12"/>
        </w:rPr>
        <w:t xml:space="preserve"> and LHDs </w:t>
      </w:r>
      <w:r w:rsidRPr="00D31E14">
        <w:rPr>
          <w:u w:val="single"/>
        </w:rPr>
        <w:t>with patient populations that include immigrants and immigrant family members to help ensure linguistic and culturally competent care and identifying potential revenue sources for uninsured immigrants. 1. Educate and outreach to immigrant communities to allay fears and encourage the use of all available public health services</w:t>
      </w:r>
      <w:r w:rsidRPr="00995D2E">
        <w:rPr>
          <w:sz w:val="12"/>
        </w:rPr>
        <w:t xml:space="preserve">. </w:t>
      </w:r>
      <w:r w:rsidRPr="00995D2E">
        <w:rPr>
          <w:sz w:val="12"/>
        </w:rPr>
        <w:sym w:font="Symbol" w:char="F0B7"/>
      </w:r>
      <w:r w:rsidRPr="00995D2E">
        <w:rPr>
          <w:sz w:val="12"/>
        </w:rPr>
        <w:t xml:space="preserve"> Develop culturally and linguistically appropriate outreach and education to patients to </w:t>
      </w:r>
      <w:r w:rsidRPr="00934B4A">
        <w:rPr>
          <w:u w:val="single"/>
        </w:rPr>
        <w:t>educate them about health services and programs for which immigrants are eligible or that are available regardless of status</w:t>
      </w:r>
      <w:r w:rsidRPr="00995D2E">
        <w:rPr>
          <w:sz w:val="12"/>
        </w:rPr>
        <w:t xml:space="preserve">. 37 8 o For example, use trusted messengers or trusted health educators in outreach and enrollment efforts. For example, the Promotoras de Salud model of health educators is an example of an effective approach in reaching Hispanic immigrants as the educators themselves are immigrants and live in the communities they educate. 38 </w:t>
      </w:r>
      <w:r w:rsidRPr="00995D2E">
        <w:rPr>
          <w:sz w:val="12"/>
        </w:rPr>
        <w:sym w:font="Symbol" w:char="F0B7"/>
      </w:r>
      <w:r w:rsidRPr="00995D2E">
        <w:rPr>
          <w:sz w:val="12"/>
        </w:rPr>
        <w:t xml:space="preserve"> </w:t>
      </w:r>
      <w:r w:rsidRPr="00DE4CD6">
        <w:rPr>
          <w:u w:val="single"/>
        </w:rPr>
        <w:t>Develop consumer friendly materials that directly address immigrants’ fears about public charge, reporting of their information to immigration authorities and other myths that can be dispelled through education.</w:t>
      </w:r>
      <w:r w:rsidRPr="00995D2E">
        <w:rPr>
          <w:sz w:val="12"/>
        </w:rPr>
        <w:t xml:space="preserve"> </w:t>
      </w:r>
      <w:r w:rsidRPr="00995D2E">
        <w:rPr>
          <w:sz w:val="12"/>
        </w:rPr>
        <w:sym w:font="Symbol" w:char="F0B7"/>
      </w:r>
      <w:r w:rsidRPr="00995D2E">
        <w:rPr>
          <w:sz w:val="12"/>
        </w:rPr>
        <w:t xml:space="preserve"> Educate immigration attorneys in the community that they should not be deterring immigrants from seeking care, as health is not a public charge. </w:t>
      </w:r>
      <w:r w:rsidRPr="00D31E14">
        <w:rPr>
          <w:u w:val="single"/>
        </w:rPr>
        <w:t xml:space="preserve">2. Assess and train clinic staff, enrollment assisters, and providers to address gaps in knowledge about immigrants. </w:t>
      </w:r>
      <w:r w:rsidRPr="00995D2E">
        <w:rPr>
          <w:sz w:val="12"/>
        </w:rPr>
        <w:sym w:font="Symbol" w:char="F0B7"/>
      </w:r>
      <w:r w:rsidRPr="00995D2E">
        <w:rPr>
          <w:sz w:val="12"/>
        </w:rPr>
        <w:t xml:space="preserve"> As a precursor to training, conduct an informal survey of staff and patients about their perceived beliefs and understanding of immigrants’ eligibility for health services and barriers to seeking care. Develop training and materials that specifically address common concerns or misinformation. </w:t>
      </w:r>
      <w:r w:rsidRPr="00995D2E">
        <w:rPr>
          <w:sz w:val="12"/>
        </w:rPr>
        <w:sym w:font="Symbol" w:char="F0B7"/>
      </w:r>
      <w:r w:rsidRPr="00995D2E">
        <w:rPr>
          <w:sz w:val="12"/>
        </w:rPr>
        <w:t xml:space="preserve"> </w:t>
      </w:r>
      <w:r w:rsidRPr="00DE4CD6">
        <w:rPr>
          <w:u w:val="single"/>
        </w:rPr>
        <w:t>Work with a local consumer health or immigrant rights’ advocacy group to develop a training curriculum about the different health programs and services for which immigrants may be eligible</w:t>
      </w:r>
      <w:r w:rsidRPr="00995D2E">
        <w:rPr>
          <w:sz w:val="12"/>
        </w:rPr>
        <w:t xml:space="preserve">. </w:t>
      </w:r>
      <w:r w:rsidRPr="00995D2E">
        <w:rPr>
          <w:sz w:val="12"/>
        </w:rPr>
        <w:sym w:font="Symbol" w:char="F0B7"/>
      </w:r>
      <w:r w:rsidRPr="00995D2E">
        <w:rPr>
          <w:sz w:val="12"/>
        </w:rPr>
        <w:t xml:space="preserve"> </w:t>
      </w:r>
      <w:r w:rsidRPr="00DE4CD6">
        <w:rPr>
          <w:u w:val="single"/>
        </w:rPr>
        <w:t>Provide training regarding immigrants’ eligibility for programs to enrollment assisters,</w:t>
      </w:r>
      <w:r w:rsidRPr="00995D2E">
        <w:rPr>
          <w:sz w:val="12"/>
        </w:rPr>
        <w:t xml:space="preserve"> all clinic staff (including at the front desk), as well as providers, who are often most trusted by immigrants. </w:t>
      </w:r>
      <w:r w:rsidRPr="00995D2E">
        <w:rPr>
          <w:sz w:val="12"/>
        </w:rPr>
        <w:sym w:font="Symbol" w:char="F0B7"/>
      </w:r>
      <w:r w:rsidRPr="00995D2E">
        <w:rPr>
          <w:sz w:val="12"/>
        </w:rPr>
        <w:t xml:space="preserve"> Connect patients to a health consumer ombudsman or advocacy group in the community. Immigrants may need additional help applying for coverage as they are often incorrectly denied coverage because eligibility workers often misunderstand or misapply immigrant eligibility rules or information is not translated. </w:t>
      </w:r>
      <w:r w:rsidRPr="00D31E14">
        <w:rPr>
          <w:u w:val="single"/>
        </w:rPr>
        <w:t>3. Review current forms or applications to make sure only necessary information is requested to avoid deterring immigrant patients from applying or seeking care</w:t>
      </w:r>
      <w:r w:rsidRPr="00995D2E">
        <w:rPr>
          <w:sz w:val="12"/>
        </w:rPr>
        <w:t xml:space="preserve">. </w:t>
      </w:r>
      <w:r w:rsidRPr="00995D2E">
        <w:rPr>
          <w:sz w:val="12"/>
        </w:rPr>
        <w:sym w:font="Symbol" w:char="F0B7"/>
      </w:r>
      <w:r w:rsidRPr="00995D2E">
        <w:rPr>
          <w:sz w:val="12"/>
        </w:rPr>
        <w:t xml:space="preserve"> Review what information is being collected from patients at what point in the process and determine if it is absolutely necessary. </w:t>
      </w:r>
      <w:r w:rsidRPr="003153CC">
        <w:rPr>
          <w:u w:val="single"/>
        </w:rPr>
        <w:t>For example, requesting an SSN or immigration status is not relevant for treatment purposes and thus is not needed on an initial intake form, but may be requested at the time of collecting payment as an optional question</w:t>
      </w:r>
      <w:r w:rsidRPr="00995D2E">
        <w:rPr>
          <w:sz w:val="12"/>
        </w:rPr>
        <w:t xml:space="preserve">. </w:t>
      </w:r>
      <w:r w:rsidRPr="00995D2E">
        <w:rPr>
          <w:sz w:val="12"/>
        </w:rPr>
        <w:sym w:font="Symbol" w:char="F0B7"/>
      </w:r>
      <w:r w:rsidRPr="00995D2E">
        <w:rPr>
          <w:sz w:val="12"/>
        </w:rPr>
        <w:t xml:space="preserve"> Do not request or require a SSN or immigration status for health programs that are available regardless of immigration status, such as services at FQHCs, public health treatments, Emergency Medicaid, or family planning services. If existing intake or admission forms request an SSN and immigration status, consider deleting the questions, or at a minimum, clearly indicate on the form that those questions are optional. </w:t>
      </w:r>
      <w:r w:rsidRPr="00995D2E">
        <w:rPr>
          <w:sz w:val="12"/>
        </w:rPr>
        <w:sym w:font="Symbol" w:char="F0B7"/>
      </w:r>
      <w:r w:rsidRPr="00995D2E">
        <w:rPr>
          <w:sz w:val="12"/>
        </w:rPr>
        <w:t xml:space="preserve"> Inform patients that information about other family members is not required on admission forms for treatment purposes, with the exception of a minor child needing a parent or guardian to provide consent. </w:t>
      </w:r>
      <w:r w:rsidRPr="00995D2E">
        <w:rPr>
          <w:sz w:val="12"/>
        </w:rPr>
        <w:sym w:font="Symbol" w:char="F0B7"/>
      </w:r>
      <w:r w:rsidRPr="00995D2E">
        <w:rPr>
          <w:sz w:val="12"/>
        </w:rPr>
        <w:t xml:space="preserve"> When assisting families apply for health coverage, make clear that the immigration status and an SSN are needed only for those family members applying for coverage, not for everyone in the household. Ensure that on any state or federal application for health coverage that the request for SSN is marked optional and there is an explanation as to how the SSN will be used. 39 </w:t>
      </w:r>
      <w:r w:rsidRPr="00D31E14">
        <w:rPr>
          <w:u w:val="single"/>
        </w:rPr>
        <w:t>4. Strengthen privacy policies regarding patient information as well as access to facilities</w:t>
      </w:r>
      <w:r w:rsidRPr="00995D2E">
        <w:rPr>
          <w:sz w:val="12"/>
        </w:rPr>
        <w:t xml:space="preserve">. </w:t>
      </w:r>
      <w:r w:rsidRPr="00995D2E">
        <w:rPr>
          <w:sz w:val="12"/>
        </w:rPr>
        <w:sym w:font="Symbol" w:char="F0B7"/>
      </w:r>
      <w:r w:rsidRPr="00995D2E">
        <w:rPr>
          <w:sz w:val="12"/>
        </w:rPr>
        <w:t xml:space="preserve"> </w:t>
      </w:r>
      <w:r w:rsidRPr="003153CC">
        <w:rPr>
          <w:u w:val="single"/>
        </w:rPr>
        <w:t>Review and ensure compliance with state privacy laws that may be stricter than what is required under The</w:t>
      </w:r>
      <w:r w:rsidRPr="00995D2E">
        <w:rPr>
          <w:sz w:val="12"/>
        </w:rPr>
        <w:t xml:space="preserve"> Health Insurance Privacy and Portability Act (</w:t>
      </w:r>
      <w:r w:rsidRPr="003153CC">
        <w:rPr>
          <w:u w:val="single"/>
        </w:rPr>
        <w:t>HIPPA)</w:t>
      </w:r>
      <w:r w:rsidRPr="00995D2E">
        <w:rPr>
          <w:sz w:val="12"/>
        </w:rPr>
        <w:t xml:space="preserve">. 40 o For example, in California, medical information is protected from disclosure for marketing purposes by providers as well as insurance companies, and health care facilities are subject to fines for privacy violations.41 </w:t>
      </w:r>
      <w:r w:rsidRPr="00995D2E">
        <w:rPr>
          <w:sz w:val="12"/>
        </w:rPr>
        <w:sym w:font="Symbol" w:char="F0B7"/>
      </w:r>
      <w:r w:rsidRPr="00995D2E">
        <w:rPr>
          <w:sz w:val="12"/>
        </w:rPr>
        <w:t xml:space="preserve"> </w:t>
      </w:r>
      <w:r w:rsidRPr="003153CC">
        <w:rPr>
          <w:u w:val="single"/>
        </w:rPr>
        <w:t>Reassure patients that information they provide on an application will not be shared for immigration enforcement purposes</w:t>
      </w:r>
      <w:r w:rsidRPr="00995D2E">
        <w:rPr>
          <w:sz w:val="12"/>
        </w:rPr>
        <w:t xml:space="preserve">. </w:t>
      </w:r>
      <w:proofErr w:type="gramStart"/>
      <w:r w:rsidRPr="00995D2E">
        <w:rPr>
          <w:sz w:val="12"/>
        </w:rPr>
        <w:t>o</w:t>
      </w:r>
      <w:proofErr w:type="gramEnd"/>
      <w:r w:rsidRPr="00995D2E">
        <w:rPr>
          <w:sz w:val="12"/>
        </w:rPr>
        <w:t xml:space="preserve"> For example, provide a copy of the October 2013 ICE memo (see earlier text box) that informs immigrants it is safe for them to apply. </w:t>
      </w:r>
      <w:r w:rsidRPr="00995D2E">
        <w:rPr>
          <w:sz w:val="12"/>
        </w:rPr>
        <w:sym w:font="Symbol" w:char="F0B7"/>
      </w:r>
      <w:r w:rsidRPr="00995D2E">
        <w:rPr>
          <w:sz w:val="12"/>
        </w:rPr>
        <w:t xml:space="preserve"> To protect against immigration enforcement action at CHCs or LHDs: o Partner with an immigration attorney in the community for referrals and legal advice. </w:t>
      </w:r>
      <w:proofErr w:type="gramStart"/>
      <w:r w:rsidRPr="00995D2E">
        <w:rPr>
          <w:sz w:val="12"/>
        </w:rPr>
        <w:t>o</w:t>
      </w:r>
      <w:proofErr w:type="gramEnd"/>
      <w:r w:rsidRPr="00995D2E">
        <w:rPr>
          <w:sz w:val="12"/>
        </w:rPr>
        <w:t xml:space="preserve"> </w:t>
      </w:r>
      <w:r w:rsidRPr="003153CC">
        <w:rPr>
          <w:u w:val="single"/>
        </w:rPr>
        <w:t>Educate immigrant patients about their right to remain silent and avoid incriminating statements</w:t>
      </w:r>
      <w:r w:rsidRPr="00995D2E">
        <w:rPr>
          <w:sz w:val="12"/>
        </w:rPr>
        <w:t xml:space="preserve">. </w:t>
      </w:r>
      <w:proofErr w:type="gramStart"/>
      <w:r w:rsidRPr="00995D2E">
        <w:rPr>
          <w:sz w:val="12"/>
        </w:rPr>
        <w:t>o</w:t>
      </w:r>
      <w:proofErr w:type="gramEnd"/>
      <w:r w:rsidRPr="00995D2E">
        <w:rPr>
          <w:sz w:val="12"/>
        </w:rPr>
        <w:t xml:space="preserve"> Train staff to not provide verbal or written information about patients without a warrant. </w:t>
      </w:r>
      <w:proofErr w:type="gramStart"/>
      <w:r w:rsidRPr="00995D2E">
        <w:rPr>
          <w:sz w:val="12"/>
        </w:rPr>
        <w:t>o</w:t>
      </w:r>
      <w:proofErr w:type="gramEnd"/>
      <w:r w:rsidRPr="00995D2E">
        <w:rPr>
          <w:sz w:val="12"/>
        </w:rPr>
        <w:t xml:space="preserve"> </w:t>
      </w:r>
      <w:r w:rsidRPr="009865F4">
        <w:rPr>
          <w:u w:val="single"/>
        </w:rPr>
        <w:t>Do not consent to a search of the premises without a warrant</w:t>
      </w:r>
      <w:r w:rsidRPr="00995D2E">
        <w:rPr>
          <w:sz w:val="12"/>
        </w:rPr>
        <w:t xml:space="preserve">. Only public areas are searchable by law enforcement without a warrant. </w:t>
      </w:r>
      <w:proofErr w:type="gramStart"/>
      <w:r w:rsidRPr="00995D2E">
        <w:rPr>
          <w:sz w:val="12"/>
        </w:rPr>
        <w:t>o</w:t>
      </w:r>
      <w:proofErr w:type="gramEnd"/>
      <w:r w:rsidRPr="00995D2E">
        <w:rPr>
          <w:sz w:val="12"/>
        </w:rPr>
        <w:t xml:space="preserve"> Designate areas of the CHC or LHD as private and public, including the waiting room. </w:t>
      </w:r>
      <w:r w:rsidRPr="00D31E14">
        <w:rPr>
          <w:u w:val="single"/>
        </w:rPr>
        <w:t>5. Increase screening and use of Emergency Medicaid for outpatient services</w:t>
      </w:r>
      <w:r w:rsidRPr="00995D2E">
        <w:rPr>
          <w:sz w:val="12"/>
        </w:rPr>
        <w:t xml:space="preserve">. </w:t>
      </w:r>
      <w:r w:rsidRPr="00995D2E">
        <w:rPr>
          <w:sz w:val="12"/>
        </w:rPr>
        <w:sym w:font="Symbol" w:char="F0B7"/>
      </w:r>
      <w:r w:rsidRPr="00995D2E">
        <w:rPr>
          <w:sz w:val="12"/>
        </w:rPr>
        <w:t xml:space="preserve"> Work with the state Medicaid agency on improving and simplifying billing of Emergency Medicaid services. o </w:t>
      </w:r>
      <w:r w:rsidRPr="00BE2E81">
        <w:rPr>
          <w:u w:val="single"/>
        </w:rPr>
        <w:t>Request your state’s Medicaid agency to allow pre-qualification of Emergency Medicaid.</w:t>
      </w:r>
      <w:r w:rsidRPr="00995D2E">
        <w:rPr>
          <w:sz w:val="12"/>
        </w:rPr>
        <w:t xml:space="preserve">42 o Ensure the state Medicaid agency permits outpatient providers, clinics, health centers and public health departments to bill for emergency services under Emergency Medicaid and that it does not limit billing to only inpatient providers. </w:t>
      </w:r>
      <w:r w:rsidRPr="00995D2E">
        <w:rPr>
          <w:sz w:val="12"/>
        </w:rPr>
        <w:sym w:font="Symbol" w:char="F0B7"/>
      </w:r>
      <w:r w:rsidRPr="00995D2E">
        <w:rPr>
          <w:sz w:val="12"/>
        </w:rPr>
        <w:t xml:space="preserve"> Train enrollment assisters and billing staff about the availability of Emergency Medicaid for both legal and undocumented immigrants. </w:t>
      </w:r>
      <w:r w:rsidRPr="00995D2E">
        <w:rPr>
          <w:sz w:val="12"/>
        </w:rPr>
        <w:sym w:font="Symbol" w:char="F0B7"/>
      </w:r>
      <w:r w:rsidRPr="00995D2E">
        <w:rPr>
          <w:sz w:val="12"/>
        </w:rPr>
        <w:t xml:space="preserve"> Make clear that the requirements for treatment under Emergency Medicaid are broader than what may be required by EMTALA. </w:t>
      </w:r>
      <w:r w:rsidRPr="00995D2E">
        <w:rPr>
          <w:sz w:val="12"/>
        </w:rPr>
        <w:sym w:font="Symbol" w:char="F0B7"/>
      </w:r>
      <w:r w:rsidRPr="00995D2E">
        <w:rPr>
          <w:sz w:val="12"/>
        </w:rPr>
        <w:t xml:space="preserve"> </w:t>
      </w:r>
      <w:r w:rsidRPr="00995D2E">
        <w:rPr>
          <w:u w:val="single"/>
        </w:rPr>
        <w:t>Develop a form that explains the definition of “emergency medical condition” and would allow practioners to easily document why a prescribed treatment falls within the definition.</w:t>
      </w:r>
      <w:r w:rsidRPr="00995D2E">
        <w:rPr>
          <w:sz w:val="12"/>
        </w:rPr>
        <w:t xml:space="preserve"> The form could be used as supporting document when filing an Emergency Medicaid claim. </w:t>
      </w:r>
      <w:r w:rsidRPr="00D31E14">
        <w:rPr>
          <w:u w:val="single"/>
        </w:rPr>
        <w:t>6. Increase cultural competence and language access capacity.</w:t>
      </w:r>
      <w:r w:rsidRPr="00995D2E">
        <w:rPr>
          <w:sz w:val="12"/>
        </w:rPr>
        <w:t xml:space="preserve"> </w:t>
      </w:r>
      <w:r w:rsidRPr="00995D2E">
        <w:rPr>
          <w:sz w:val="12"/>
        </w:rPr>
        <w:sym w:font="Symbol" w:char="F0B7"/>
      </w:r>
      <w:r w:rsidRPr="00995D2E">
        <w:rPr>
          <w:sz w:val="12"/>
        </w:rPr>
        <w:t xml:space="preserve"> </w:t>
      </w:r>
      <w:r w:rsidRPr="00995D2E">
        <w:rPr>
          <w:u w:val="single"/>
        </w:rPr>
        <w:t>Hire bilingual and bicultural staff</w:t>
      </w:r>
      <w:r w:rsidRPr="00995D2E">
        <w:rPr>
          <w:sz w:val="12"/>
        </w:rPr>
        <w:t xml:space="preserve">. </w:t>
      </w:r>
      <w:r w:rsidRPr="00995D2E">
        <w:rPr>
          <w:sz w:val="12"/>
        </w:rPr>
        <w:sym w:font="Symbol" w:char="F0B7"/>
      </w:r>
      <w:r w:rsidRPr="00995D2E">
        <w:rPr>
          <w:sz w:val="12"/>
        </w:rPr>
        <w:t xml:space="preserve"> Provide initial and ongoing training to volunteer interpreters. 43 10 </w:t>
      </w:r>
      <w:r w:rsidRPr="00995D2E">
        <w:rPr>
          <w:sz w:val="12"/>
        </w:rPr>
        <w:sym w:font="Symbol" w:char="F0B7"/>
      </w:r>
      <w:r w:rsidRPr="00995D2E">
        <w:rPr>
          <w:sz w:val="12"/>
        </w:rPr>
        <w:t xml:space="preserve"> Do not allow family members to act as interpreters. </w:t>
      </w:r>
      <w:r w:rsidRPr="00995D2E">
        <w:rPr>
          <w:u w:val="single"/>
        </w:rPr>
        <w:t>If an interpreter is not available, inform the patient of his/her right to an interpreter and require consent to allowing a family member or friend to serve as an interpreter</w:t>
      </w:r>
      <w:r w:rsidRPr="00995D2E">
        <w:rPr>
          <w:sz w:val="12"/>
        </w:rPr>
        <w:t xml:space="preserve">. </w:t>
      </w:r>
      <w:r w:rsidRPr="00995D2E">
        <w:rPr>
          <w:sz w:val="12"/>
        </w:rPr>
        <w:sym w:font="Symbol" w:char="F0B7"/>
      </w:r>
      <w:r w:rsidRPr="00995D2E">
        <w:rPr>
          <w:sz w:val="12"/>
        </w:rPr>
        <w:t xml:space="preserve"> Do not allow minor children to serve as interpreter, even with the patient’s consent. </w:t>
      </w:r>
      <w:r w:rsidRPr="00995D2E">
        <w:rPr>
          <w:sz w:val="12"/>
        </w:rPr>
        <w:sym w:font="Symbol" w:char="F0B7"/>
      </w:r>
      <w:r w:rsidRPr="00995D2E">
        <w:rPr>
          <w:sz w:val="12"/>
        </w:rPr>
        <w:t xml:space="preserve"> Educate administrative and legal staff about the benefits of language access for risk management and reducing potential tort liability. </w:t>
      </w:r>
      <w:r w:rsidRPr="00995D2E">
        <w:rPr>
          <w:sz w:val="12"/>
        </w:rPr>
        <w:sym w:font="Symbol" w:char="F0B7"/>
      </w:r>
      <w:r w:rsidRPr="00995D2E">
        <w:rPr>
          <w:sz w:val="12"/>
        </w:rPr>
        <w:t xml:space="preserve"> </w:t>
      </w:r>
      <w:r w:rsidRPr="00995D2E">
        <w:rPr>
          <w:u w:val="single"/>
        </w:rPr>
        <w:t>Create an on-line repository of sample forms, privacy practices, and translated materials for patients that can be shared among CHCs, LHDs, and hospitals.</w:t>
      </w:r>
      <w:r w:rsidRPr="00995D2E">
        <w:rPr>
          <w:sz w:val="12"/>
        </w:rPr>
        <w:t xml:space="preserve"> </w:t>
      </w:r>
      <w:r w:rsidRPr="00995D2E">
        <w:rPr>
          <w:sz w:val="12"/>
        </w:rPr>
        <w:sym w:font="Symbol" w:char="F0B7"/>
      </w:r>
      <w:r w:rsidRPr="00995D2E">
        <w:rPr>
          <w:sz w:val="12"/>
        </w:rPr>
        <w:t xml:space="preserve"> For other best practices on medical interpretation, read National Standards </w:t>
      </w:r>
      <w:proofErr w:type="gramStart"/>
      <w:r w:rsidRPr="00995D2E">
        <w:rPr>
          <w:sz w:val="12"/>
        </w:rPr>
        <w:t>Of Practice For Interpreters In</w:t>
      </w:r>
      <w:proofErr w:type="gramEnd"/>
      <w:r w:rsidRPr="00995D2E">
        <w:rPr>
          <w:sz w:val="12"/>
        </w:rPr>
        <w:t xml:space="preserve"> Health Care, National Council on Interpreting in Health Care, September 2005</w:t>
      </w:r>
    </w:p>
    <w:p w:rsidR="002B593D" w:rsidRDefault="002B593D" w:rsidP="002B593D">
      <w:pPr>
        <w:rPr>
          <w:sz w:val="14"/>
          <w:u w:val="single"/>
        </w:rPr>
      </w:pPr>
    </w:p>
    <w:p w:rsidR="002B593D" w:rsidRDefault="002B593D" w:rsidP="002B593D"/>
    <w:p w:rsidR="002D1EEF" w:rsidRDefault="002D1EEF" w:rsidP="002D1EEF">
      <w:pPr>
        <w:pStyle w:val="Heading3"/>
      </w:pPr>
      <w:r>
        <w:t>2nc – net benefit</w:t>
      </w:r>
    </w:p>
    <w:p w:rsidR="002D1EEF" w:rsidRDefault="002D1EEF" w:rsidP="002D1EEF">
      <w:pPr>
        <w:pStyle w:val="Heading4"/>
      </w:pPr>
      <w:r>
        <w:t>Doesn’t link to politics—are historically popular amongst Republicans so the CP is not seen as a flip in Trump’s agenda</w:t>
      </w:r>
    </w:p>
    <w:p w:rsidR="002D1EEF" w:rsidRPr="000C34EE" w:rsidRDefault="002D1EEF" w:rsidP="002D1EEF">
      <w:pPr>
        <w:rPr>
          <w:sz w:val="18"/>
          <w:szCs w:val="18"/>
        </w:rPr>
      </w:pPr>
      <w:r>
        <w:rPr>
          <w:b/>
        </w:rPr>
        <w:t xml:space="preserve">Leavitt 17 </w:t>
      </w:r>
      <w:r w:rsidRPr="000C34EE">
        <w:rPr>
          <w:sz w:val="18"/>
          <w:szCs w:val="18"/>
        </w:rPr>
        <w:t>(Former Gov. Mike Leavitt (R-Utah), Mike Leavitt is the founder of Leavitt Partners and former secretary of the US Department of Health and Human Services and former governor of Utah, “GOP, protecting community health centers is good, policy, tactics,” The Hill, 10/6/17, http://thehill.com/opinion/healthcare/354299-gop-protecting-community-health-centers-is-good-policy-tactics)</w:t>
      </w:r>
      <w:r>
        <w:rPr>
          <w:sz w:val="18"/>
          <w:szCs w:val="18"/>
        </w:rPr>
        <w:t>//jy</w:t>
      </w:r>
    </w:p>
    <w:p w:rsidR="002D1EEF" w:rsidRPr="00E251CB" w:rsidRDefault="002D1EEF" w:rsidP="002D1EEF">
      <w:pPr>
        <w:rPr>
          <w:u w:val="single"/>
        </w:rPr>
      </w:pPr>
      <w:r w:rsidRPr="00E251CB">
        <w:rPr>
          <w:sz w:val="14"/>
        </w:rPr>
        <w:t xml:space="preserve">Mark me down as a Republican that believes our party should continue to support the extension of </w:t>
      </w:r>
      <w:r w:rsidRPr="00B53B85">
        <w:rPr>
          <w:u w:val="single"/>
        </w:rPr>
        <w:t>the Community Health Center Fund.</w:t>
      </w:r>
      <w:r w:rsidRPr="00E251CB">
        <w:rPr>
          <w:sz w:val="14"/>
        </w:rPr>
        <w:t xml:space="preserve"> I personally see it </w:t>
      </w:r>
      <w:r w:rsidRPr="00B53B85">
        <w:rPr>
          <w:u w:val="single"/>
        </w:rPr>
        <w:t>is a continuation of GOP willingness to foster programs that provide care for the underserved and</w:t>
      </w:r>
      <w:r w:rsidRPr="00E251CB">
        <w:rPr>
          <w:sz w:val="14"/>
        </w:rPr>
        <w:t xml:space="preserve"> help </w:t>
      </w:r>
      <w:r w:rsidRPr="00B53B85">
        <w:rPr>
          <w:u w:val="single"/>
        </w:rPr>
        <w:t>improve</w:t>
      </w:r>
      <w:r w:rsidRPr="00E251CB">
        <w:rPr>
          <w:sz w:val="14"/>
        </w:rPr>
        <w:t xml:space="preserve"> our </w:t>
      </w:r>
      <w:r w:rsidRPr="00B53B85">
        <w:rPr>
          <w:u w:val="single"/>
        </w:rPr>
        <w:t>communities in the most efficient way</w:t>
      </w:r>
      <w:r w:rsidRPr="00E251CB">
        <w:rPr>
          <w:sz w:val="14"/>
        </w:rPr>
        <w:t xml:space="preserve">. Leadership might consider lengthening the term of the community health center funding extension in consideration of other needed entitlement reforms. As the Governor of Utah, </w:t>
      </w:r>
      <w:r w:rsidRPr="00B71DB5">
        <w:rPr>
          <w:u w:val="single"/>
        </w:rPr>
        <w:t>I experienced first-</w:t>
      </w:r>
      <w:r w:rsidRPr="00FE3EE8">
        <w:rPr>
          <w:u w:val="single"/>
        </w:rPr>
        <w:t>hand the ability of</w:t>
      </w:r>
      <w:r w:rsidRPr="00E251CB">
        <w:rPr>
          <w:sz w:val="14"/>
        </w:rPr>
        <w:t xml:space="preserve"> community health centers (</w:t>
      </w:r>
      <w:r w:rsidRPr="00FE3EE8">
        <w:rPr>
          <w:u w:val="single"/>
        </w:rPr>
        <w:t>CHCs) to enhance delivering health care to those often excluded from the system</w:t>
      </w:r>
      <w:r w:rsidRPr="00E251CB">
        <w:rPr>
          <w:sz w:val="14"/>
        </w:rPr>
        <w:t xml:space="preserve">. In an effort to stretch Medicaid dollars in my state in order to provide coverage and care for more people, I turned to community health centers statewide to help fill gaps in care. The </w:t>
      </w:r>
      <w:r w:rsidRPr="00B71DB5">
        <w:rPr>
          <w:u w:val="single"/>
        </w:rPr>
        <w:t>CHCs responded by creating a network of in-neighborhood clinics that allowed Medicaid to serve large numbers who would otherwise have been without coverage or care</w:t>
      </w:r>
      <w:r w:rsidRPr="00E251CB">
        <w:rPr>
          <w:sz w:val="14"/>
        </w:rPr>
        <w:t xml:space="preserve">. During my service as the Secretary of the United States Department of Health and Human Services (HHS) under President George W. Bush, I was charged with increasing the number and quality of 1200 community health centers. In doing so I visited CHCs across the country and came to understand although each one has a unique story, they collectively share the same origin: being created when people in a community observed a need. As such, </w:t>
      </w:r>
      <w:r w:rsidRPr="00B71DB5">
        <w:rPr>
          <w:u w:val="single"/>
        </w:rPr>
        <w:t>CHCs are one of our nation’s most evident example of American compassion.</w:t>
      </w:r>
      <w:r w:rsidRPr="00E251CB">
        <w:rPr>
          <w:sz w:val="14"/>
        </w:rPr>
        <w:t xml:space="preserve"> My work with CHCs also helped me understand that </w:t>
      </w:r>
      <w:r w:rsidRPr="00B71DB5">
        <w:rPr>
          <w:u w:val="single"/>
        </w:rPr>
        <w:t>federal funding is critical to the stabilization of the entire CHC system in the U</w:t>
      </w:r>
      <w:r w:rsidRPr="00E251CB">
        <w:rPr>
          <w:sz w:val="14"/>
        </w:rPr>
        <w:t xml:space="preserve">nited </w:t>
      </w:r>
      <w:r w:rsidRPr="00B71DB5">
        <w:rPr>
          <w:u w:val="single"/>
        </w:rPr>
        <w:t>S</w:t>
      </w:r>
      <w:r w:rsidRPr="00E251CB">
        <w:rPr>
          <w:sz w:val="14"/>
        </w:rPr>
        <w:t>tates. As the country’s largest primary-care network, community health centers (</w:t>
      </w:r>
      <w:r w:rsidRPr="00B71DB5">
        <w:rPr>
          <w:u w:val="single"/>
        </w:rPr>
        <w:t xml:space="preserve">CHCs) provide a range of services —including mental health and emergency response services to those in crisis, primary care to uninsured, and medical homes for patients who need it most — to </w:t>
      </w:r>
      <w:hyperlink r:id="rId301" w:tgtFrame="_blank" w:history="1">
        <w:r w:rsidRPr="00B71DB5">
          <w:rPr>
            <w:rStyle w:val="Hyperlink"/>
            <w:u w:val="single"/>
          </w:rPr>
          <w:t>nearly 26 million</w:t>
        </w:r>
      </w:hyperlink>
      <w:r>
        <w:rPr>
          <w:u w:val="single"/>
        </w:rPr>
        <w:t xml:space="preserve"> </w:t>
      </w:r>
      <w:r w:rsidRPr="00B71DB5">
        <w:rPr>
          <w:u w:val="single"/>
        </w:rPr>
        <w:t>patients who would otherwise not be cared for.</w:t>
      </w:r>
      <w:r w:rsidRPr="00E251CB">
        <w:rPr>
          <w:sz w:val="14"/>
        </w:rPr>
        <w:t xml:space="preserve"> Additionally, </w:t>
      </w:r>
      <w:r w:rsidRPr="00B71DB5">
        <w:rPr>
          <w:u w:val="single"/>
        </w:rPr>
        <w:t>the C</w:t>
      </w:r>
      <w:r w:rsidRPr="00E251CB">
        <w:rPr>
          <w:sz w:val="14"/>
        </w:rPr>
        <w:t xml:space="preserve">ommunity </w:t>
      </w:r>
      <w:r w:rsidRPr="00B71DB5">
        <w:rPr>
          <w:u w:val="single"/>
        </w:rPr>
        <w:t>H</w:t>
      </w:r>
      <w:r w:rsidRPr="00E251CB">
        <w:rPr>
          <w:sz w:val="14"/>
        </w:rPr>
        <w:t xml:space="preserve">ealth </w:t>
      </w:r>
      <w:r w:rsidRPr="00B71DB5">
        <w:rPr>
          <w:u w:val="single"/>
        </w:rPr>
        <w:t>C</w:t>
      </w:r>
      <w:r w:rsidRPr="00E251CB">
        <w:rPr>
          <w:sz w:val="14"/>
        </w:rPr>
        <w:t xml:space="preserve">enter </w:t>
      </w:r>
      <w:r w:rsidRPr="00B71DB5">
        <w:rPr>
          <w:u w:val="single"/>
        </w:rPr>
        <w:t>F</w:t>
      </w:r>
      <w:r w:rsidRPr="00E251CB">
        <w:rPr>
          <w:sz w:val="14"/>
        </w:rPr>
        <w:t xml:space="preserve">und </w:t>
      </w:r>
      <w:r w:rsidRPr="00B71DB5">
        <w:rPr>
          <w:u w:val="single"/>
        </w:rPr>
        <w:t xml:space="preserve">has stabilized and expanded CHC service sites throughout the country, helped expand residency programs, facilitated the placement of health care professionals in underserved rural and urban communities </w:t>
      </w:r>
      <w:r w:rsidRPr="00E251CB">
        <w:rPr>
          <w:sz w:val="14"/>
        </w:rPr>
        <w:t xml:space="preserve">through funding the National Health Service Corps, </w:t>
      </w:r>
      <w:r w:rsidRPr="00B71DB5">
        <w:rPr>
          <w:u w:val="single"/>
        </w:rPr>
        <w:t xml:space="preserve">and supported addressing population health/social determinant needs. </w:t>
      </w:r>
      <w:r w:rsidRPr="00E251CB">
        <w:rPr>
          <w:sz w:val="14"/>
        </w:rPr>
        <w:t>Furthermore</w:t>
      </w:r>
      <w:r w:rsidRPr="00B71DB5">
        <w:rPr>
          <w:u w:val="single"/>
        </w:rPr>
        <w:t xml:space="preserve">, CHCs have generated </w:t>
      </w:r>
      <w:hyperlink r:id="rId302" w:tgtFrame="_blank" w:history="1">
        <w:r w:rsidRPr="00B71DB5">
          <w:rPr>
            <w:rStyle w:val="Hyperlink"/>
            <w:u w:val="single"/>
          </w:rPr>
          <w:t>$45.6 billion</w:t>
        </w:r>
      </w:hyperlink>
      <w:r w:rsidRPr="00B71DB5">
        <w:rPr>
          <w:u w:val="single"/>
        </w:rPr>
        <w:t xml:space="preserve"> in total economic revenue</w:t>
      </w:r>
      <w:r w:rsidRPr="00E251CB">
        <w:rPr>
          <w:sz w:val="14"/>
        </w:rPr>
        <w:t xml:space="preserve">, a </w:t>
      </w:r>
      <w:hyperlink r:id="rId303" w:tgtFrame="_blank" w:history="1">
        <w:r w:rsidRPr="00E251CB">
          <w:rPr>
            <w:rStyle w:val="Hyperlink"/>
            <w:sz w:val="14"/>
          </w:rPr>
          <w:t>46 percent increase in only five years</w:t>
        </w:r>
      </w:hyperlink>
      <w:r w:rsidRPr="00E251CB">
        <w:rPr>
          <w:sz w:val="14"/>
        </w:rPr>
        <w:t xml:space="preserve">, employ nearly </w:t>
      </w:r>
      <w:hyperlink r:id="rId304" w:tgtFrame="_blank" w:history="1">
        <w:r w:rsidRPr="00E251CB">
          <w:rPr>
            <w:rStyle w:val="Hyperlink"/>
            <w:sz w:val="14"/>
          </w:rPr>
          <w:t>190,000 people</w:t>
        </w:r>
      </w:hyperlink>
      <w:r w:rsidRPr="00E251CB">
        <w:rPr>
          <w:sz w:val="14"/>
        </w:rPr>
        <w:t xml:space="preserve">, </w:t>
      </w:r>
      <w:r w:rsidRPr="00B71DB5">
        <w:rPr>
          <w:u w:val="single"/>
        </w:rPr>
        <w:t xml:space="preserve">and save the nation’s health care system nearly </w:t>
      </w:r>
      <w:hyperlink r:id="rId305" w:tgtFrame="_blank" w:history="1">
        <w:r w:rsidRPr="00B71DB5">
          <w:rPr>
            <w:rStyle w:val="Hyperlink"/>
            <w:u w:val="single"/>
          </w:rPr>
          <w:t>$24 billion annually</w:t>
        </w:r>
      </w:hyperlink>
      <w:r w:rsidRPr="00B71DB5">
        <w:rPr>
          <w:u w:val="single"/>
        </w:rPr>
        <w:t xml:space="preserve">. </w:t>
      </w:r>
      <w:r w:rsidRPr="00E251CB">
        <w:rPr>
          <w:sz w:val="14"/>
        </w:rPr>
        <w:t xml:space="preserve">For over 50 years, community health centers have served the nation’s most vulnerable patients at a value to the American tax-payer. As one of the 10 most effective government programs, community health centers play an important role in improving quality and access to care for millions of Americans. Republicans have a well-deserved reputation of building the significant network of charitably-driven, locally-grounded, life-improving care givers. </w:t>
      </w:r>
      <w:r w:rsidRPr="00E251CB">
        <w:rPr>
          <w:u w:val="single"/>
        </w:rPr>
        <w:t>Community health centers represent a hallmark of Republican’s compassion for the poor, support for strong civic institutions, and advocacy for effective health care, which we should be proud to protect.</w:t>
      </w:r>
    </w:p>
    <w:p w:rsidR="002B593D" w:rsidRDefault="002B593D" w:rsidP="002B593D">
      <w:pPr>
        <w:rPr>
          <w:u w:val="single"/>
        </w:rPr>
      </w:pPr>
    </w:p>
    <w:p w:rsidR="002D1EEF" w:rsidRPr="006C6192" w:rsidRDefault="002D1EEF" w:rsidP="002D1EEF"/>
    <w:p w:rsidR="002D1EEF" w:rsidRDefault="002D1EEF" w:rsidP="002D1EEF">
      <w:pPr>
        <w:pStyle w:val="Heading3"/>
      </w:pPr>
      <w:r>
        <w:t>2nc – solvency</w:t>
      </w:r>
    </w:p>
    <w:p w:rsidR="002D1EEF" w:rsidRDefault="002D1EEF" w:rsidP="002D1EEF">
      <w:pPr>
        <w:pStyle w:val="Heading4"/>
      </w:pPr>
      <w:r>
        <w:t>CHCs solve best—they build communities, offer “wrap around” services, and are legally obligated to treat patients regardless of their ability to pay</w:t>
      </w:r>
    </w:p>
    <w:p w:rsidR="002D1EEF" w:rsidRPr="00E24AFA" w:rsidRDefault="002D1EEF" w:rsidP="002D1EEF">
      <w:r>
        <w:rPr>
          <w:b/>
        </w:rPr>
        <w:t xml:space="preserve">Gluch and Hexem 17 </w:t>
      </w:r>
      <w:r w:rsidRPr="006F7301">
        <w:rPr>
          <w:sz w:val="18"/>
          <w:szCs w:val="18"/>
        </w:rPr>
        <w:t>(Joan I. Gluch, is a professor at the University of Pennsylvania School of Dental Medicine, Kari Hexem is a member of the Philadelphia FIGHT Community Health Center, 7/10/17, “Effectiveness of Disease Prevention in Community Health Center Dental Programs,” Springer Link, Introduction, pg. 169)//jy</w:t>
      </w:r>
    </w:p>
    <w:p w:rsidR="002D1EEF" w:rsidRDefault="002D1EEF" w:rsidP="002D1EEF">
      <w:pPr>
        <w:rPr>
          <w:sz w:val="14"/>
        </w:rPr>
      </w:pPr>
      <w:r w:rsidRPr="00FC5557">
        <w:rPr>
          <w:sz w:val="14"/>
        </w:rPr>
        <w:t>Community health centers (</w:t>
      </w:r>
      <w:r w:rsidRPr="00897352">
        <w:rPr>
          <w:u w:val="single"/>
        </w:rPr>
        <w:t>CHC</w:t>
      </w:r>
      <w:r w:rsidRPr="00FC5557">
        <w:rPr>
          <w:sz w:val="14"/>
        </w:rPr>
        <w:t xml:space="preserve">) are an important part of the health care safety net in the USA. Authorized by section 330 of the Public Health Services Act, CHC </w:t>
      </w:r>
      <w:r w:rsidRPr="00897352">
        <w:rPr>
          <w:u w:val="single"/>
        </w:rPr>
        <w:t>are designed to enrich neighborhood “community based” health-care resources with federal funds, thereby representing a fusion of governmental and private health care</w:t>
      </w:r>
      <w:r w:rsidRPr="00FC5557">
        <w:rPr>
          <w:sz w:val="14"/>
        </w:rPr>
        <w:t xml:space="preserve"> [1]. </w:t>
      </w:r>
      <w:r w:rsidRPr="00897352">
        <w:rPr>
          <w:u w:val="single"/>
        </w:rPr>
        <w:t>CHC provide comprehensive primary care with “wrap around” services such as case management, transportation, and translation that help patients better access their primary care</w:t>
      </w:r>
      <w:r w:rsidRPr="00FC5557">
        <w:rPr>
          <w:sz w:val="14"/>
        </w:rPr>
        <w:t xml:space="preserve">. Since their inception, CHC have been formed as non-profit organizations governed by boards of directors with a majority of members who are CHC patients/ consumers. Today, </w:t>
      </w:r>
      <w:r w:rsidRPr="00FC5557">
        <w:rPr>
          <w:u w:val="single"/>
        </w:rPr>
        <w:t xml:space="preserve">CHC </w:t>
      </w:r>
      <w:r w:rsidRPr="00FC5557">
        <w:rPr>
          <w:sz w:val="14"/>
        </w:rPr>
        <w:t xml:space="preserve">serve approximately 7% of the U.S. population (more than twenty million Americans), and </w:t>
      </w:r>
      <w:r w:rsidRPr="00FC5557">
        <w:rPr>
          <w:u w:val="single"/>
        </w:rPr>
        <w:t>disproportionately serve those who have Medicaid insurance, younger patients</w:t>
      </w:r>
      <w:r w:rsidRPr="00FC5557">
        <w:rPr>
          <w:sz w:val="14"/>
        </w:rPr>
        <w:t xml:space="preserve"> (0–19 years), </w:t>
      </w:r>
      <w:r w:rsidRPr="00FC5557">
        <w:rPr>
          <w:u w:val="single"/>
        </w:rPr>
        <w:t>and those who are African American, American Indian, or Hispanic</w:t>
      </w:r>
      <w:r w:rsidRPr="00FC5557">
        <w:rPr>
          <w:sz w:val="14"/>
        </w:rPr>
        <w:t xml:space="preserve"> [2, 3]. </w:t>
      </w:r>
      <w:r w:rsidRPr="00FC5557">
        <w:rPr>
          <w:b/>
          <w:u w:val="single"/>
        </w:rPr>
        <w:t>CHC, which are required by law to see all patients regardless of ability to pay, also have over time increasingly assumed responsibility for our nation’s remaining uninsured patients</w:t>
      </w:r>
      <w:r w:rsidRPr="00FC5557">
        <w:rPr>
          <w:sz w:val="14"/>
        </w:rPr>
        <w:t xml:space="preserve"> [2].</w:t>
      </w:r>
    </w:p>
    <w:p w:rsidR="002D1EEF" w:rsidRDefault="002D1EEF" w:rsidP="002D1EEF">
      <w:pPr>
        <w:pStyle w:val="Heading4"/>
      </w:pPr>
      <w:r>
        <w:t>CHCs provide care for underserved populations and reduce strain on hospitals fiscally and during pandemics- but funding is key</w:t>
      </w:r>
    </w:p>
    <w:p w:rsidR="002D1EEF" w:rsidRPr="00A469ED" w:rsidRDefault="002D1EEF" w:rsidP="002D1EEF">
      <w:r w:rsidRPr="000611E8">
        <w:rPr>
          <w:rStyle w:val="Style13ptBold"/>
        </w:rPr>
        <w:t>Rust et al 09</w:t>
      </w:r>
      <w:r w:rsidRPr="000611E8">
        <w:t xml:space="preserve"> (George Rust, MD, MPH, Mollie Melbourne, MPH, MEP, Benedict I. Truman, MD, MPH, Elvan Daniels, MD, MPH, Yvonne Fry-Johnson, MD, MSCR, and Thomas Curtin, MD</w:t>
      </w:r>
      <w:r>
        <w:t>,</w:t>
      </w:r>
      <w:r w:rsidRPr="000611E8">
        <w:t xml:space="preserve"> "Role of the Primary Care Safety Net in</w:t>
      </w:r>
      <w:r>
        <w:t xml:space="preserve"> Pandemic Influenza", October 2009</w:t>
      </w:r>
      <w:r w:rsidRPr="000611E8">
        <w:t>, PubMed Central (PMC), https://www.ncbi.nlm.nih.gov/pmc/articles/PMC4504392/)</w:t>
      </w:r>
      <w:r>
        <w:t>//AO</w:t>
      </w:r>
    </w:p>
    <w:p w:rsidR="002D1EEF" w:rsidRDefault="002D1EEF" w:rsidP="002D1EEF">
      <w:pPr>
        <w:rPr>
          <w:u w:val="single"/>
        </w:rPr>
      </w:pPr>
      <w:r w:rsidRPr="00A469ED">
        <w:rPr>
          <w:sz w:val="16"/>
        </w:rPr>
        <w:t xml:space="preserve">Federally Qualified Health Centers </w:t>
      </w:r>
      <w:r w:rsidRPr="00A469ED">
        <w:rPr>
          <w:u w:val="single"/>
        </w:rPr>
        <w:t>Federally qualified health centers (FQHCs) include community health centers, migrant health centers, homeless health centers, and public housing clinics. FQHCs receive 71 million visits each year from over 18 million persons, 7 million of whom are uninsured. According to the 2007 Uniform Data System, about 3 in 4 of these patients are either uninsured (39%) or use Medicaid (35%), and most (70%) live in households with a family income at or below the federal poverty level.</w:t>
      </w:r>
      <w:r w:rsidRPr="00A469ED">
        <w:rPr>
          <w:sz w:val="16"/>
        </w:rPr>
        <w:t xml:space="preserve"> FQHC patients are 3 times more likely than the general population to have limited English proficiency.17 Nearly 2 million of these patients are migrant farm workers or homeless persons. </w:t>
      </w:r>
      <w:r w:rsidRPr="00A469ED">
        <w:rPr>
          <w:u w:val="single"/>
        </w:rPr>
        <w:t>There are 1200 FQHC organizations in the nation, with more than 7000 clinic sites in rural and inner-city settings in all 50 states. Staffing includes roughly 8000 physicians, 9300 nurses, and 4700 nonphysician primary care providers.18 FQHCs also employ 3400 mental health and substance abuse specialists and 11 000 of the culturally relevant health educators, translators, and outreach workers essential for reaching out to immigrant, minority, low-income, and other potentially vulnerable populations.</w:t>
      </w:r>
      <w:r>
        <w:rPr>
          <w:u w:val="single"/>
        </w:rPr>
        <w:t xml:space="preserve"> </w:t>
      </w:r>
      <w:r w:rsidRPr="00A469ED">
        <w:rPr>
          <w:u w:val="single"/>
        </w:rPr>
        <w:t>FQHCs have a unique ability to meet the needs of underserved populations and to decompress overcrowded emergency rooms. We recently found a 30% absolute excess of uninsured emergency department visits in rural counties without an FQHC compared with counties that did have a health center.</w:t>
      </w:r>
      <w:r w:rsidRPr="00A469ED">
        <w:rPr>
          <w:sz w:val="16"/>
        </w:rPr>
        <w:t>19 In effect, FQHCs provide the right care to each patient in the right setting at the right time. They also have a unique ability to provide care that is free of disparities. Although vaccine shortages have challenged FQHCs, these shortages did not lead to racial disparities in immunization patterns for urban health centers that are accustomed to serving these populations.20</w:t>
      </w:r>
      <w:proofErr w:type="gramStart"/>
      <w:r w:rsidRPr="00A469ED">
        <w:rPr>
          <w:sz w:val="16"/>
        </w:rPr>
        <w:t>,21</w:t>
      </w:r>
      <w:proofErr w:type="gramEnd"/>
      <w:r w:rsidRPr="00A469ED">
        <w:rPr>
          <w:sz w:val="16"/>
        </w:rPr>
        <w:t xml:space="preserve"> Although each FQHC is an independent, community-governed organization, they are loosely tied together through 52 state or territorial primary care associations, which also receive federal funding. Although 88% of these associations have a seat on their state senior advisory committee for the federal Hospital Preparedness Program, only 30 (58%) received funding either from this program or from the Centers for Disease Control and Prevention's (CDC's) Public Health Preparedness Program in 2007. </w:t>
      </w:r>
      <w:r w:rsidRPr="00A469ED">
        <w:rPr>
          <w:u w:val="single"/>
        </w:rPr>
        <w:t>Only $11.1 million (0.7%) of the $1.56 billion in health care and public health emergency-management funding nationwide went to FQHCs and state primary care associations in fiscal year 2006.</w:t>
      </w:r>
      <w:r w:rsidRPr="00A469ED">
        <w:rPr>
          <w:sz w:val="16"/>
        </w:rPr>
        <w:t xml:space="preserve">22 Examples of coordinated planning to prevent an overwhelmed health care system include Connecticut's statewide all-hazards planning process, which includes 31 acute-care hospitals as well as Department of Veterans Affairs hospitals, psychiatric facilities, and all 13 state community health center organizations.23 Rural Health Clinics Over 3000 federally certified rural health clinics receive special Medicare reimbursement for services that include hiring nurse practitioners and physician assistants to address health professional shortages in underserved rural communities.24 However, these </w:t>
      </w:r>
      <w:r w:rsidRPr="00A469ED">
        <w:rPr>
          <w:u w:val="single"/>
        </w:rPr>
        <w:t>rural health clinics are typically smaller practices that do not receive additional grant funding to support care for uninsured patients, even though they serve high-need communities.</w:t>
      </w:r>
      <w:r w:rsidRPr="00A469ED">
        <w:rPr>
          <w:sz w:val="16"/>
        </w:rPr>
        <w:t xml:space="preserve"> In Georgia, rural counties with a rural health clinic actually demonstrated a higher rate of uninsured emergency department visits than even rural counties with no safety net clinic at all.19 </w:t>
      </w:r>
      <w:proofErr w:type="gramStart"/>
      <w:r w:rsidRPr="00A469ED">
        <w:rPr>
          <w:u w:val="single"/>
        </w:rPr>
        <w:t>Without</w:t>
      </w:r>
      <w:proofErr w:type="gramEnd"/>
      <w:r w:rsidRPr="00A469ED">
        <w:rPr>
          <w:u w:val="single"/>
        </w:rPr>
        <w:t xml:space="preserve"> additional funding </w:t>
      </w:r>
      <w:r w:rsidRPr="00A469ED">
        <w:rPr>
          <w:sz w:val="16"/>
        </w:rPr>
        <w:t xml:space="preserve">or staffing, </w:t>
      </w:r>
      <w:r w:rsidRPr="00A469ED">
        <w:rPr>
          <w:u w:val="single"/>
        </w:rPr>
        <w:t>rural health clinics would have limited surge capacity for pandemic influenza.</w:t>
      </w:r>
    </w:p>
    <w:p w:rsidR="002D1EEF" w:rsidRDefault="002D1EEF" w:rsidP="002D1EEF">
      <w:pPr>
        <w:rPr>
          <w:u w:val="single"/>
        </w:rPr>
      </w:pPr>
    </w:p>
    <w:p w:rsidR="002D1EEF" w:rsidRDefault="002D1EEF" w:rsidP="002D1EEF">
      <w:pPr>
        <w:pStyle w:val="Heading4"/>
      </w:pPr>
      <w:r>
        <w:t>CHCs provide aid to special-needs populations, reduce healthcare costs and provide care for less accessible parts of the population- that’s a solvency deficit to the aff</w:t>
      </w:r>
    </w:p>
    <w:p w:rsidR="002D1EEF" w:rsidRPr="00B024C9" w:rsidRDefault="002D1EEF" w:rsidP="002D1EEF">
      <w:r w:rsidRPr="00B024C9">
        <w:rPr>
          <w:rStyle w:val="Style13ptBold"/>
        </w:rPr>
        <w:t>Wood 9</w:t>
      </w:r>
      <w:r w:rsidRPr="00B024C9">
        <w:t xml:space="preserve"> (Karen Wood, "Community Health Centers: The Untapped Resource for Public Health and Medical Preparedness", 1-21-2009, HOMELAND SECURITY AFFAIRS, https://www.hsaj.org/articles/113)</w:t>
      </w:r>
      <w:r w:rsidRPr="00B213E7">
        <w:t xml:space="preserve"> </w:t>
      </w:r>
      <w:r>
        <w:t>//AO</w:t>
      </w:r>
    </w:p>
    <w:p w:rsidR="002D1EEF" w:rsidRPr="006C6192" w:rsidRDefault="002D1EEF" w:rsidP="002D1EEF">
      <w:pPr>
        <w:rPr>
          <w:sz w:val="14"/>
        </w:rPr>
      </w:pPr>
      <w:r w:rsidRPr="00B024C9">
        <w:rPr>
          <w:sz w:val="14"/>
        </w:rPr>
        <w:t xml:space="preserve">Public discourse and academic research has established that </w:t>
      </w:r>
      <w:r w:rsidRPr="009119C7">
        <w:rPr>
          <w:u w:val="single"/>
        </w:rPr>
        <w:t xml:space="preserve">the United States is in the midst of a healthcare crisis with the number of persons presenting without medical insurance reaching dangerously high levels and impacting service delivery and the accessibility of basic healthcare. </w:t>
      </w:r>
      <w:r w:rsidRPr="00B024C9">
        <w:rPr>
          <w:sz w:val="14"/>
        </w:rPr>
        <w:t xml:space="preserve">47 This has created comparatively greater hardship for racial and ethnic minorities in this country, as was substantiated by an Institute of Medicine report documenting inequities in medical treatment among these groups. 48 Even when these individuals have the same health insurance and similar access to a health care provider as non-minorities, research indicates that minorities tend to receive a lower quality of healthcare (e.g. not receiving the needed services, receiving less desirable services) than whites. 49 Much of the argument points to the need to socialize healthcare in some form or another to reduce healthcare costs, minimize or eliminate health disparities, and provide universal access to residents of the United States. While some individuals may not view the public financing of healthcare as desirable, the social and economic costs of inequities in health are a cost shared by all. 50 For example, the Centers for Disease Control and Prevention indicates that costs associated with chronic diseases – the most common and the most costly – account for more than 70 percent of the $1 trillion in U.S. healthcare expenditures each year. 51 </w:t>
      </w:r>
      <w:r w:rsidRPr="007A6914">
        <w:rPr>
          <w:u w:val="single"/>
        </w:rPr>
        <w:t>Chronic diseases are largely preventable diseases</w:t>
      </w:r>
      <w:r w:rsidRPr="00B024C9">
        <w:rPr>
          <w:sz w:val="14"/>
        </w:rPr>
        <w:t xml:space="preserve">. 52 Therefore, reductions in the prevalence of disease, in any population, should in turn accrue healthcare cost savings and other benefits for all. As it happens, </w:t>
      </w:r>
      <w:r w:rsidRPr="004138CD">
        <w:rPr>
          <w:u w:val="single"/>
        </w:rPr>
        <w:t>health disparities research demonstrates vulnerable populations suffer a disproportionate share of the chronic disease burden. 53</w:t>
      </w:r>
      <w:r>
        <w:rPr>
          <w:u w:val="single"/>
        </w:rPr>
        <w:t xml:space="preserve"> </w:t>
      </w:r>
      <w:r w:rsidRPr="00B024C9">
        <w:rPr>
          <w:sz w:val="14"/>
        </w:rPr>
        <w:t xml:space="preserve">As a federal program, the </w:t>
      </w:r>
      <w:r w:rsidRPr="007A6914">
        <w:rPr>
          <w:u w:val="single"/>
        </w:rPr>
        <w:t xml:space="preserve">CHCs have made significant contributions in this </w:t>
      </w:r>
      <w:r w:rsidRPr="004138CD">
        <w:rPr>
          <w:u w:val="single"/>
        </w:rPr>
        <w:t>domain. “Health centers are a principle strategy for anchoring accessible, high quality primary health care in pervasively poor and uninsured communities that, without such investment, could not hope to independently attract and support sufficient private medical care practices</w:t>
      </w:r>
      <w:r w:rsidRPr="00B024C9">
        <w:rPr>
          <w:sz w:val="14"/>
        </w:rPr>
        <w:t xml:space="preserve">.” 54 </w:t>
      </w:r>
      <w:r w:rsidRPr="004138CD">
        <w:rPr>
          <w:u w:val="single"/>
        </w:rPr>
        <w:t>The same factors of quality health care accessibility that have contributed to health disparities in racial and ethnic minorities will similarly surface during a public health crisis but could potentially result in higher consequences for these vulnerable populations and the medical infrastructure as a whole.</w:t>
      </w:r>
      <w:r w:rsidRPr="00B024C9">
        <w:rPr>
          <w:sz w:val="14"/>
        </w:rPr>
        <w:t xml:space="preserve"> The need to systematically and concretely conduct emergency planning to meet the needs of the socially disadvantaged has been advocated by numerous researchers and emergency management professionals and is captured in a distinct course offered through FEMA’s Emergency Management Institute. 55 Fortunately, a niche profession of special-needs emergency planners has surfaced to provide leadership in this domain. Special-needs populations can be defined as “groups whose needs may not be fully addressed by traditional service providers or who feel they may not comfortably or safely access and use the standard resources offered in disaster preparedness, response, relief, and recovery.” 56 </w:t>
      </w:r>
      <w:r w:rsidRPr="002D1C55">
        <w:rPr>
          <w:u w:val="single"/>
        </w:rPr>
        <w:t>Planning for special-needs or vulnerable populations has received significant attention recently as evidenced by its inclusion in the Congressional Research Service Report, Public Health Medical Preparedness and Response: Issues in the 110th Congress and the Homeland Security Programs Grant (HSPG) guidance where it receives mention as an “area of paramount concern.” 57</w:t>
      </w:r>
      <w:r>
        <w:rPr>
          <w:u w:val="single"/>
        </w:rPr>
        <w:t xml:space="preserve"> </w:t>
      </w:r>
      <w:r w:rsidRPr="002D1C55">
        <w:rPr>
          <w:u w:val="single"/>
        </w:rPr>
        <w:t>A large portion of these special-needs populations comprise CHCs’ target populations and vice versa. Through</w:t>
      </w:r>
      <w:r w:rsidRPr="004138CD">
        <w:rPr>
          <w:u w:val="single"/>
        </w:rPr>
        <w:t xml:space="preserve"> expansion of the Health Center Program and dedicated funding to create robust emergency management programs within CHCs, the administration can make substantial improvements in healthcare accessibility and cost, reduce health disparities, 58 and positively improve the nation’s public health and medical preparedness. With dedicated support, CHCs could be well positioned to be fundamental agents for these groups during a public health crisis and other emergencies.</w:t>
      </w:r>
      <w:r>
        <w:rPr>
          <w:u w:val="single"/>
        </w:rPr>
        <w:t xml:space="preserve"> </w:t>
      </w:r>
      <w:r w:rsidRPr="004138CD">
        <w:rPr>
          <w:u w:val="single"/>
        </w:rPr>
        <w:t>During non-emergency operations the provision of primary and preventive healthcare to underserved populations saves the system money in both the short and long term. CHCs already save the national health care system between $9.9 billion and $17.6 billion a year by helping patients avoid emergency room visits through better use of preventive services</w:t>
      </w:r>
      <w:r w:rsidRPr="00B024C9">
        <w:rPr>
          <w:sz w:val="14"/>
        </w:rPr>
        <w:t xml:space="preserve">, 59 but an additional $18 billion still aggregates each year from emergency room visits that could have and should have been managed through health center providers. 60 The expectation during emergency operations is that </w:t>
      </w:r>
      <w:r w:rsidRPr="002D1C55">
        <w:rPr>
          <w:u w:val="single"/>
        </w:rPr>
        <w:t>care would be more widely available to not only the special-needs populations, but to the greater population as a whole through the systematic management of the afflicted and the concerned, ultimately ensuring that those in need of specialized care will have an improved chance of access by preventing and mitigating infection and subsequent surge up front</w:t>
      </w:r>
      <w:r w:rsidRPr="00B024C9">
        <w:rPr>
          <w:sz w:val="14"/>
        </w:rPr>
        <w:t>. Even without significant CHC expansion, improved coordination and integration could augment medical preparedness and response capabilities.</w:t>
      </w:r>
    </w:p>
    <w:p w:rsidR="002D1EEF" w:rsidRDefault="002D1EEF" w:rsidP="002D1EEF">
      <w:pPr>
        <w:rPr>
          <w:sz w:val="14"/>
        </w:rPr>
      </w:pPr>
    </w:p>
    <w:p w:rsidR="002D1EEF" w:rsidRDefault="002D1EEF" w:rsidP="002D1EEF">
      <w:pPr>
        <w:pStyle w:val="Heading4"/>
      </w:pPr>
      <w:r>
        <w:t>FQHCs specialize in newly-insured and uninsured populations—quality and effectiveness exceed private physicians</w:t>
      </w:r>
    </w:p>
    <w:p w:rsidR="002D1EEF" w:rsidRPr="007A30C3" w:rsidRDefault="002D1EEF" w:rsidP="002D1EEF">
      <w:r>
        <w:rPr>
          <w:b/>
        </w:rPr>
        <w:t xml:space="preserve">Russell 13 </w:t>
      </w:r>
      <w:r w:rsidRPr="007018AF">
        <w:rPr>
          <w:sz w:val="18"/>
          <w:szCs w:val="18"/>
        </w:rPr>
        <w:t>(Laura Russell, “Federally Qualified Health Centers: Are They Effective,” Center for Healthcare Research &amp; Transformation, 7/23/13, https://www.chrt.org/publication/federally-qualified-health-centers-effective/)//jy</w:t>
      </w:r>
    </w:p>
    <w:p w:rsidR="002D1EEF" w:rsidRPr="003F0A9B" w:rsidRDefault="002D1EEF" w:rsidP="002D1EEF">
      <w:pPr>
        <w:rPr>
          <w:sz w:val="14"/>
        </w:rPr>
      </w:pPr>
      <w:r w:rsidRPr="003F0A9B">
        <w:rPr>
          <w:sz w:val="14"/>
        </w:rPr>
        <w:t xml:space="preserve">The bottom line answer to this question is that </w:t>
      </w:r>
      <w:r w:rsidRPr="006C1A07">
        <w:rPr>
          <w:u w:val="single"/>
        </w:rPr>
        <w:t>FQHCs</w:t>
      </w:r>
      <w:r w:rsidRPr="003F0A9B">
        <w:rPr>
          <w:sz w:val="14"/>
        </w:rPr>
        <w:t xml:space="preserve"> are generally meeting their original goals by serving low-income populations with quality, cost-effective health care. Specifically: Health centers, which include FQHCs and FQHC look-alikes</w:t>
      </w:r>
      <w:proofErr w:type="gramStart"/>
      <w:r w:rsidRPr="003F0A9B">
        <w:rPr>
          <w:sz w:val="14"/>
        </w:rPr>
        <w:t>,</w:t>
      </w:r>
      <w:proofErr w:type="gramEnd"/>
      <w:r w:rsidR="00266AB6">
        <w:rPr>
          <w:rStyle w:val="Hyperlink"/>
          <w:sz w:val="14"/>
        </w:rPr>
        <w:fldChar w:fldCharType="begin"/>
      </w:r>
      <w:r w:rsidR="00266AB6">
        <w:rPr>
          <w:rStyle w:val="Hyperlink"/>
          <w:sz w:val="14"/>
        </w:rPr>
        <w:instrText xml:space="preserve"> HYPERLINK "https://www.chrt.org/publication/federally-qualified-health-centers-effective/" \l "footnote-primary-4" </w:instrText>
      </w:r>
      <w:r w:rsidR="00266AB6">
        <w:rPr>
          <w:rStyle w:val="Hyperlink"/>
          <w:sz w:val="14"/>
        </w:rPr>
        <w:fldChar w:fldCharType="separate"/>
      </w:r>
      <w:r w:rsidRPr="003F0A9B">
        <w:rPr>
          <w:rStyle w:val="Hyperlink"/>
          <w:sz w:val="14"/>
        </w:rPr>
        <w:t>4</w:t>
      </w:r>
      <w:r w:rsidR="00266AB6">
        <w:rPr>
          <w:rStyle w:val="Hyperlink"/>
          <w:sz w:val="14"/>
        </w:rPr>
        <w:fldChar w:fldCharType="end"/>
      </w:r>
      <w:r w:rsidRPr="003F0A9B">
        <w:rPr>
          <w:sz w:val="14"/>
        </w:rPr>
        <w:t xml:space="preserve"> </w:t>
      </w:r>
      <w:r w:rsidRPr="00AF4661">
        <w:rPr>
          <w:u w:val="single"/>
        </w:rPr>
        <w:t>are providing care to more than 20 million people in the country</w:t>
      </w:r>
      <w:r w:rsidRPr="003F0A9B">
        <w:rPr>
          <w:sz w:val="14"/>
        </w:rPr>
        <w:t xml:space="preserve"> and more than 600,000 people in Michigan. In 2010, </w:t>
      </w:r>
      <w:r w:rsidRPr="00AF4661">
        <w:rPr>
          <w:u w:val="single"/>
        </w:rPr>
        <w:t>health centers served about 15 percent of the uninsured, 16 percent of the Medicaid population, and 1.6 percent of the privately uninsured, nationally.</w:t>
      </w:r>
      <w:hyperlink r:id="rId306" w:anchor="footnote-primary-5" w:history="1">
        <w:r w:rsidRPr="003F0A9B">
          <w:rPr>
            <w:rStyle w:val="Hyperlink"/>
            <w:sz w:val="14"/>
          </w:rPr>
          <w:t>5</w:t>
        </w:r>
      </w:hyperlink>
      <w:r w:rsidRPr="003F0A9B">
        <w:rPr>
          <w:sz w:val="14"/>
        </w:rPr>
        <w:t xml:space="preserve"> Similarly, Michigan health centers served about 15 percent of the uninsured, 16 percent of the Medicaid population, and fewer than 2 percent of the privately uninsured in 2010.</w:t>
      </w:r>
      <w:hyperlink r:id="rId307" w:anchor="footnote-primary-6" w:history="1">
        <w:r w:rsidRPr="003F0A9B">
          <w:rPr>
            <w:rStyle w:val="Hyperlink"/>
            <w:sz w:val="14"/>
          </w:rPr>
          <w:t>6</w:t>
        </w:r>
      </w:hyperlink>
      <w:r w:rsidRPr="003F0A9B">
        <w:rPr>
          <w:sz w:val="14"/>
        </w:rPr>
        <w:t xml:space="preserve"> There remains a significant unmet need.</w:t>
      </w:r>
      <w:hyperlink r:id="rId308" w:anchor="footnote-primary-7" w:history="1">
        <w:r w:rsidRPr="003F0A9B">
          <w:rPr>
            <w:rStyle w:val="Hyperlink"/>
            <w:sz w:val="14"/>
          </w:rPr>
          <w:t>7</w:t>
        </w:r>
      </w:hyperlink>
      <w:r w:rsidRPr="003F0A9B">
        <w:rPr>
          <w:sz w:val="14"/>
        </w:rPr>
        <w:t xml:space="preserve"> With the ACA Medicaid expansion, FQHCs will become increasingly important. A study of Massachusetts health centers found that the </w:t>
      </w:r>
      <w:r w:rsidRPr="0029185E">
        <w:rPr>
          <w:u w:val="single"/>
        </w:rPr>
        <w:t>newly insured population did not significantly shift to private health care sources after the state implemented its health reform</w:t>
      </w:r>
      <w:r w:rsidRPr="003F0A9B">
        <w:rPr>
          <w:sz w:val="14"/>
        </w:rPr>
        <w:t>.</w:t>
      </w:r>
      <w:hyperlink r:id="rId309" w:anchor="footnote-primary-8" w:history="1">
        <w:r w:rsidRPr="003F0A9B">
          <w:rPr>
            <w:rStyle w:val="Hyperlink"/>
            <w:sz w:val="14"/>
          </w:rPr>
          <w:t>8</w:t>
        </w:r>
      </w:hyperlink>
      <w:r w:rsidRPr="003F0A9B">
        <w:rPr>
          <w:sz w:val="14"/>
        </w:rPr>
        <w:t xml:space="preserve"> In fact, health centers experienced a 31 percent increase in patient volume between 2005 and 2009.</w:t>
      </w:r>
      <w:hyperlink r:id="rId310" w:anchor="footnote-primary-9" w:history="1">
        <w:r w:rsidRPr="003F0A9B">
          <w:rPr>
            <w:rStyle w:val="Hyperlink"/>
            <w:sz w:val="14"/>
          </w:rPr>
          <w:t>9</w:t>
        </w:r>
      </w:hyperlink>
      <w:r w:rsidRPr="003F0A9B">
        <w:rPr>
          <w:sz w:val="14"/>
        </w:rPr>
        <w:t xml:space="preserve"> </w:t>
      </w:r>
      <w:r w:rsidRPr="0029185E">
        <w:rPr>
          <w:u w:val="single"/>
        </w:rPr>
        <w:t>Health centers played a major role in caring for the newly insured, particularly during a period when many had difficulty finding primary care, while continuing to serve uninsured residents. Health centers also provided insurance enrollment assistance for the newly eligible</w:t>
      </w:r>
      <w:r w:rsidRPr="003F0A9B">
        <w:rPr>
          <w:sz w:val="14"/>
        </w:rPr>
        <w:t>. The National Association of Community Health Centers expects health centers to double their capacity to 40 million patients by 2019.</w:t>
      </w:r>
      <w:hyperlink r:id="rId311" w:anchor="footnote-primary-10" w:history="1">
        <w:r w:rsidRPr="003F0A9B">
          <w:rPr>
            <w:rStyle w:val="Hyperlink"/>
            <w:sz w:val="14"/>
          </w:rPr>
          <w:t>10</w:t>
        </w:r>
      </w:hyperlink>
      <w:r w:rsidRPr="003F0A9B">
        <w:rPr>
          <w:sz w:val="14"/>
        </w:rPr>
        <w:t xml:space="preserve"> The Michigan Primary Care Association anticipates the patient capacity of Michigan’s health centers will increase to between 800,000 and 1 million patients by 2015.</w:t>
      </w:r>
      <w:hyperlink r:id="rId312" w:anchor="footnote-primary-11" w:history="1">
        <w:r w:rsidRPr="003F0A9B">
          <w:rPr>
            <w:rStyle w:val="Hyperlink"/>
            <w:sz w:val="14"/>
          </w:rPr>
          <w:t>11</w:t>
        </w:r>
      </w:hyperlink>
      <w:r w:rsidRPr="003F0A9B">
        <w:rPr>
          <w:sz w:val="14"/>
        </w:rPr>
        <w:t xml:space="preserve"> </w:t>
      </w:r>
      <w:r w:rsidRPr="0029185E">
        <w:rPr>
          <w:u w:val="single"/>
        </w:rPr>
        <w:t>Quality of care at health centers is comparable to that of private practice physicians, despite serving patients who are generally sicker and poorer</w:t>
      </w:r>
      <w:r w:rsidRPr="003F0A9B">
        <w:rPr>
          <w:sz w:val="14"/>
        </w:rPr>
        <w:t>.</w:t>
      </w:r>
      <w:hyperlink r:id="rId313" w:anchor="footnote-primary-12" w:history="1">
        <w:r w:rsidRPr="003F0A9B">
          <w:rPr>
            <w:rStyle w:val="Hyperlink"/>
            <w:sz w:val="14"/>
          </w:rPr>
          <w:t>12</w:t>
        </w:r>
      </w:hyperlink>
      <w:r w:rsidRPr="003F0A9B">
        <w:rPr>
          <w:sz w:val="14"/>
        </w:rPr>
        <w:t xml:space="preserve"> </w:t>
      </w:r>
      <w:hyperlink r:id="rId314" w:anchor="footnote-primary-13" w:history="1">
        <w:r w:rsidRPr="003F0A9B">
          <w:rPr>
            <w:rStyle w:val="Hyperlink"/>
            <w:sz w:val="14"/>
          </w:rPr>
          <w:t>13</w:t>
        </w:r>
      </w:hyperlink>
      <w:r w:rsidRPr="003F0A9B">
        <w:rPr>
          <w:sz w:val="14"/>
        </w:rPr>
        <w:t xml:space="preserve"> </w:t>
      </w:r>
      <w:hyperlink r:id="rId315" w:anchor="footnote-primary-14" w:history="1">
        <w:r w:rsidRPr="003F0A9B">
          <w:rPr>
            <w:rStyle w:val="Hyperlink"/>
            <w:sz w:val="14"/>
          </w:rPr>
          <w:t>14</w:t>
        </w:r>
      </w:hyperlink>
      <w:r w:rsidRPr="003F0A9B">
        <w:rPr>
          <w:sz w:val="14"/>
        </w:rPr>
        <w:t xml:space="preserve"> </w:t>
      </w:r>
      <w:hyperlink r:id="rId316" w:anchor="footnote-primary-15" w:history="1">
        <w:r w:rsidRPr="003F0A9B">
          <w:rPr>
            <w:rStyle w:val="Hyperlink"/>
            <w:sz w:val="14"/>
          </w:rPr>
          <w:t>15</w:t>
        </w:r>
      </w:hyperlink>
      <w:r w:rsidRPr="003F0A9B">
        <w:rPr>
          <w:sz w:val="14"/>
        </w:rPr>
        <w:t xml:space="preserve"> Research indicates that, </w:t>
      </w:r>
      <w:r w:rsidRPr="00AB2A13">
        <w:rPr>
          <w:u w:val="single"/>
        </w:rPr>
        <w:t>while there is variability across health centers</w:t>
      </w:r>
      <w:r w:rsidRPr="003F0A9B">
        <w:rPr>
          <w:sz w:val="14"/>
        </w:rPr>
        <w:t>,</w:t>
      </w:r>
      <w:hyperlink r:id="rId317" w:anchor="footnote-primary-16" w:history="1">
        <w:r w:rsidRPr="003F0A9B">
          <w:rPr>
            <w:rStyle w:val="Hyperlink"/>
            <w:sz w:val="14"/>
          </w:rPr>
          <w:t>16</w:t>
        </w:r>
      </w:hyperlink>
      <w:r w:rsidRPr="003F0A9B">
        <w:rPr>
          <w:sz w:val="14"/>
        </w:rPr>
        <w:t xml:space="preserve"> </w:t>
      </w:r>
      <w:r w:rsidRPr="00AB2A13">
        <w:rPr>
          <w:u w:val="single"/>
        </w:rPr>
        <w:t>they perform equal or better than private practice physicians on established ambulatory care quality measure categories</w:t>
      </w:r>
      <w:r w:rsidRPr="003F0A9B">
        <w:rPr>
          <w:sz w:val="14"/>
        </w:rPr>
        <w:t xml:space="preserve"> (pharmacologic management of chronic disease, preventive counseling, appropriate use of screenings and appropriate prescribing for elderly patients).</w:t>
      </w:r>
      <w:hyperlink r:id="rId318" w:anchor="footnote-primary-17" w:history="1">
        <w:r w:rsidRPr="003F0A9B">
          <w:rPr>
            <w:rStyle w:val="Hyperlink"/>
            <w:sz w:val="14"/>
          </w:rPr>
          <w:t>17</w:t>
        </w:r>
      </w:hyperlink>
      <w:r w:rsidRPr="003F0A9B">
        <w:rPr>
          <w:sz w:val="14"/>
        </w:rPr>
        <w:t xml:space="preserve"> Health center patients are more likely to be Medicaid-insured, obese or depressed and have a lower household income than the patients of private practice physicians.</w:t>
      </w:r>
      <w:hyperlink r:id="rId319" w:anchor="footnote-primary-18" w:history="1">
        <w:r w:rsidRPr="003F0A9B">
          <w:rPr>
            <w:rStyle w:val="Hyperlink"/>
            <w:sz w:val="14"/>
          </w:rPr>
          <w:t>18</w:t>
        </w:r>
      </w:hyperlink>
      <w:r w:rsidRPr="003F0A9B">
        <w:rPr>
          <w:sz w:val="14"/>
        </w:rPr>
        <w:t xml:space="preserve"> </w:t>
      </w:r>
      <w:hyperlink r:id="rId320" w:anchor="footnote-primary-19" w:history="1">
        <w:r w:rsidRPr="003F0A9B">
          <w:rPr>
            <w:rStyle w:val="Hyperlink"/>
            <w:sz w:val="14"/>
          </w:rPr>
          <w:t>19</w:t>
        </w:r>
      </w:hyperlink>
      <w:r w:rsidRPr="003F0A9B">
        <w:rPr>
          <w:sz w:val="14"/>
        </w:rPr>
        <w:t xml:space="preserve"> Health centers appear to be cost effective. </w:t>
      </w:r>
      <w:r w:rsidRPr="00B038D4">
        <w:rPr>
          <w:u w:val="single"/>
        </w:rPr>
        <w:t>Health centers have demonstrated lower rates of preventable hospitalizations and lower emergency department visits than comparable populations that did not use health centers</w:t>
      </w:r>
      <w:r w:rsidRPr="003F0A9B">
        <w:rPr>
          <w:sz w:val="14"/>
        </w:rPr>
        <w:t>, likely because health centers offer a regular source of care and focus on primary care.</w:t>
      </w:r>
      <w:hyperlink r:id="rId321" w:anchor="footnote-primary-20" w:history="1">
        <w:r w:rsidRPr="003F0A9B">
          <w:rPr>
            <w:rStyle w:val="Hyperlink"/>
            <w:sz w:val="14"/>
          </w:rPr>
          <w:t>20</w:t>
        </w:r>
      </w:hyperlink>
      <w:r w:rsidRPr="003F0A9B">
        <w:rPr>
          <w:sz w:val="14"/>
        </w:rPr>
        <w:t xml:space="preserve"> </w:t>
      </w:r>
      <w:hyperlink r:id="rId322" w:anchor="footnote-primary-21" w:history="1">
        <w:r w:rsidRPr="003F0A9B">
          <w:rPr>
            <w:rStyle w:val="Hyperlink"/>
            <w:sz w:val="14"/>
          </w:rPr>
          <w:t>21</w:t>
        </w:r>
      </w:hyperlink>
      <w:r w:rsidRPr="003F0A9B">
        <w:rPr>
          <w:sz w:val="14"/>
        </w:rPr>
        <w:t xml:space="preserve"> </w:t>
      </w:r>
      <w:hyperlink r:id="rId323" w:anchor="footnote-primary-22" w:history="1">
        <w:r w:rsidRPr="003F0A9B">
          <w:rPr>
            <w:rStyle w:val="Hyperlink"/>
            <w:sz w:val="14"/>
          </w:rPr>
          <w:t>22</w:t>
        </w:r>
      </w:hyperlink>
      <w:r w:rsidRPr="003F0A9B">
        <w:rPr>
          <w:sz w:val="14"/>
        </w:rPr>
        <w:t xml:space="preserve"> </w:t>
      </w:r>
      <w:hyperlink r:id="rId324" w:anchor="footnote-primary-23" w:history="1">
        <w:r w:rsidRPr="003F0A9B">
          <w:rPr>
            <w:rStyle w:val="Hyperlink"/>
            <w:sz w:val="14"/>
          </w:rPr>
          <w:t>23</w:t>
        </w:r>
      </w:hyperlink>
      <w:r w:rsidRPr="003F0A9B">
        <w:rPr>
          <w:sz w:val="14"/>
        </w:rPr>
        <w:t xml:space="preserve"> </w:t>
      </w:r>
      <w:hyperlink r:id="rId325" w:anchor="footnote-primary-24" w:history="1">
        <w:r w:rsidRPr="003F0A9B">
          <w:rPr>
            <w:rStyle w:val="Hyperlink"/>
            <w:sz w:val="14"/>
          </w:rPr>
          <w:t>24</w:t>
        </w:r>
      </w:hyperlink>
      <w:r w:rsidRPr="003F0A9B">
        <w:rPr>
          <w:sz w:val="14"/>
        </w:rPr>
        <w:t>One Michigan study, commissioned by the Michigan Primary Care Association, found that Michigan FQHCs saved the Michigan Medicaid program $44.87 per member per month overall, relative to the cost of Medicaid fee-for-service beneficiaries who do not use FQHCs.</w:t>
      </w:r>
      <w:hyperlink r:id="rId326" w:anchor="footnote-primary-25" w:history="1">
        <w:r w:rsidRPr="003F0A9B">
          <w:rPr>
            <w:rStyle w:val="Hyperlink"/>
            <w:sz w:val="14"/>
          </w:rPr>
          <w:t>25</w:t>
        </w:r>
      </w:hyperlink>
    </w:p>
    <w:p w:rsidR="002D1EEF" w:rsidRDefault="002D1EEF" w:rsidP="002D1EEF">
      <w:pPr>
        <w:rPr>
          <w:sz w:val="14"/>
        </w:rPr>
      </w:pPr>
    </w:p>
    <w:p w:rsidR="002D1EEF" w:rsidRDefault="002D1EEF" w:rsidP="002D1EEF">
      <w:pPr>
        <w:pStyle w:val="Heading3"/>
      </w:pPr>
      <w:r>
        <w:t>2nc – funding key</w:t>
      </w:r>
    </w:p>
    <w:p w:rsidR="002D1EEF" w:rsidRDefault="002D1EEF" w:rsidP="002D1EEF">
      <w:pPr>
        <w:pStyle w:val="Heading4"/>
      </w:pPr>
      <w:r>
        <w:t>Congressional funding key to sustain CHC success- better than private care and avoids politics</w:t>
      </w:r>
    </w:p>
    <w:p w:rsidR="002D1EEF" w:rsidRPr="00F06B6C" w:rsidRDefault="002D1EEF" w:rsidP="002D1EEF">
      <w:r w:rsidRPr="00F06B6C">
        <w:rPr>
          <w:rStyle w:val="Style13ptBold"/>
        </w:rPr>
        <w:t>Lewis, Riley and Abrams 17</w:t>
      </w:r>
      <w:r>
        <w:t xml:space="preserve"> (</w:t>
      </w:r>
      <w:hyperlink r:id="rId327" w:history="1">
        <w:r w:rsidRPr="001A2E40">
          <w:rPr>
            <w:rStyle w:val="Hyperlink"/>
          </w:rPr>
          <w:t>Corinne Lewis</w:t>
        </w:r>
      </w:hyperlink>
      <w:r w:rsidRPr="001A2E40">
        <w:t xml:space="preserve">, research associate in The Commonwealth Fund’s Delivery System Reform Program, former research analyst with Mathematica Policy Research, former project coordinator at the Laboratory for Youth Mental Health at Harvard, </w:t>
      </w:r>
      <w:hyperlink r:id="rId328" w:history="1">
        <w:r w:rsidRPr="001A2E40">
          <w:rPr>
            <w:rStyle w:val="Hyperlink"/>
          </w:rPr>
          <w:t>Pamela Riley, M.D.</w:t>
        </w:r>
      </w:hyperlink>
      <w:r w:rsidRPr="001A2E40">
        <w:t xml:space="preserve"> from UCLA, vice president for Delivery System Reform at The Commonwealth Fund, former program officer at the New York State Health Foundation, former clinical instructor in the Division of General Pediatrics at Stanford, former Duke University Sanford School of Public Policy Global Health Policy Fellow at the World Health Organization in Geneva, </w:t>
      </w:r>
      <w:hyperlink r:id="rId329" w:history="1">
        <w:r w:rsidRPr="001A2E40">
          <w:rPr>
            <w:rStyle w:val="Hyperlink"/>
          </w:rPr>
          <w:t>Melinda K. Abrams</w:t>
        </w:r>
      </w:hyperlink>
      <w:r w:rsidRPr="001A2E40">
        <w:t>, director of the Commonwealth Fund's Health Care Delivery System Reform program, recipient of a Champion Award from the Primary Care Development Corporation and a Primary Care Community/Research Leadership Award from the Patient-Centered Primary Care Collaborative, 12/21/17, “Care for Millions at Risk as Community Health Centers Lose Billions in Funding”, https://www.commonwealthfund</w:t>
      </w:r>
      <w:r w:rsidRPr="00F06B6C">
        <w:t>.org/blog/2017/care-millions-risk-community-health-centers-lose-billions-funding)/CWB</w:t>
      </w:r>
    </w:p>
    <w:p w:rsidR="002D1EEF" w:rsidRDefault="002D1EEF" w:rsidP="002D1EEF">
      <w:pPr>
        <w:rPr>
          <w:rStyle w:val="StyleUnderline"/>
        </w:rPr>
      </w:pPr>
      <w:r w:rsidRPr="00F06B6C">
        <w:rPr>
          <w:sz w:val="16"/>
        </w:rPr>
        <w:t xml:space="preserve">Today, more than 10,000 </w:t>
      </w:r>
      <w:r w:rsidRPr="00F06B6C">
        <w:rPr>
          <w:rStyle w:val="StyleUnderline"/>
        </w:rPr>
        <w:t>community health center</w:t>
      </w:r>
      <w:r w:rsidRPr="00F06B6C">
        <w:rPr>
          <w:sz w:val="16"/>
        </w:rPr>
        <w:t xml:space="preserve"> sites across the United States are </w:t>
      </w:r>
      <w:r w:rsidRPr="00F06B6C">
        <w:rPr>
          <w:rStyle w:val="StyleUnderline"/>
        </w:rPr>
        <w:t>providing primary health care</w:t>
      </w:r>
      <w:r w:rsidRPr="00F06B6C">
        <w:rPr>
          <w:sz w:val="16"/>
        </w:rPr>
        <w:t xml:space="preserve"> to one in 13 Americans, </w:t>
      </w:r>
      <w:r w:rsidRPr="00F06B6C">
        <w:rPr>
          <w:rStyle w:val="StyleUnderline"/>
        </w:rPr>
        <w:t xml:space="preserve">regardless of their ability to pay. Community health centers have </w:t>
      </w:r>
      <w:r w:rsidRPr="00F06B6C">
        <w:rPr>
          <w:rStyle w:val="Emphasis"/>
        </w:rPr>
        <w:t>long enjoyed bipartisan support</w:t>
      </w:r>
      <w:r w:rsidRPr="00F06B6C">
        <w:rPr>
          <w:rStyle w:val="StyleUnderline"/>
        </w:rPr>
        <w:t xml:space="preserve">. But Congress has recently </w:t>
      </w:r>
      <w:r w:rsidRPr="00F06B6C">
        <w:rPr>
          <w:rStyle w:val="Emphasis"/>
        </w:rPr>
        <w:t>failed to renew a critical funding source</w:t>
      </w:r>
      <w:r w:rsidRPr="00F06B6C">
        <w:rPr>
          <w:rStyle w:val="StyleUnderline"/>
        </w:rPr>
        <w:t xml:space="preserve"> for them: the Community Health Center Fund, which was authorized in the Affordable Care Act (ACA). </w:t>
      </w:r>
      <w:r w:rsidRPr="00F06B6C">
        <w:rPr>
          <w:rStyle w:val="Emphasis"/>
        </w:rPr>
        <w:t>If Congress does not act</w:t>
      </w:r>
      <w:r w:rsidRPr="00F06B6C">
        <w:rPr>
          <w:rStyle w:val="StyleUnderline"/>
        </w:rPr>
        <w:t xml:space="preserve">, community health centers will lose nearly 70 percent of the federal dollars they rely on to operate. </w:t>
      </w:r>
      <w:r w:rsidRPr="00F06B6C">
        <w:rPr>
          <w:sz w:val="16"/>
        </w:rPr>
        <w:t xml:space="preserve">The U.S. Department of Health and Human Services estimates that the significant funding cut would </w:t>
      </w:r>
      <w:r w:rsidRPr="00F06B6C">
        <w:rPr>
          <w:rStyle w:val="StyleUnderline"/>
        </w:rPr>
        <w:t xml:space="preserve">lead to one-quarter of </w:t>
      </w:r>
      <w:r w:rsidRPr="00F06B6C">
        <w:rPr>
          <w:rStyle w:val="Emphasis"/>
        </w:rPr>
        <w:t>community health centers</w:t>
      </w:r>
      <w:r w:rsidRPr="00F06B6C">
        <w:rPr>
          <w:rStyle w:val="StyleUnderline"/>
        </w:rPr>
        <w:t xml:space="preserve"> sites </w:t>
      </w:r>
      <w:r w:rsidRPr="00F06B6C">
        <w:rPr>
          <w:rStyle w:val="Emphasis"/>
        </w:rPr>
        <w:t>closing, 51,000 workers being laid off, and 9 million people</w:t>
      </w:r>
      <w:r w:rsidRPr="00F06B6C">
        <w:rPr>
          <w:rStyle w:val="StyleUnderline"/>
        </w:rPr>
        <w:t xml:space="preserve"> — more than one-third of all community health center patients — </w:t>
      </w:r>
      <w:r w:rsidRPr="00F06B6C">
        <w:rPr>
          <w:rStyle w:val="Emphasis"/>
        </w:rPr>
        <w:t>losing the</w:t>
      </w:r>
      <w:r w:rsidRPr="00F06B6C">
        <w:rPr>
          <w:rStyle w:val="StyleUnderline"/>
        </w:rPr>
        <w:t xml:space="preserve"> comprehensive, high-quality, and low-cost </w:t>
      </w:r>
      <w:r w:rsidRPr="00F06B6C">
        <w:rPr>
          <w:rStyle w:val="Emphasis"/>
        </w:rPr>
        <w:t>care they need</w:t>
      </w:r>
      <w:r w:rsidRPr="00F06B6C">
        <w:rPr>
          <w:sz w:val="16"/>
        </w:rPr>
        <w:t xml:space="preserve">. A Range of High-Quality, Cost-Effective Services </w:t>
      </w:r>
      <w:r w:rsidRPr="00F06B6C">
        <w:rPr>
          <w:rStyle w:val="Emphasis"/>
        </w:rPr>
        <w:t>Community health centers play a vital role in the U.S. health care</w:t>
      </w:r>
      <w:r w:rsidRPr="00F06B6C">
        <w:rPr>
          <w:rStyle w:val="StyleUnderline"/>
        </w:rPr>
        <w:t xml:space="preserve"> safety-net by providing lifesaving medical care </w:t>
      </w:r>
      <w:r w:rsidRPr="00F06B6C">
        <w:rPr>
          <w:rStyle w:val="Emphasis"/>
        </w:rPr>
        <w:t xml:space="preserve">for those with no other options. They are on the </w:t>
      </w:r>
      <w:hyperlink r:id="rId330" w:tgtFrame="_blank" w:history="1">
        <w:r w:rsidRPr="00F06B6C">
          <w:rPr>
            <w:rStyle w:val="Emphasis"/>
          </w:rPr>
          <w:t>frontline of the opioid epidemic</w:t>
        </w:r>
      </w:hyperlink>
      <w:r w:rsidRPr="00F06B6C">
        <w:rPr>
          <w:rStyle w:val="Emphasis"/>
        </w:rPr>
        <w:t xml:space="preserve"> and other public health crises</w:t>
      </w:r>
      <w:r w:rsidRPr="00F06B6C">
        <w:rPr>
          <w:rStyle w:val="StyleUnderline"/>
        </w:rPr>
        <w:t>.</w:t>
      </w:r>
      <w:r w:rsidRPr="00F06B6C">
        <w:rPr>
          <w:sz w:val="16"/>
        </w:rPr>
        <w:t xml:space="preserve"> Along with behavioral care and addiction services, they also offer other services like vision and dental care to meet the needs of their patients. The number of visits provided by community health centers has increased since 2010 because of the Medicaid coverage expansions and funding from the Community Health Center Fund. That </w:t>
      </w:r>
      <w:r w:rsidRPr="00F06B6C">
        <w:rPr>
          <w:rStyle w:val="StyleUnderline"/>
        </w:rPr>
        <w:t xml:space="preserve">financial support is now in jeopardy. Community health centers have been shown to provide </w:t>
      </w:r>
      <w:r w:rsidRPr="00F06B6C">
        <w:rPr>
          <w:sz w:val="16"/>
        </w:rPr>
        <w:t>equal or</w:t>
      </w:r>
      <w:r w:rsidRPr="00F06B6C">
        <w:rPr>
          <w:rStyle w:val="StyleUnderline"/>
        </w:rPr>
        <w:t xml:space="preserve"> </w:t>
      </w:r>
      <w:r w:rsidRPr="00F06B6C">
        <w:rPr>
          <w:rStyle w:val="Emphasis"/>
        </w:rPr>
        <w:t>better quality</w:t>
      </w:r>
      <w:r w:rsidRPr="00F06B6C">
        <w:rPr>
          <w:rStyle w:val="StyleUnderline"/>
        </w:rPr>
        <w:t xml:space="preserve"> of care for their patients </w:t>
      </w:r>
      <w:r w:rsidRPr="00F06B6C">
        <w:rPr>
          <w:rStyle w:val="Emphasis"/>
        </w:rPr>
        <w:t>compared to private practices</w:t>
      </w:r>
      <w:r w:rsidRPr="00F06B6C">
        <w:rPr>
          <w:rStyle w:val="StyleUnderline"/>
        </w:rPr>
        <w:t>. For example, patients at community health centers have higher rates of receiving recommended preventive services, like screenings and health education, than do patients in private practices.</w:t>
      </w:r>
      <w:r w:rsidRPr="00F06B6C">
        <w:rPr>
          <w:sz w:val="16"/>
        </w:rPr>
        <w:t xml:space="preserve"> And community health center patients with diabetes and high blood pressure have been shown to better manage their conditions than those in private practices. </w:t>
      </w:r>
      <w:r w:rsidRPr="00F06B6C">
        <w:rPr>
          <w:rStyle w:val="StyleUnderline"/>
        </w:rPr>
        <w:t>The patients that get care at community health centers are mostly low-income, uninsured, or rural Americans</w:t>
      </w:r>
      <w:r w:rsidRPr="00F06B6C">
        <w:rPr>
          <w:sz w:val="16"/>
        </w:rPr>
        <w:t xml:space="preserve">, but also include hundreds of thousands of veterans, more than half a million students in primary and secondary school-based clinics, and others. This comprehensive, high-quality care is also provided to patients at a lower total cost compared to other practices. The total cost of care for community health center patients, which includes the cost of services outside the health center, is nearly 20 percent lower than that of patients served in independent physician practices or outpatient clinics. Controlling the cost of health care is a top priority for federal, state, and family budgets, and </w:t>
      </w:r>
      <w:r w:rsidRPr="00F06B6C">
        <w:rPr>
          <w:rStyle w:val="StyleUnderline"/>
        </w:rPr>
        <w:t>community health centers may provide a path toward reducing health care spending more broadly</w:t>
      </w:r>
      <w:r w:rsidRPr="00F06B6C">
        <w:rPr>
          <w:sz w:val="16"/>
        </w:rPr>
        <w:t xml:space="preserve">. Moreover, a </w:t>
      </w:r>
      <w:hyperlink r:id="rId331" w:tgtFrame="_blank" w:history="1">
        <w:r w:rsidRPr="00F06B6C">
          <w:rPr>
            <w:rStyle w:val="Hyperlink"/>
            <w:sz w:val="16"/>
          </w:rPr>
          <w:t>2015 Commonwealth Fund survey</w:t>
        </w:r>
      </w:hyperlink>
      <w:r w:rsidRPr="00F06B6C">
        <w:rPr>
          <w:sz w:val="16"/>
        </w:rPr>
        <w:t xml:space="preserve"> of primary care providers found that 86 percent of providers working in community health centers were satisfied with their medical practice. Additionally, patients are happy with their care: 73 percent of patients using community health centers as their regular doctor or source of care feel it is of high quality, according to the </w:t>
      </w:r>
      <w:hyperlink r:id="rId332" w:tgtFrame="_blank" w:history="1">
        <w:r w:rsidRPr="00F06B6C">
          <w:rPr>
            <w:rStyle w:val="Hyperlink"/>
            <w:sz w:val="16"/>
          </w:rPr>
          <w:t>2016 Commonwealth Fund Biennial Survey</w:t>
        </w:r>
      </w:hyperlink>
      <w:r w:rsidRPr="00F06B6C">
        <w:rPr>
          <w:sz w:val="16"/>
        </w:rPr>
        <w:t xml:space="preserve">. </w:t>
      </w:r>
      <w:r w:rsidRPr="00F06B6C">
        <w:rPr>
          <w:rStyle w:val="Emphasis"/>
        </w:rPr>
        <w:t>Federal Funding Is Critical</w:t>
      </w:r>
      <w:r w:rsidRPr="00F06B6C">
        <w:rPr>
          <w:rStyle w:val="StyleUnderline"/>
        </w:rPr>
        <w:t xml:space="preserve"> Increased federal funding, as well as the coverage expansions under the Affordable Care Act, have allowed community health centers to expand, diversify services, and provide high-quality care to their patients. </w:t>
      </w:r>
      <w:r w:rsidRPr="00F06B6C">
        <w:rPr>
          <w:sz w:val="16"/>
        </w:rPr>
        <w:t xml:space="preserve">As the </w:t>
      </w:r>
      <w:hyperlink r:id="rId333" w:tgtFrame="_blank" w:history="1">
        <w:r w:rsidRPr="00F06B6C">
          <w:rPr>
            <w:rStyle w:val="Hyperlink"/>
            <w:sz w:val="16"/>
          </w:rPr>
          <w:t>2013 Commonwealth Fund Survey</w:t>
        </w:r>
      </w:hyperlink>
      <w:r w:rsidRPr="00F06B6C">
        <w:rPr>
          <w:sz w:val="16"/>
        </w:rPr>
        <w:t xml:space="preserve"> of community health centers revealed, continued government funding is critical as the centers address ongoing challenges like filling physician shortages, expanding behavioral health services, and meeting the increased demand for care. </w:t>
      </w:r>
      <w:r w:rsidRPr="00F06B6C">
        <w:rPr>
          <w:rStyle w:val="StyleUnderline"/>
        </w:rPr>
        <w:t xml:space="preserve">The billions in funding losses that would result from Congress’s failure to renew the Community Health Center Fund would result in millions no longer able to access care, a </w:t>
      </w:r>
      <w:hyperlink r:id="rId334" w:tgtFrame="_blank" w:history="1">
        <w:r w:rsidRPr="00F06B6C">
          <w:rPr>
            <w:rStyle w:val="StyleUnderline"/>
          </w:rPr>
          <w:t>loss of jobs</w:t>
        </w:r>
      </w:hyperlink>
      <w:r w:rsidRPr="00F06B6C">
        <w:rPr>
          <w:rStyle w:val="StyleUnderline"/>
        </w:rPr>
        <w:t xml:space="preserve"> for many others, and substantial barriers to community health centers’ ability to continue these critical improvements.</w:t>
      </w:r>
    </w:p>
    <w:p w:rsidR="002D1EEF" w:rsidRDefault="002D1EEF" w:rsidP="002D1EEF">
      <w:pPr>
        <w:rPr>
          <w:rStyle w:val="StyleUnderline"/>
        </w:rPr>
      </w:pPr>
    </w:p>
    <w:p w:rsidR="002D1EEF" w:rsidRDefault="002D1EEF" w:rsidP="002D1EEF">
      <w:pPr>
        <w:pStyle w:val="Heading4"/>
      </w:pPr>
      <w:r w:rsidRPr="001A2E40">
        <w:t>F</w:t>
      </w:r>
      <w:r>
        <w:t>ederal f</w:t>
      </w:r>
      <w:r w:rsidRPr="001A2E40">
        <w:t xml:space="preserve">unding fills in state </w:t>
      </w:r>
      <w:r>
        <w:t xml:space="preserve">Medicaid </w:t>
      </w:r>
      <w:r w:rsidRPr="001A2E40">
        <w:t>gaps</w:t>
      </w:r>
    </w:p>
    <w:p w:rsidR="002D1EEF" w:rsidRPr="001A2E40" w:rsidRDefault="002D1EEF" w:rsidP="002D1EEF">
      <w:r w:rsidRPr="001A2E40">
        <w:rPr>
          <w:rStyle w:val="Style13ptBold"/>
        </w:rPr>
        <w:t>Zur et al. 18</w:t>
      </w:r>
      <w:r>
        <w:t xml:space="preserve"> (</w:t>
      </w:r>
      <w:hyperlink r:id="rId335" w:history="1">
        <w:r w:rsidRPr="001A2E40">
          <w:rPr>
            <w:rStyle w:val="Hyperlink"/>
          </w:rPr>
          <w:t>Julia Zur</w:t>
        </w:r>
      </w:hyperlink>
      <w:r w:rsidRPr="001A2E40">
        <w:t xml:space="preserve">, Ph.D. in </w:t>
      </w:r>
      <w:r w:rsidR="00B06629">
        <w:t xml:space="preserve">health </w:t>
      </w:r>
      <w:r w:rsidRPr="001A2E40">
        <w:t>from Johns Hopkins, Senior Policy Analyst with the Kaiser Family Foundation’s Program on Medicaid and the Uninsured, formerly worked for the Substance Abuse and Mental Health Services Administration, The George Washington University Milken Institute School of Public Health and the Treatment Research Institute, Sara Rosenbaum, </w:t>
      </w:r>
      <w:hyperlink r:id="rId336" w:history="1">
        <w:r w:rsidRPr="001A2E40">
          <w:rPr>
            <w:rStyle w:val="Hyperlink"/>
          </w:rPr>
          <w:t>Jennifer Tolbert</w:t>
        </w:r>
      </w:hyperlink>
      <w:r w:rsidRPr="001A2E40">
        <w:t>, Jessica Sharac, Peter Shin, Rachel Gunsalus, 3/9/18, “Community Health Centers: Growing Importance in a Changing Health Care System”, https://www.kff.org/medicaid/issue-brief/community-health-centers-growing-importance-in-a-changing-health-care-system/)/CWB</w:t>
      </w:r>
    </w:p>
    <w:p w:rsidR="002D1EEF" w:rsidRPr="001A2E40" w:rsidRDefault="002D1EEF" w:rsidP="002D1EEF">
      <w:pPr>
        <w:rPr>
          <w:sz w:val="16"/>
        </w:rPr>
      </w:pPr>
      <w:r w:rsidRPr="001A2E40">
        <w:rPr>
          <w:rStyle w:val="StyleUnderline"/>
        </w:rPr>
        <w:t xml:space="preserve">Community health centers are a key component of our health care system, providing essential access to comprehensive primary care in underserved communities. </w:t>
      </w:r>
      <w:r w:rsidRPr="001A2E40">
        <w:rPr>
          <w:sz w:val="16"/>
        </w:rPr>
        <w:t xml:space="preserve">The health center program has experienced significant growth over time, particularly since the enactment of the Affordable Care Act (ACA), which expanded coverage options for many low-income health center patients and provided increased funding for health centers through the Community Health Center Fund (CHCF). </w:t>
      </w:r>
      <w:r w:rsidRPr="001A2E40">
        <w:rPr>
          <w:rStyle w:val="StyleUnderline"/>
        </w:rPr>
        <w:t>With the enhanced</w:t>
      </w:r>
      <w:r w:rsidRPr="001A2E40">
        <w:rPr>
          <w:sz w:val="16"/>
        </w:rPr>
        <w:t xml:space="preserve"> ACA</w:t>
      </w:r>
      <w:r w:rsidRPr="001A2E40">
        <w:rPr>
          <w:rStyle w:val="StyleUnderline"/>
        </w:rPr>
        <w:t xml:space="preserve"> funding, health centers have expanded their service delivery capacity to meet the growing demand for care among new and existing patients.</w:t>
      </w:r>
      <w:r w:rsidRPr="001A2E40">
        <w:rPr>
          <w:sz w:val="16"/>
        </w:rPr>
        <w:t xml:space="preserve"> Drawing on federal health center data from 2016 and the Health Center Patient Survey from 2009 and 2014, this brief describes health centers and their patients in 2016 and examines changes in access to care and utilization of services by health center patients following implementation of the ACA coverage expansions in 2014. Key findings include: </w:t>
      </w:r>
      <w:r w:rsidRPr="001A2E40">
        <w:rPr>
          <w:rStyle w:val="StyleUnderline"/>
        </w:rPr>
        <w:t>Health centers are an important source of primary care for Medicaid and uninsured patients. In 2016, health centers served 25.9 million patients at over 10,400 urban and rural locations. Just under half (49%) of health center patients were covered by Medicaid and nearly a quarter (23%) were uninsured.</w:t>
      </w:r>
      <w:r w:rsidRPr="001A2E40">
        <w:rPr>
          <w:sz w:val="16"/>
        </w:rPr>
        <w:t xml:space="preserve"> Nationally, one in six Medicaid enrollees received care at a health center. Medicaid and Federal Section 330 grant funds account for the majority of health center revenues. Medicaid is the largest source of funding for health centers, accounting for 43% of total health center revenue. Federal grants represent the next largest source of funding at 19%. These </w:t>
      </w:r>
      <w:r w:rsidRPr="001A2E40">
        <w:rPr>
          <w:rStyle w:val="StyleUnderline"/>
        </w:rPr>
        <w:t>federal grant funds support care to uninsured and underinsured patients and enable health centers to provide services not covered by other payers. Health centers in states that did not expand Medicaid under the ACA are more reliant on federal grant funds.</w:t>
      </w:r>
      <w:r w:rsidRPr="001A2E40">
        <w:rPr>
          <w:sz w:val="16"/>
        </w:rPr>
        <w:t xml:space="preserve"> For these health centers, federal grant funding accounts for over a quarter of total revenues. </w:t>
      </w:r>
      <w:r w:rsidRPr="001A2E40">
        <w:rPr>
          <w:rStyle w:val="StyleUnderline"/>
        </w:rPr>
        <w:t>Health centers in Medicaid expansion states have greater operational capacity and serve more patients than health centers in non-expansion states. State decisions on the Medicaid expansion have had service delivery implications for health centers. Health centers in Medicaid expansion states reported higher Medicaid revenues on average and higher revenues overall than health centers in non-expansion states.</w:t>
      </w:r>
      <w:r w:rsidRPr="001A2E40">
        <w:rPr>
          <w:sz w:val="16"/>
        </w:rPr>
        <w:t xml:space="preserve"> These higher revenues enabled health centers in expansion states to serve over a quarter more patients and provide nearly 50% more patient visits. Health centers in expansion states also employed more staff on average and were more likely to provide a broader array of services, including mental health, substance use disorder, and vision services. </w:t>
      </w:r>
      <w:r w:rsidRPr="001A2E40">
        <w:rPr>
          <w:rStyle w:val="StyleUnderline"/>
        </w:rPr>
        <w:t>The ability of health center patients to access needed care improved following implementation of the ACA coverage expansions.</w:t>
      </w:r>
      <w:r w:rsidRPr="001A2E40">
        <w:rPr>
          <w:sz w:val="16"/>
        </w:rPr>
        <w:t xml:space="preserve"> Despite concerns raised by policy experts that the ACA coverage expansions would lead to an inability to get needed care and longer waits for care, fewer health center patients reported facing barriers to care in 2014 compared to 2009. The share of patients reporting an inability to obtain needed medical care dropped by one-third (from 23% to 15%) and the share reporting a delay in getting needed care dropped by over a quarter. Patients reported similar improvements in access to dental care, and these improvements occurred for both Medicaid and uninsured patients. Utilization of certain preventive services by health center patients increased. </w:t>
      </w:r>
      <w:r w:rsidRPr="001A2E40">
        <w:rPr>
          <w:rStyle w:val="StyleUnderline"/>
        </w:rPr>
        <w:t>Along with improvements in accessing needed care, health center patients also reported increased utilization of certain preventive services, including flu shots and physical exams</w:t>
      </w:r>
      <w:r w:rsidRPr="001A2E40">
        <w:rPr>
          <w:sz w:val="16"/>
        </w:rPr>
        <w:t>. Over half of adult health center patients said they received a flu shot in 2014, up from just 39% in 2009. Nearly 7 in 10 reported receiving a physical exam in 2014 compared to 63% in 2009. Uninsured patients were also significantly more likely to have received a dental exam in 2014 than in 2009 (42% vs. 33%).</w:t>
      </w:r>
    </w:p>
    <w:p w:rsidR="002D1EEF" w:rsidRDefault="002D1EEF" w:rsidP="002D1EEF">
      <w:pPr>
        <w:pStyle w:val="Heading3"/>
      </w:pPr>
      <w:r>
        <w:t>2nc – at: chilling effect</w:t>
      </w:r>
    </w:p>
    <w:p w:rsidR="002D1EEF" w:rsidRDefault="002D1EEF" w:rsidP="002D1EEF">
      <w:pPr>
        <w:pStyle w:val="Heading4"/>
      </w:pPr>
      <w:r>
        <w:t>CHCs solve the chilling effect—immigrants prefer CHCs because of trusted relationships, language access, and close proximity</w:t>
      </w:r>
    </w:p>
    <w:p w:rsidR="002D1EEF" w:rsidRPr="00371B80" w:rsidRDefault="002D1EEF" w:rsidP="002D1EEF">
      <w:r>
        <w:rPr>
          <w:b/>
        </w:rPr>
        <w:t xml:space="preserve">Ambegaokar 15 </w:t>
      </w:r>
      <w:r w:rsidRPr="005F595E">
        <w:rPr>
          <w:sz w:val="18"/>
          <w:szCs w:val="18"/>
        </w:rPr>
        <w:t xml:space="preserve">(Sonal Ambegaokar, member of the National Health Law Program (NHeLP), Partnership for Public Health Law: Advancing Public Health </w:t>
      </w:r>
      <w:proofErr w:type="gramStart"/>
      <w:r w:rsidRPr="005F595E">
        <w:rPr>
          <w:sz w:val="18"/>
          <w:szCs w:val="18"/>
        </w:rPr>
        <w:t>Through</w:t>
      </w:r>
      <w:proofErr w:type="gramEnd"/>
      <w:r w:rsidRPr="005F595E">
        <w:rPr>
          <w:sz w:val="18"/>
          <w:szCs w:val="18"/>
        </w:rPr>
        <w:t xml:space="preserve"> Law, 2015, “Opportunities for Maximizing Revenue and Access to Care for Immigration Populations,” Introduction, http://www.astho.org/Public-Policy/Public-Health-Law/Access-to-Care-for-Immigrant-Populations-Overview/)</w:t>
      </w:r>
    </w:p>
    <w:p w:rsidR="002D1EEF" w:rsidRDefault="002D1EEF" w:rsidP="002D1EEF">
      <w:pPr>
        <w:rPr>
          <w:b/>
          <w:u w:val="single"/>
        </w:rPr>
      </w:pPr>
      <w:r>
        <w:t>Community health centers (</w:t>
      </w:r>
      <w:r w:rsidRPr="0003326D">
        <w:rPr>
          <w:u w:val="single"/>
        </w:rPr>
        <w:t>CHCs</w:t>
      </w:r>
      <w:r>
        <w:t xml:space="preserve">) and local health departments (LHDs) </w:t>
      </w:r>
      <w:r w:rsidRPr="0003326D">
        <w:rPr>
          <w:u w:val="single"/>
        </w:rPr>
        <w:t>have long been the primary</w:t>
      </w:r>
      <w:r>
        <w:t xml:space="preserve">, if not the only, </w:t>
      </w:r>
      <w:r w:rsidRPr="0003326D">
        <w:rPr>
          <w:u w:val="single"/>
        </w:rPr>
        <w:t>source of medical care for millions low-income individuals, including many who have no health insurance and cannot afford to pay for care.</w:t>
      </w:r>
      <w:r>
        <w:t xml:space="preserve"> Due to the Affordable Care Act of 2010 (ACA), CHCs and LHDs face increasing demand from those who are newly insured.1 Yet </w:t>
      </w:r>
      <w:r w:rsidRPr="0003326D">
        <w:rPr>
          <w:u w:val="single"/>
        </w:rPr>
        <w:t>36 million individuals remain uninsured under</w:t>
      </w:r>
      <w:r>
        <w:t xml:space="preserve"> the </w:t>
      </w:r>
      <w:r w:rsidRPr="0003326D">
        <w:rPr>
          <w:u w:val="single"/>
        </w:rPr>
        <w:t>ACA, of which the majority includes citizens and legal immigrants.</w:t>
      </w:r>
      <w:r>
        <w:t xml:space="preserve">2 For example, </w:t>
      </w:r>
      <w:r w:rsidRPr="0003326D">
        <w:rPr>
          <w:u w:val="single"/>
        </w:rPr>
        <w:t>4 million citizens and legal immigrants who remain uninsured are eligible for Medicaid, but live in one of the 21 states that have not expanded Medicaid</w:t>
      </w:r>
      <w:r>
        <w:t xml:space="preserve">.3 </w:t>
      </w:r>
      <w:r w:rsidRPr="0003326D">
        <w:rPr>
          <w:u w:val="single"/>
        </w:rPr>
        <w:t>Moreover,</w:t>
      </w:r>
      <w:r>
        <w:t xml:space="preserve"> due to complex eligibility rules and misinformation, </w:t>
      </w:r>
      <w:r w:rsidRPr="0003326D">
        <w:rPr>
          <w:u w:val="single"/>
        </w:rPr>
        <w:t>immigrants are often eligible for affordable coverage, but not enrolled</w:t>
      </w:r>
      <w:r>
        <w:t xml:space="preserve">.4 Whether insured or not, </w:t>
      </w:r>
      <w:r w:rsidRPr="0003326D">
        <w:rPr>
          <w:b/>
          <w:u w:val="single"/>
        </w:rPr>
        <w:t>immigrants are more likely to continue to seek services at CHCs</w:t>
      </w:r>
      <w:r>
        <w:t xml:space="preserve"> and LHDs </w:t>
      </w:r>
      <w:r w:rsidRPr="0003326D">
        <w:rPr>
          <w:b/>
          <w:u w:val="single"/>
        </w:rPr>
        <w:t>because of trusted relationships, locations in the community, and enabling services such as language access that they rely on.</w:t>
      </w:r>
    </w:p>
    <w:p w:rsidR="002D1EEF" w:rsidRDefault="002D1EEF" w:rsidP="00255725"/>
    <w:p w:rsidR="00631F6A" w:rsidRDefault="00631F6A" w:rsidP="00631F6A">
      <w:pPr>
        <w:pStyle w:val="Heading2"/>
      </w:pPr>
      <w:r>
        <w:t xml:space="preserve">R&amp;D Adv CP </w:t>
      </w:r>
    </w:p>
    <w:p w:rsidR="00631F6A" w:rsidRPr="00A67411" w:rsidRDefault="00631F6A" w:rsidP="00631F6A">
      <w:pPr>
        <w:pStyle w:val="Heading4"/>
      </w:pPr>
      <w:r>
        <w:t>[R&amp;D / International Cooperation] is key and solves disease</w:t>
      </w:r>
    </w:p>
    <w:p w:rsidR="00631F6A" w:rsidRPr="00A67411" w:rsidRDefault="00631F6A" w:rsidP="00631F6A">
      <w:r w:rsidRPr="00A67411">
        <w:rPr>
          <w:rStyle w:val="Style13ptBold"/>
        </w:rPr>
        <w:t>Scutti 18</w:t>
      </w:r>
      <w:r w:rsidRPr="00A67411">
        <w:t xml:space="preserve"> (Susan Scutti, Cnn, "'Disease X' joins Ebola and Zika, on WHO list of health emergencies", </w:t>
      </w:r>
      <w:r>
        <w:t xml:space="preserve">cites Dr. </w:t>
      </w:r>
      <w:r w:rsidRPr="00A67411">
        <w:t>Anthony Fauci, director of the US National Institute of Allergy and Infectious Diseases,</w:t>
      </w:r>
      <w:r>
        <w:t xml:space="preserve"> </w:t>
      </w:r>
      <w:r w:rsidRPr="00A67411">
        <w:t xml:space="preserve">3-12-2018, CNN, </w:t>
      </w:r>
      <w:hyperlink r:id="rId337" w:history="1">
        <w:r w:rsidRPr="001F382D">
          <w:rPr>
            <w:rStyle w:val="Hyperlink"/>
          </w:rPr>
          <w:t>https://www.cnn.com/2018/03/12/health/disease-x-blueprint-who/index.html</w:t>
        </w:r>
      </w:hyperlink>
      <w:r>
        <w:t>)//AO</w:t>
      </w:r>
    </w:p>
    <w:p w:rsidR="00631F6A" w:rsidRPr="00A67411" w:rsidRDefault="00631F6A" w:rsidP="00631F6A">
      <w:pPr>
        <w:rPr>
          <w:sz w:val="16"/>
        </w:rPr>
      </w:pPr>
      <w:r w:rsidRPr="00527554">
        <w:rPr>
          <w:u w:val="single"/>
        </w:rPr>
        <w:t>The World Health Organization included "Disease X" in its most recent global plan for accelerating research and development during health emergencies like the Ebola, SARS or Zika epidemics.</w:t>
      </w:r>
      <w:r>
        <w:rPr>
          <w:u w:val="single"/>
        </w:rPr>
        <w:t xml:space="preserve"> </w:t>
      </w:r>
      <w:r w:rsidRPr="00A67411">
        <w:rPr>
          <w:sz w:val="16"/>
        </w:rPr>
        <w:t xml:space="preserve">The strategy and preparedness plan, known as the 2018 R&amp;D Blueprint, was published last month. So what, exactly, is Disease X? This enigmatic name "represents the knowledge that a serious international epidemic could be caused by a pathogen currently unknown to cause human disease," according to the WHO. "As experience has taught us more often than not </w:t>
      </w:r>
      <w:r w:rsidRPr="00A67411">
        <w:rPr>
          <w:u w:val="single"/>
        </w:rPr>
        <w:t>the thing that is gonna hit us is something that we did not anticipate," said Dr. Anthony Fauci, director of the US National Institute of Allergy and Infectious Diseases. "Just the way we didn't anticipate Zika, we didn't think there would be an Ebola that would hit cities."</w:t>
      </w:r>
      <w:r>
        <w:rPr>
          <w:u w:val="single"/>
        </w:rPr>
        <w:t xml:space="preserve"> </w:t>
      </w:r>
      <w:r w:rsidRPr="00A67411">
        <w:rPr>
          <w:sz w:val="16"/>
        </w:rPr>
        <w:t xml:space="preserve">"X" stands for unexpected, he said. </w:t>
      </w:r>
      <w:r w:rsidRPr="00A67411">
        <w:rPr>
          <w:u w:val="single"/>
        </w:rPr>
        <w:t>When confronted with the unknown, the WHO recognizes that it must "nimbly move" and that this involves creating platform technologies, explained Fauci</w:t>
      </w:r>
      <w:r w:rsidRPr="00A67411">
        <w:rPr>
          <w:sz w:val="16"/>
        </w:rPr>
        <w:t xml:space="preserve">. Essentially, </w:t>
      </w:r>
      <w:r w:rsidRPr="00A67411">
        <w:rPr>
          <w:u w:val="single"/>
        </w:rPr>
        <w:t>scientists develop customizable recipes for creating vaccines. Then, when an outbreak happens, they can sequence the unique genetics of the virus causing the disease and plug the correct sequence into the already-developed platform to create a new vaccine.</w:t>
      </w:r>
      <w:r>
        <w:rPr>
          <w:u w:val="single"/>
        </w:rPr>
        <w:t xml:space="preserve"> </w:t>
      </w:r>
      <w:r w:rsidRPr="00A67411">
        <w:rPr>
          <w:sz w:val="16"/>
        </w:rPr>
        <w:t xml:space="preserve">Fauci said that </w:t>
      </w:r>
      <w:r w:rsidRPr="00A67411">
        <w:rPr>
          <w:u w:val="single"/>
        </w:rPr>
        <w:t>to develop these platforms scientists must first study entire classes of viruses</w:t>
      </w:r>
      <w:r w:rsidRPr="00A67411">
        <w:rPr>
          <w:sz w:val="16"/>
        </w:rPr>
        <w:t xml:space="preserve">, such as the flaviviruses, which include Japanese encephalitis, Yellow fever, Zika, and West Nile virus. "If you develop an understanding of the commonalities of those, you can respond more rapidly," he said. Along with disease X, the </w:t>
      </w:r>
      <w:r w:rsidRPr="00A67411">
        <w:rPr>
          <w:u w:val="single"/>
        </w:rPr>
        <w:t>WHO named seven other potential global disease threats, each lacking an effective drug or vaccine.</w:t>
      </w:r>
      <w:r>
        <w:rPr>
          <w:u w:val="single"/>
        </w:rPr>
        <w:t xml:space="preserve"> </w:t>
      </w:r>
      <w:r w:rsidRPr="00A67411">
        <w:rPr>
          <w:sz w:val="16"/>
        </w:rPr>
        <w:t xml:space="preserve">They are: Crimean-Congo hemorrhagic fever (CCHF); Ebola virus disease and Marburg virus disease; Lassa fever; Middle East respiratory syndrome coronavirus (MERS-CoV) and Severe Acute Respiratory Syndrome (SARS); Nipah and henipaviral diseases Rift Valley fever (RVF); and Zika. </w:t>
      </w:r>
      <w:r w:rsidRPr="00A67411">
        <w:rPr>
          <w:u w:val="single"/>
        </w:rPr>
        <w:t>The R&amp;D Blueprint was born as a result of the Ebola emergency in West Africa which began in March 2014, explained Marie-Paule Kieny, former assistant director-general of Health Systems and Innovation at WHO, in a statement.</w:t>
      </w:r>
      <w:r>
        <w:rPr>
          <w:u w:val="single"/>
        </w:rPr>
        <w:t xml:space="preserve"> </w:t>
      </w:r>
      <w:r w:rsidRPr="00A67411">
        <w:rPr>
          <w:sz w:val="16"/>
        </w:rPr>
        <w:t>Kieny, who led the WHO research and development effort during the Ebola outbreak, said this international emergency taught scientists that</w:t>
      </w:r>
      <w:r w:rsidRPr="00A67411">
        <w:rPr>
          <w:u w:val="single"/>
        </w:rPr>
        <w:t xml:space="preserve"> research and development needs to be an "integral part" of the response to epidemics.</w:t>
      </w:r>
      <w:r>
        <w:rPr>
          <w:u w:val="single"/>
        </w:rPr>
        <w:t xml:space="preserve"> </w:t>
      </w:r>
      <w:r w:rsidRPr="00A67411">
        <w:rPr>
          <w:sz w:val="16"/>
        </w:rPr>
        <w:t xml:space="preserve">The 2014-2016 outbreak, the largest since the virus was first discovered in 1976, included a total of 28,616 confirmed, probable and suspected cases and 11,310 deaths in Guinea, Liberia and Sierra Leone, according to WHO. </w:t>
      </w:r>
      <w:proofErr w:type="gramStart"/>
      <w:r w:rsidRPr="00A67411">
        <w:rPr>
          <w:u w:val="single"/>
        </w:rPr>
        <w:t>WHO's</w:t>
      </w:r>
      <w:proofErr w:type="gramEnd"/>
      <w:r w:rsidRPr="00A67411">
        <w:rPr>
          <w:u w:val="single"/>
        </w:rPr>
        <w:t xml:space="preserve"> work alongside governments, scientists and private entities "resulted in the first ever fully effective vaccine against Ebola, developed and tested in 12 months as opposed to the 5-10 years such a process would normally take,</w:t>
      </w:r>
      <w:r w:rsidRPr="00A67411">
        <w:rPr>
          <w:sz w:val="16"/>
        </w:rPr>
        <w:t>" said Kieny, who welcomed the opportunity to use her Ebola experience to prepare for future health emergencies.</w:t>
      </w:r>
    </w:p>
    <w:p w:rsidR="00631F6A" w:rsidRDefault="00D71D53" w:rsidP="00D71D53">
      <w:pPr>
        <w:pStyle w:val="Heading1"/>
      </w:pPr>
      <w:r>
        <w:t>DAs</w:t>
      </w:r>
    </w:p>
    <w:p w:rsidR="008B2D5B" w:rsidRPr="00F933AF" w:rsidRDefault="008B2D5B" w:rsidP="008B2D5B">
      <w:pPr>
        <w:pStyle w:val="Heading2"/>
        <w:rPr>
          <w:rFonts w:cs="Calibri"/>
        </w:rPr>
      </w:pPr>
      <w:r w:rsidRPr="00F933AF">
        <w:rPr>
          <w:rFonts w:cs="Calibri"/>
        </w:rPr>
        <w:t>Hospitals DA</w:t>
      </w:r>
    </w:p>
    <w:p w:rsidR="008B2D5B" w:rsidRPr="00F933AF" w:rsidRDefault="008B2D5B" w:rsidP="008B2D5B">
      <w:pPr>
        <w:pStyle w:val="Heading3"/>
        <w:rPr>
          <w:rFonts w:cs="Calibri"/>
        </w:rPr>
      </w:pPr>
      <w:r w:rsidRPr="00F933AF">
        <w:rPr>
          <w:rFonts w:cs="Calibri"/>
        </w:rPr>
        <w:t xml:space="preserve">1nc </w:t>
      </w:r>
    </w:p>
    <w:p w:rsidR="008B2D5B" w:rsidRPr="00F933AF" w:rsidRDefault="008B2D5B" w:rsidP="008B2D5B">
      <w:pPr>
        <w:pStyle w:val="Heading4"/>
        <w:rPr>
          <w:rFonts w:cs="Calibri"/>
        </w:rPr>
      </w:pPr>
      <w:r w:rsidRPr="00F933AF">
        <w:rPr>
          <w:rFonts w:cs="Calibri"/>
        </w:rPr>
        <w:t>Trump’s regs are decreasing healthcare use</w:t>
      </w:r>
    </w:p>
    <w:p w:rsidR="008B2D5B" w:rsidRPr="00F933AF" w:rsidRDefault="008B2D5B" w:rsidP="008B2D5B">
      <w:pPr>
        <w:spacing w:after="0"/>
        <w:rPr>
          <w:rFonts w:cs="Calibri"/>
        </w:rPr>
      </w:pPr>
      <w:r w:rsidRPr="00F933AF">
        <w:rPr>
          <w:rStyle w:val="Style13ptBold"/>
          <w:rFonts w:cs="Calibri"/>
        </w:rPr>
        <w:t>Gorn 4-15</w:t>
      </w:r>
      <w:r w:rsidRPr="00F933AF">
        <w:rPr>
          <w:rFonts w:cs="Calibri"/>
        </w:rPr>
        <w:t xml:space="preserve"> (David, reporter for CALmatters. CALMatters, 4-15-2018, “Trump administration plan could deter legal immigrants from health care, other services”) NREM/Lil’ GBN</w:t>
      </w:r>
    </w:p>
    <w:p w:rsidR="008B2D5B" w:rsidRPr="00F933AF" w:rsidRDefault="008B2D5B" w:rsidP="008B2D5B">
      <w:pPr>
        <w:spacing w:after="0"/>
        <w:rPr>
          <w:rFonts w:cs="Calibri"/>
        </w:rPr>
      </w:pPr>
      <w:r w:rsidRPr="00F933AF">
        <w:rPr>
          <w:rFonts w:cs="Calibri"/>
        </w:rPr>
        <w:t>https://calmatters.org/articles/blog/trump-administration-plan-could-deter-legal-immigrants-from-health-care-other-services/</w:t>
      </w:r>
    </w:p>
    <w:p w:rsidR="008B2D5B" w:rsidRPr="00F933AF" w:rsidRDefault="008B2D5B" w:rsidP="008B2D5B">
      <w:pPr>
        <w:spacing w:after="0"/>
        <w:rPr>
          <w:rFonts w:cs="Calibri"/>
          <w:sz w:val="16"/>
        </w:rPr>
      </w:pPr>
      <w:r w:rsidRPr="00F933AF">
        <w:rPr>
          <w:rFonts w:cs="Calibri"/>
          <w:sz w:val="16"/>
        </w:rPr>
        <w:t xml:space="preserve">The </w:t>
      </w:r>
      <w:r w:rsidRPr="00F933AF">
        <w:rPr>
          <w:rStyle w:val="Emphasis"/>
          <w:rFonts w:cs="Calibri"/>
        </w:rPr>
        <w:t>Trump</w:t>
      </w:r>
      <w:r w:rsidRPr="00F933AF">
        <w:rPr>
          <w:rFonts w:cs="Calibri"/>
          <w:sz w:val="16"/>
        </w:rPr>
        <w:t xml:space="preserve"> administration is </w:t>
      </w:r>
      <w:r w:rsidRPr="00F933AF">
        <w:rPr>
          <w:rStyle w:val="Emphasis"/>
          <w:rFonts w:cs="Calibri"/>
        </w:rPr>
        <w:t>preparing a policy change</w:t>
      </w:r>
      <w:r w:rsidRPr="00F933AF">
        <w:rPr>
          <w:rFonts w:cs="Calibri"/>
          <w:sz w:val="16"/>
        </w:rPr>
        <w:t xml:space="preserve"> </w:t>
      </w:r>
      <w:r w:rsidRPr="00F933AF">
        <w:rPr>
          <w:rStyle w:val="StyleUnderline"/>
          <w:rFonts w:cs="Calibri"/>
        </w:rPr>
        <w:t xml:space="preserve">that could push legal immigrants to </w:t>
      </w:r>
      <w:r w:rsidRPr="00F933AF">
        <w:rPr>
          <w:rStyle w:val="Emphasis"/>
          <w:rFonts w:cs="Calibri"/>
        </w:rPr>
        <w:t>forgo needed health care</w:t>
      </w:r>
      <w:r w:rsidRPr="00F933AF">
        <w:rPr>
          <w:rFonts w:cs="Calibri"/>
          <w:sz w:val="16"/>
        </w:rPr>
        <w:t xml:space="preserve">, food and employment assistance </w:t>
      </w:r>
      <w:r w:rsidRPr="00F933AF">
        <w:rPr>
          <w:rStyle w:val="StyleUnderline"/>
          <w:rFonts w:cs="Calibri"/>
        </w:rPr>
        <w:t>while they seek green cards for permanent residency.</w:t>
      </w:r>
      <w:r w:rsidRPr="00F933AF">
        <w:rPr>
          <w:rFonts w:cs="Calibri"/>
          <w:sz w:val="16"/>
        </w:rPr>
        <w:t xml:space="preserve"> </w:t>
      </w:r>
      <w:r w:rsidRPr="00F933AF">
        <w:rPr>
          <w:rStyle w:val="StyleUnderline"/>
          <w:rFonts w:cs="Calibri"/>
        </w:rPr>
        <w:t xml:space="preserve">Their applications could be passed over if they use such federal programs as Medicaid, </w:t>
      </w:r>
      <w:r w:rsidRPr="00F933AF">
        <w:rPr>
          <w:rFonts w:cs="Calibri"/>
          <w:sz w:val="16"/>
        </w:rPr>
        <w:t xml:space="preserve">food stamps, tax credits </w:t>
      </w:r>
      <w:r w:rsidRPr="00F933AF">
        <w:rPr>
          <w:rStyle w:val="StyleUnderline"/>
          <w:rFonts w:cs="Calibri"/>
        </w:rPr>
        <w:t>or</w:t>
      </w:r>
      <w:r w:rsidRPr="00F933AF">
        <w:rPr>
          <w:rFonts w:cs="Calibri"/>
          <w:sz w:val="16"/>
        </w:rPr>
        <w:t xml:space="preserve"> subsidized </w:t>
      </w:r>
      <w:r w:rsidRPr="00F933AF">
        <w:rPr>
          <w:rStyle w:val="StyleUnderline"/>
          <w:rFonts w:cs="Calibri"/>
        </w:rPr>
        <w:t>Obamacare insurance</w:t>
      </w:r>
      <w:r w:rsidRPr="00F933AF">
        <w:rPr>
          <w:rFonts w:cs="Calibri"/>
          <w:sz w:val="16"/>
        </w:rPr>
        <w:t xml:space="preserve">, according to a draft of the plan published by the Washington Post. Even letting a child who is a U.S. citizen use such benefits could jeopardize a parent’s chances of attaining permanent residency, according to the measure. In California, programs considered off-limits would include Medi-Cal, CalFresh, CalWorks and health insurance purchased through Covered California. According to Ninez Ponce, associate director of the UCLA Center for Health Policy </w:t>
      </w:r>
      <w:proofErr w:type="gramStart"/>
      <w:r w:rsidRPr="00F933AF">
        <w:rPr>
          <w:rFonts w:cs="Calibri"/>
          <w:sz w:val="16"/>
        </w:rPr>
        <w:t xml:space="preserve">Research, </w:t>
      </w:r>
      <w:r w:rsidRPr="00F933AF">
        <w:rPr>
          <w:rStyle w:val="StyleUnderline"/>
          <w:rFonts w:cs="Calibri"/>
        </w:rPr>
        <w:t>that</w:t>
      </w:r>
      <w:proofErr w:type="gramEnd"/>
      <w:r w:rsidRPr="00F933AF">
        <w:rPr>
          <w:rStyle w:val="StyleUnderline"/>
          <w:rFonts w:cs="Calibri"/>
        </w:rPr>
        <w:t xml:space="preserve"> proposed</w:t>
      </w:r>
      <w:r w:rsidRPr="00F933AF">
        <w:rPr>
          <w:rFonts w:cs="Calibri"/>
          <w:sz w:val="16"/>
        </w:rPr>
        <w:t xml:space="preserve"> rule in California </w:t>
      </w:r>
      <w:r w:rsidRPr="00F933AF">
        <w:rPr>
          <w:rStyle w:val="StyleUnderline"/>
          <w:rFonts w:cs="Calibri"/>
        </w:rPr>
        <w:t>would hit</w:t>
      </w:r>
      <w:r w:rsidRPr="00F933AF">
        <w:rPr>
          <w:rFonts w:cs="Calibri"/>
          <w:sz w:val="16"/>
        </w:rPr>
        <w:t xml:space="preserve"> the Asian and Pacific Islander </w:t>
      </w:r>
      <w:r w:rsidRPr="00F933AF">
        <w:rPr>
          <w:rStyle w:val="StyleUnderline"/>
          <w:rFonts w:cs="Calibri"/>
        </w:rPr>
        <w:t>population</w:t>
      </w:r>
      <w:r w:rsidRPr="00F933AF">
        <w:rPr>
          <w:rFonts w:cs="Calibri"/>
          <w:sz w:val="16"/>
        </w:rPr>
        <w:t xml:space="preserve"> hardest. </w:t>
      </w:r>
      <w:r w:rsidRPr="00F933AF">
        <w:rPr>
          <w:rStyle w:val="StyleUnderline"/>
          <w:rFonts w:cs="Calibri"/>
        </w:rPr>
        <w:t xml:space="preserve">A high proportion of legal immigrants are Asians, Ponce said. “What it means is those who are waiting for permanent status </w:t>
      </w:r>
      <w:r w:rsidRPr="00F933AF">
        <w:rPr>
          <w:rStyle w:val="Emphasis"/>
          <w:rFonts w:cs="Calibri"/>
        </w:rPr>
        <w:t>may not use needed services like health care</w:t>
      </w:r>
      <w:r w:rsidRPr="00F933AF">
        <w:rPr>
          <w:rStyle w:val="StyleUnderline"/>
          <w:rFonts w:cs="Calibri"/>
        </w:rPr>
        <w:t>,</w:t>
      </w:r>
      <w:r w:rsidRPr="00F933AF">
        <w:rPr>
          <w:rFonts w:cs="Calibri"/>
          <w:sz w:val="16"/>
        </w:rPr>
        <w:t xml:space="preserve"> or get job training through CalWorks. I</w:t>
      </w:r>
      <w:r w:rsidRPr="00F933AF">
        <w:rPr>
          <w:rStyle w:val="StyleUnderline"/>
          <w:rFonts w:cs="Calibri"/>
        </w:rPr>
        <w:t>t means immigrants would have less access to services that help integrate them into society.</w:t>
      </w:r>
      <w:r w:rsidRPr="00F933AF">
        <w:rPr>
          <w:rFonts w:cs="Calibri"/>
          <w:sz w:val="16"/>
        </w:rPr>
        <w:t xml:space="preserve">” The rule is far from done. The Department of Homeland Security sent a version of the proposal to the Office of Management and Budget for review on March 29. It must be published as a proposed rule and opened to public comment before it can become law. But, this being California, resistance has begun. “The Asian American Pacific Islander groups have already been mobilizing,” Ponce said, in part to be ready to speak up during the 60-day comment period. California is home to more than 10 million immigrants, more than a fourth of California’s population, according to the Public Policy Institute of California. That’s about twice the percentage in the rest of the U.S. And in seven California counties, the foreign-born population tops 30%. Half of the state’s children have at least one immigrant parent. Most recent immigrants to California come from Asia, according to the PPIC. Between 2012 and 2016, roughly 58% were from Asia and about 28% from Latin America. According to the Center for Migration Studies, roughly half of the </w:t>
      </w:r>
      <w:r w:rsidRPr="00F933AF">
        <w:rPr>
          <w:rStyle w:val="StyleUnderline"/>
          <w:rFonts w:cs="Calibri"/>
        </w:rPr>
        <w:t>state’s immigrants are naturalized citizens, one quarter have some kind of legal status</w:t>
      </w:r>
      <w:r w:rsidRPr="00F933AF">
        <w:rPr>
          <w:rFonts w:cs="Calibri"/>
          <w:sz w:val="16"/>
        </w:rPr>
        <w:t xml:space="preserve"> and the other quarter are undocumented. Ponce said Washington’s proposed </w:t>
      </w:r>
      <w:r w:rsidRPr="00F933AF">
        <w:rPr>
          <w:rStyle w:val="Emphasis"/>
          <w:rFonts w:cs="Calibri"/>
        </w:rPr>
        <w:t>rule will have “a chilling effect,”</w:t>
      </w:r>
      <w:r w:rsidRPr="00F933AF">
        <w:rPr>
          <w:rFonts w:cs="Calibri"/>
          <w:sz w:val="16"/>
        </w:rPr>
        <w:t xml:space="preserve"> </w:t>
      </w:r>
      <w:r w:rsidRPr="00F933AF">
        <w:rPr>
          <w:rStyle w:val="StyleUnderline"/>
          <w:rFonts w:cs="Calibri"/>
        </w:rPr>
        <w:t>causing immigrants and their families to use fewer social services and ramping up fear in their communities</w:t>
      </w:r>
      <w:r w:rsidRPr="00F933AF">
        <w:rPr>
          <w:rFonts w:cs="Calibri"/>
          <w:sz w:val="16"/>
        </w:rPr>
        <w:t xml:space="preserve">. “I personally believe getting on these </w:t>
      </w:r>
      <w:r w:rsidRPr="00F933AF">
        <w:rPr>
          <w:rStyle w:val="StyleUnderline"/>
          <w:rFonts w:cs="Calibri"/>
        </w:rPr>
        <w:t>public programs</w:t>
      </w:r>
      <w:r w:rsidRPr="00F933AF">
        <w:rPr>
          <w:rFonts w:cs="Calibri"/>
          <w:sz w:val="16"/>
        </w:rPr>
        <w:t xml:space="preserve"> helps new immigrants and their families,” Ponce said. </w:t>
      </w:r>
      <w:r w:rsidRPr="00F933AF">
        <w:rPr>
          <w:rStyle w:val="Emphasis"/>
          <w:rFonts w:cs="Calibri"/>
        </w:rPr>
        <w:t>Restricting them</w:t>
      </w:r>
      <w:r w:rsidRPr="00F933AF">
        <w:rPr>
          <w:rFonts w:cs="Calibri"/>
          <w:sz w:val="16"/>
        </w:rPr>
        <w:t xml:space="preserve"> “</w:t>
      </w:r>
      <w:r w:rsidRPr="00F933AF">
        <w:rPr>
          <w:rStyle w:val="StyleUnderline"/>
          <w:rFonts w:cs="Calibri"/>
        </w:rPr>
        <w:t>is going to have profound effects</w:t>
      </w:r>
      <w:r w:rsidRPr="00F933AF">
        <w:rPr>
          <w:rFonts w:cs="Calibri"/>
          <w:sz w:val="16"/>
        </w:rPr>
        <w:t xml:space="preserve"> on individuals and families.”</w:t>
      </w:r>
    </w:p>
    <w:p w:rsidR="008B2D5B" w:rsidRPr="00F933AF" w:rsidRDefault="008B2D5B" w:rsidP="008B2D5B">
      <w:pPr>
        <w:spacing w:after="0"/>
        <w:rPr>
          <w:rFonts w:cs="Calibri"/>
          <w:sz w:val="16"/>
        </w:rPr>
      </w:pPr>
    </w:p>
    <w:p w:rsidR="008B2D5B" w:rsidRPr="00F933AF" w:rsidRDefault="008B2D5B" w:rsidP="008B2D5B">
      <w:pPr>
        <w:pStyle w:val="Heading4"/>
        <w:rPr>
          <w:rFonts w:cs="Calibri"/>
        </w:rPr>
      </w:pPr>
      <w:r w:rsidRPr="00F933AF">
        <w:rPr>
          <w:rFonts w:cs="Calibri"/>
        </w:rPr>
        <w:t>The plan forces hospitals to cover uninsured immigrants – that hogs resources and collapses healthcare</w:t>
      </w:r>
    </w:p>
    <w:p w:rsidR="008B2D5B" w:rsidRPr="00F933AF" w:rsidRDefault="008B2D5B" w:rsidP="008B2D5B">
      <w:pPr>
        <w:spacing w:after="0"/>
        <w:rPr>
          <w:rFonts w:cs="Calibri"/>
        </w:rPr>
      </w:pPr>
      <w:r w:rsidRPr="00F933AF">
        <w:rPr>
          <w:rStyle w:val="Style13ptBold"/>
          <w:rFonts w:cs="Calibri"/>
        </w:rPr>
        <w:t>MISC 7</w:t>
      </w:r>
      <w:r w:rsidRPr="00F933AF">
        <w:rPr>
          <w:rFonts w:cs="Calibri"/>
        </w:rPr>
        <w:t xml:space="preserve"> (Mayor’s Immigration Study Commission, 29 member task force that studies immigration trends and creates recommendations for Charlotte’s government. January 2007, “Immigration: Legal and Illegal”) NREM/Lil’ GBN</w:t>
      </w:r>
    </w:p>
    <w:p w:rsidR="008B2D5B" w:rsidRPr="00F933AF" w:rsidRDefault="008B2D5B" w:rsidP="008B2D5B">
      <w:pPr>
        <w:spacing w:after="0"/>
        <w:rPr>
          <w:rFonts w:cs="Calibri"/>
        </w:rPr>
      </w:pPr>
      <w:r w:rsidRPr="00F933AF">
        <w:rPr>
          <w:rFonts w:cs="Calibri"/>
        </w:rPr>
        <w:t>http://localdocs.uncc.edu/Mayor/Reports_Studies/Immigration_Report.pdf</w:t>
      </w:r>
    </w:p>
    <w:p w:rsidR="008B2D5B" w:rsidRPr="00F933AF" w:rsidRDefault="008B2D5B" w:rsidP="008B2D5B">
      <w:pPr>
        <w:rPr>
          <w:rFonts w:cs="Calibri"/>
          <w:sz w:val="16"/>
        </w:rPr>
      </w:pPr>
      <w:r w:rsidRPr="00F933AF">
        <w:rPr>
          <w:rFonts w:cs="Calibri"/>
          <w:sz w:val="16"/>
        </w:rPr>
        <w:t xml:space="preserve">84 Uninsured Healthcare </w:t>
      </w:r>
      <w:r w:rsidRPr="00F933AF">
        <w:rPr>
          <w:rStyle w:val="StyleUnderline"/>
          <w:rFonts w:cs="Calibri"/>
        </w:rPr>
        <w:t xml:space="preserve">America’s Immigration policies have been targeted as playing </w:t>
      </w:r>
      <w:r w:rsidRPr="00F933AF">
        <w:rPr>
          <w:rStyle w:val="Emphasis"/>
          <w:rFonts w:cs="Calibri"/>
        </w:rPr>
        <w:t>a significant role in the country’s health care crisis,</w:t>
      </w:r>
      <w:r w:rsidRPr="00F933AF">
        <w:rPr>
          <w:rFonts w:cs="Calibri"/>
          <w:sz w:val="16"/>
        </w:rPr>
        <w:t xml:space="preserve"> where more than 41 million Americans lack basic health insurance. One out of every four uninsured people in the U.S, approximately 10 million people, is an immigrant.85 North Carolina has 1.3 million residents with no health 64 insurance.86 This is reflected in that the median household </w:t>
      </w:r>
      <w:r w:rsidRPr="00F933AF">
        <w:rPr>
          <w:rStyle w:val="StyleUnderline"/>
          <w:rFonts w:cs="Calibri"/>
        </w:rPr>
        <w:t>income for legal immigrant households is 13% lower than that of U.S. born households</w:t>
      </w:r>
      <w:r w:rsidRPr="00F933AF">
        <w:rPr>
          <w:rFonts w:cs="Calibri"/>
          <w:sz w:val="16"/>
        </w:rPr>
        <w:t xml:space="preserve">, and median households income of illegal immigrants is 23% lower.87 In addition to poverty, this situation shows that </w:t>
      </w:r>
      <w:r w:rsidRPr="00F933AF">
        <w:rPr>
          <w:rStyle w:val="StyleUnderline"/>
          <w:rFonts w:cs="Calibri"/>
        </w:rPr>
        <w:t>the immigrant population is</w:t>
      </w:r>
      <w:r w:rsidRPr="00F933AF">
        <w:rPr>
          <w:rFonts w:cs="Calibri"/>
          <w:sz w:val="16"/>
        </w:rPr>
        <w:t xml:space="preserve"> largely </w:t>
      </w:r>
      <w:r w:rsidRPr="00F933AF">
        <w:rPr>
          <w:rStyle w:val="StyleUnderline"/>
          <w:rFonts w:cs="Calibri"/>
        </w:rPr>
        <w:t>unable to secure employer provided healthcare and that uninsured workers also have many family members who are subsequently uninsured.</w:t>
      </w:r>
      <w:r w:rsidRPr="00F933AF">
        <w:rPr>
          <w:rFonts w:cs="Calibri"/>
          <w:sz w:val="16"/>
        </w:rPr>
        <w:t xml:space="preserve"> Among full-time wage earners, 51% of illegal and visa status workers had employer provided health insurance, while 76% of naturalized citizens did and 81% of the U.S. born residents had insurance.88 </w:t>
      </w:r>
      <w:proofErr w:type="gramStart"/>
      <w:r w:rsidRPr="00F933AF">
        <w:rPr>
          <w:rStyle w:val="StyleUnderline"/>
          <w:rFonts w:cs="Calibri"/>
        </w:rPr>
        <w:t>The</w:t>
      </w:r>
      <w:proofErr w:type="gramEnd"/>
      <w:r w:rsidRPr="00F933AF">
        <w:rPr>
          <w:rStyle w:val="StyleUnderline"/>
          <w:rFonts w:cs="Calibri"/>
        </w:rPr>
        <w:t xml:space="preserve"> situation of uninsured immigrants</w:t>
      </w:r>
      <w:r w:rsidRPr="00F933AF">
        <w:rPr>
          <w:rFonts w:cs="Calibri"/>
          <w:sz w:val="16"/>
        </w:rPr>
        <w:t xml:space="preserve"> (legal and illegal) </w:t>
      </w:r>
      <w:r w:rsidRPr="00F933AF">
        <w:rPr>
          <w:rStyle w:val="Emphasis"/>
          <w:rFonts w:cs="Calibri"/>
        </w:rPr>
        <w:t>continues to grow</w:t>
      </w:r>
      <w:r w:rsidRPr="00F933AF">
        <w:rPr>
          <w:rFonts w:cs="Calibri"/>
          <w:sz w:val="16"/>
        </w:rPr>
        <w:t xml:space="preserve">. Immigrants who arrived between 1994 and 1998 and their children accounted for 59% (2.7 million) of the growth in the size of the uninsured population since 1993. </w:t>
      </w:r>
      <w:r w:rsidRPr="00F933AF">
        <w:rPr>
          <w:rStyle w:val="StyleUnderline"/>
          <w:rFonts w:cs="Calibri"/>
        </w:rPr>
        <w:t>The problem</w:t>
      </w:r>
      <w:r w:rsidRPr="00F933AF">
        <w:rPr>
          <w:rFonts w:cs="Calibri"/>
          <w:sz w:val="16"/>
        </w:rPr>
        <w:t xml:space="preserve"> also </w:t>
      </w:r>
      <w:r w:rsidRPr="00F933AF">
        <w:rPr>
          <w:rStyle w:val="StyleUnderline"/>
          <w:rFonts w:cs="Calibri"/>
        </w:rPr>
        <w:t>extends</w:t>
      </w:r>
      <w:r w:rsidRPr="00F933AF">
        <w:rPr>
          <w:rFonts w:cs="Calibri"/>
          <w:sz w:val="16"/>
        </w:rPr>
        <w:t xml:space="preserve"> farther back. More than a third (37%) of </w:t>
      </w:r>
      <w:r w:rsidRPr="00F933AF">
        <w:rPr>
          <w:rStyle w:val="StyleUnderline"/>
          <w:rFonts w:cs="Calibri"/>
        </w:rPr>
        <w:t>immigrants</w:t>
      </w:r>
      <w:r w:rsidRPr="00F933AF">
        <w:rPr>
          <w:rFonts w:cs="Calibri"/>
          <w:sz w:val="16"/>
        </w:rPr>
        <w:t xml:space="preserve"> who entered in the 1980’s </w:t>
      </w:r>
      <w:r w:rsidRPr="00F933AF">
        <w:rPr>
          <w:rStyle w:val="StyleUnderline"/>
          <w:rFonts w:cs="Calibri"/>
        </w:rPr>
        <w:t>have still not acquired health insurance</w:t>
      </w:r>
      <w:r w:rsidRPr="00F933AF">
        <w:rPr>
          <w:rFonts w:cs="Calibri"/>
          <w:sz w:val="16"/>
        </w:rPr>
        <w:t xml:space="preserve">, and more than a quarter (27%) of immigrants who entered in the 1970’s remain uninsured. When the 3.5 million immigrants receiving insurance through publicly funded Medicaid programs are factored in, almost half of </w:t>
      </w:r>
      <w:r w:rsidRPr="00F933AF">
        <w:rPr>
          <w:rStyle w:val="StyleUnderline"/>
          <w:rFonts w:cs="Calibri"/>
        </w:rPr>
        <w:t>immigrants</w:t>
      </w:r>
      <w:r w:rsidRPr="00F933AF">
        <w:rPr>
          <w:rFonts w:cs="Calibri"/>
          <w:sz w:val="16"/>
        </w:rPr>
        <w:t xml:space="preserve"> (legal and illegal) </w:t>
      </w:r>
      <w:r w:rsidRPr="00F933AF">
        <w:rPr>
          <w:rStyle w:val="StyleUnderline"/>
          <w:rFonts w:cs="Calibri"/>
        </w:rPr>
        <w:t xml:space="preserve">have either no insurance or have it provided to them </w:t>
      </w:r>
      <w:r w:rsidRPr="00F933AF">
        <w:rPr>
          <w:rStyle w:val="Emphasis"/>
          <w:rFonts w:cs="Calibri"/>
        </w:rPr>
        <w:t>at taxpayers’ expense</w:t>
      </w:r>
      <w:r w:rsidRPr="00F933AF">
        <w:rPr>
          <w:rFonts w:cs="Calibri"/>
          <w:sz w:val="16"/>
        </w:rPr>
        <w:t xml:space="preserve">.89 The </w:t>
      </w:r>
      <w:r w:rsidRPr="00F933AF">
        <w:rPr>
          <w:rStyle w:val="StyleUnderline"/>
          <w:rFonts w:cs="Calibri"/>
        </w:rPr>
        <w:t>cost for the uninsured is staggering</w:t>
      </w:r>
      <w:r w:rsidRPr="00F933AF">
        <w:rPr>
          <w:rFonts w:cs="Calibri"/>
          <w:sz w:val="16"/>
        </w:rPr>
        <w:t xml:space="preserve">. In 2001, public funds made up for up to 85% of the $34 - $38 billion shortfall in unreimbursed expenses incurred by the uninsured.90 In 2005, the cost for the uninsured in North Carolina was $1.4 billion. In 2005, the North Carolina Division of Medical Assistance, the State’s Medicaid Manager, reported that North Carolina illegal immigrants cost the state $52.8 million in Medicaid payments, up from $25.8 million in 2000.91 The Kenan Institute at UNC-Chapel Hill estimated the state’s 2004 cost for health services provided to all Hispanics, legal and illegal, at $299 million.92 Most of the North Carolina Medicaid payments for illegal immigrants were mostly for the delivery costs for pregnant women, but also paid for ambulances, diagnostic imaging, and other emergency care. Charlotte and Mecklenburg County hospitals, as well as most all North Carolina hospitals, do measure the cost of treating the 65 uninsured, but not for illegal immigrants as a separate group, as health care providers and hospitals do not ask immigration status of patients. </w:t>
      </w:r>
    </w:p>
    <w:p w:rsidR="008B2D5B" w:rsidRPr="00F933AF" w:rsidRDefault="008B2D5B" w:rsidP="008B2D5B">
      <w:pPr>
        <w:pStyle w:val="Heading4"/>
        <w:rPr>
          <w:rStyle w:val="StyleUnderline"/>
          <w:rFonts w:cs="Calibri"/>
          <w:sz w:val="26"/>
          <w:u w:val="none"/>
        </w:rPr>
      </w:pPr>
      <w:r w:rsidRPr="00F933AF">
        <w:rPr>
          <w:rStyle w:val="StyleUnderline"/>
          <w:rFonts w:cs="Calibri"/>
          <w:sz w:val="26"/>
          <w:u w:val="none"/>
        </w:rPr>
        <w:t>Hospitals key to prevent infectious diseases</w:t>
      </w:r>
    </w:p>
    <w:p w:rsidR="008B2D5B" w:rsidRPr="00F933AF" w:rsidRDefault="008B2D5B" w:rsidP="008B2D5B">
      <w:pPr>
        <w:spacing w:after="0"/>
        <w:rPr>
          <w:rFonts w:cs="Calibri"/>
        </w:rPr>
      </w:pPr>
      <w:r w:rsidRPr="00F933AF">
        <w:rPr>
          <w:rStyle w:val="Style13ptBold"/>
          <w:rFonts w:cs="Calibri"/>
        </w:rPr>
        <w:t>Bleasdale 15</w:t>
      </w:r>
      <w:r w:rsidRPr="00F933AF">
        <w:rPr>
          <w:rFonts w:cs="Calibri"/>
        </w:rPr>
        <w:t xml:space="preserve"> (Susan, M.D., Medical director of infection prevention and control at UI Health. Hospitals and Health Networks, 9-24-2015. “Hospital Infection Control: Beyond Hand Washing and Flu Shots”) NREM/Lil’ GBN</w:t>
      </w:r>
    </w:p>
    <w:p w:rsidR="008B2D5B" w:rsidRPr="00F933AF" w:rsidRDefault="008B2D5B" w:rsidP="008B2D5B">
      <w:pPr>
        <w:spacing w:after="0"/>
        <w:rPr>
          <w:rFonts w:cs="Calibri"/>
        </w:rPr>
      </w:pPr>
      <w:r w:rsidRPr="00F933AF">
        <w:rPr>
          <w:rFonts w:cs="Calibri"/>
        </w:rPr>
        <w:t>https://www.hhnmag.com/articles/3183-hospital-infection-control-beyond-hand-washing-and-flu-shots</w:t>
      </w:r>
    </w:p>
    <w:p w:rsidR="008B2D5B" w:rsidRPr="00F933AF" w:rsidRDefault="008B2D5B" w:rsidP="008B2D5B">
      <w:pPr>
        <w:spacing w:after="0"/>
        <w:rPr>
          <w:rFonts w:cs="Calibri"/>
          <w:sz w:val="16"/>
        </w:rPr>
      </w:pPr>
      <w:r w:rsidRPr="00F933AF">
        <w:rPr>
          <w:rStyle w:val="StyleUnderline"/>
          <w:rFonts w:cs="Calibri"/>
        </w:rPr>
        <w:t>At</w:t>
      </w:r>
      <w:r w:rsidRPr="00F933AF">
        <w:rPr>
          <w:rFonts w:cs="Calibri"/>
          <w:sz w:val="16"/>
        </w:rPr>
        <w:t xml:space="preserve"> most </w:t>
      </w:r>
      <w:r w:rsidRPr="00F933AF">
        <w:rPr>
          <w:rStyle w:val="StyleUnderline"/>
          <w:rFonts w:cs="Calibri"/>
        </w:rPr>
        <w:t>health systems</w:t>
      </w:r>
      <w:r w:rsidRPr="00F933AF">
        <w:rPr>
          <w:rFonts w:cs="Calibri"/>
          <w:sz w:val="16"/>
        </w:rPr>
        <w:t xml:space="preserve">, </w:t>
      </w:r>
      <w:r w:rsidRPr="00F933AF">
        <w:rPr>
          <w:rStyle w:val="Emphasis"/>
          <w:rFonts w:cs="Calibri"/>
        </w:rPr>
        <w:t>infectious disease specialists</w:t>
      </w:r>
      <w:r w:rsidRPr="00F933AF">
        <w:rPr>
          <w:rStyle w:val="StyleUnderline"/>
          <w:rFonts w:cs="Calibri"/>
        </w:rPr>
        <w:t xml:space="preserve"> play a leadership role</w:t>
      </w:r>
      <w:r w:rsidRPr="00F933AF">
        <w:rPr>
          <w:rFonts w:cs="Calibri"/>
          <w:sz w:val="16"/>
        </w:rPr>
        <w:t xml:space="preserve"> </w:t>
      </w:r>
      <w:r w:rsidRPr="00F933AF">
        <w:rPr>
          <w:rStyle w:val="StyleUnderline"/>
          <w:rFonts w:cs="Calibri"/>
        </w:rPr>
        <w:t>in infection control and prevention, promote hand hygiene, advocate for staffwide vaccinations, oversee equipment sterilization and conduct infection surveillance.</w:t>
      </w:r>
      <w:r w:rsidRPr="00F933AF">
        <w:rPr>
          <w:rFonts w:cs="Calibri"/>
          <w:sz w:val="16"/>
        </w:rPr>
        <w:t xml:space="preserve"> All </w:t>
      </w:r>
      <w:r w:rsidRPr="00F933AF">
        <w:rPr>
          <w:rStyle w:val="StyleUnderline"/>
          <w:rFonts w:cs="Calibri"/>
        </w:rPr>
        <w:t>these</w:t>
      </w:r>
      <w:r w:rsidRPr="00F933AF">
        <w:rPr>
          <w:rFonts w:cs="Calibri"/>
          <w:sz w:val="16"/>
        </w:rPr>
        <w:t xml:space="preserve"> measures are important in </w:t>
      </w:r>
      <w:r w:rsidRPr="00F933AF">
        <w:rPr>
          <w:rStyle w:val="StyleUnderline"/>
          <w:rFonts w:cs="Calibri"/>
        </w:rPr>
        <w:t xml:space="preserve">reducing health care-associated infections and the </w:t>
      </w:r>
      <w:r w:rsidRPr="00F933AF">
        <w:rPr>
          <w:rStyle w:val="Emphasis"/>
          <w:rFonts w:cs="Calibri"/>
        </w:rPr>
        <w:t>spread of infectious diseases</w:t>
      </w:r>
      <w:r w:rsidRPr="00F933AF">
        <w:rPr>
          <w:rFonts w:cs="Calibri"/>
          <w:sz w:val="16"/>
        </w:rPr>
        <w:t xml:space="preserve">. But hospital administrators who think the value of infectious disease expertise ends there are missing out on a significant opportunity; they also risk losing their institution's money and reputation. HAIs annually cause nearly 100,000 deaths and cost the health care system nearly $6.5 billion, according to the Centers for Disease Control and Prevention. While standard IC&amp;P programs can help to reduce the incidence of HAIs, many health systems are not maximizing the full potential of their IC&amp;P teams. Led, ideally, by infectious disease physicians who have the requisite training and expertise, IC&amp;P teams can provide guidance in a wide variety of tasks — from consulting on equipment purchases to preparing emergency departments for outbreaks — to avoid or reduce devastating and costly infection-related problems. Value-based Purchasing Health system leaders are well aware that the Centers for Medicare &amp; Medicaid Services is focused on reducing HAIs and that it now holds them to several HAI-related performance measures. Reimbursement is tied to HAI rates via the value-based purchasing system. Those who fall into the lowest quartile, based on HAI rates, are penalized. The best way to avoid that quartile isn't always clear: It requires more than surveillance and a few standard interventions. </w:t>
      </w:r>
      <w:r w:rsidRPr="00F933AF">
        <w:rPr>
          <w:rStyle w:val="StyleUnderline"/>
          <w:rFonts w:cs="Calibri"/>
        </w:rPr>
        <w:t>Infectious disease physicians can assess which interventions are working</w:t>
      </w:r>
      <w:r w:rsidRPr="00F933AF">
        <w:rPr>
          <w:rFonts w:cs="Calibri"/>
          <w:sz w:val="16"/>
        </w:rPr>
        <w:t xml:space="preserve"> — </w:t>
      </w:r>
      <w:r w:rsidRPr="00F933AF">
        <w:rPr>
          <w:rStyle w:val="StyleUnderline"/>
          <w:rFonts w:cs="Calibri"/>
        </w:rPr>
        <w:t>and which are consuming valuable resources without much impact. Their expertise enables them to identify where the hospital is vulnerable, prioritize improvement practices and implement those practices.</w:t>
      </w:r>
      <w:r w:rsidRPr="00F933AF">
        <w:rPr>
          <w:rFonts w:cs="Calibri"/>
          <w:sz w:val="16"/>
        </w:rPr>
        <w:t xml:space="preserve"> Hospitals can be penalized if they have too many central line-associated blood stream infections and Clostridium difficile infections. Knowing this, vendors are pushing myriad commercial products and procedures alleged to address these problems, from new dressings for CLABSI to ultraviolet light for C. difficile. Efficacy varies, and whether they would be beneficial in </w:t>
      </w:r>
      <w:r w:rsidRPr="00F933AF">
        <w:rPr>
          <w:rStyle w:val="StyleUnderline"/>
          <w:rFonts w:cs="Calibri"/>
        </w:rPr>
        <w:t>your health system depends on a number of factors. Infectious disease physicians can evaluate the data to determine which products will help your facility, and then design</w:t>
      </w:r>
      <w:r w:rsidRPr="00F933AF">
        <w:rPr>
          <w:rFonts w:cs="Calibri"/>
          <w:sz w:val="16"/>
        </w:rPr>
        <w:t xml:space="preserve"> an </w:t>
      </w:r>
      <w:r w:rsidRPr="00F933AF">
        <w:rPr>
          <w:rStyle w:val="StyleUnderline"/>
          <w:rFonts w:cs="Calibri"/>
        </w:rPr>
        <w:t>effective implementation.</w:t>
      </w:r>
      <w:r w:rsidRPr="00F933AF">
        <w:rPr>
          <w:rFonts w:cs="Calibri"/>
          <w:sz w:val="16"/>
        </w:rPr>
        <w:t xml:space="preserve"> </w:t>
      </w:r>
      <w:r w:rsidRPr="00F933AF">
        <w:rPr>
          <w:rStyle w:val="StyleUnderline"/>
          <w:rFonts w:cs="Calibri"/>
        </w:rPr>
        <w:t>Without input</w:t>
      </w:r>
      <w:r w:rsidRPr="00F933AF">
        <w:rPr>
          <w:rFonts w:cs="Calibri"/>
          <w:sz w:val="16"/>
        </w:rPr>
        <w:t xml:space="preserve"> from a specialist, you risk </w:t>
      </w:r>
      <w:r w:rsidRPr="00F933AF">
        <w:rPr>
          <w:rStyle w:val="StyleUnderline"/>
          <w:rFonts w:cs="Calibri"/>
        </w:rPr>
        <w:t>purchasing products that waste funds</w:t>
      </w:r>
      <w:r w:rsidRPr="00F933AF">
        <w:rPr>
          <w:rFonts w:cs="Calibri"/>
          <w:sz w:val="16"/>
        </w:rPr>
        <w:t xml:space="preserve">. Preparing for New Construction When there's new construction, it's a smart tactic to involve infectious disease physicians long before the ribbon-cutting ceremony. In fact, these physicians should be included at every step, from blueprints to the finishing touches. They can prevent many problems from arising because of construction: They can assess if the planned method of air handling is appropriate and whether the materials and equipment are disinfectable, for example, and they can ensure that construction dust is contained so as not to harm vulnerable patients. </w:t>
      </w:r>
      <w:r w:rsidRPr="00F933AF">
        <w:rPr>
          <w:rStyle w:val="StyleUnderline"/>
          <w:rFonts w:cs="Calibri"/>
        </w:rPr>
        <w:t>An infectious disease physician can assess relevant questions</w:t>
      </w:r>
      <w:r w:rsidRPr="00F933AF">
        <w:rPr>
          <w:rFonts w:cs="Calibri"/>
          <w:sz w:val="16"/>
        </w:rPr>
        <w:t xml:space="preserve">. If procedures are going to be performed in the new building, are there plans for dedicated equipment disinfection and enough sinks to ensure proper hand hygiene? What is the plan for safe waste disposal? Are there clean as well as dirty sinks, and is there enough space between them? Is there room for a biohazard trash can? These types of oversights are surprisingly common, and rectifying them after the fact can be difficult and costly. Planning for Outbreaks No one envies Texas Health Presbyterian Dallas Hospital, which had to contend with the first case of Ebola identified in the United States. But next time, it could be your </w:t>
      </w:r>
      <w:r w:rsidRPr="00F933AF">
        <w:rPr>
          <w:rStyle w:val="StyleUnderline"/>
          <w:rFonts w:cs="Calibri"/>
        </w:rPr>
        <w:t>hospital facing an outbreak, whether Ebola, Middle East Respiratory Syndrome, H1N1 influenza, severe acute respiratory syndrome, measles or some as-yet-unknown infection</w:t>
      </w:r>
      <w:r w:rsidRPr="00F933AF">
        <w:rPr>
          <w:rFonts w:cs="Calibri"/>
          <w:sz w:val="16"/>
        </w:rPr>
        <w:t xml:space="preserve">. Your </w:t>
      </w:r>
      <w:r w:rsidRPr="00F933AF">
        <w:rPr>
          <w:rStyle w:val="StyleUnderline"/>
          <w:rFonts w:cs="Calibri"/>
        </w:rPr>
        <w:t>facility must have a plan to manage such an outbreak, and that plan needs to be developed</w:t>
      </w:r>
      <w:r w:rsidRPr="00F933AF">
        <w:rPr>
          <w:rFonts w:cs="Calibri"/>
          <w:sz w:val="16"/>
        </w:rPr>
        <w:t xml:space="preserve"> by a multidisciplinary team led by an infectious disease physician. Such physicians help to plan protective mechanisms that work for your specific facility. These mechanisms may include contact precautions, patient screening, isolation measures and other responses to protect employees, patients and the public. As the Ebola experience demonstrated, many employees felt unprepared and frightened to care for a possibly infected patient. Research shows that employees who are trained in using IC&amp;P equipment are less fearful and more confident in their ability to safely care for these patients. Infectious disease physicians can enact proven protective mechanisms and train employees so they feel protected while providing needed care. On a related note, </w:t>
      </w:r>
      <w:r w:rsidRPr="00F933AF">
        <w:rPr>
          <w:rStyle w:val="StyleUnderline"/>
          <w:rFonts w:cs="Calibri"/>
        </w:rPr>
        <w:t>health care workers can be exposed</w:t>
      </w:r>
      <w:r w:rsidRPr="00F933AF">
        <w:rPr>
          <w:rFonts w:cs="Calibri"/>
          <w:sz w:val="16"/>
        </w:rPr>
        <w:t xml:space="preserve"> to biohazardous material in providing routine patient care. Infectious disease physicians have the best expertise to address this not uncommon problem. Blood-borne exposures put workers at risk for contracting infectious diseases such as hepatitis and HIV. </w:t>
      </w:r>
      <w:r w:rsidRPr="00F933AF">
        <w:rPr>
          <w:rStyle w:val="Emphasis"/>
          <w:rFonts w:cs="Calibri"/>
        </w:rPr>
        <w:t>Infectious disease specialists are experts</w:t>
      </w:r>
      <w:r w:rsidRPr="00F933AF">
        <w:rPr>
          <w:rFonts w:cs="Calibri"/>
          <w:sz w:val="16"/>
        </w:rPr>
        <w:t xml:space="preserve"> in providing the best management, medications and methods of prophylaxis. Dealing with Disasters Many facilities will have to contend with a local emergency (whether a tornado, flood or simply burst pipes) that results in possible infection-related consequences, so it makes good sense to have an infectious disease physician involved in disaster planning. Consider burst pipes. Response needs to be immediate, and there needs to be a quick resolution to a wide variety of problems — prioritizing patients to be routed to an unaffected location, closing units to be disinfected, and ensuring that wet walls are dried effectively or replaced to prevent mold, which could put vulnerable patients at risk. If you lose water, are your sterilizers going to work? Will you be able to appropriately manage plumbing issues as the leak is being addressed? Infectious disease experts can provide guidance.</w:t>
      </w:r>
    </w:p>
    <w:p w:rsidR="008B2D5B" w:rsidRPr="00910110" w:rsidRDefault="008B2D5B" w:rsidP="008B2D5B">
      <w:pPr>
        <w:pStyle w:val="Heading4"/>
        <w:rPr>
          <w:rFonts w:cs="Calibri"/>
        </w:rPr>
      </w:pPr>
      <w:r w:rsidRPr="00910110">
        <w:rPr>
          <w:rFonts w:cs="Calibri"/>
        </w:rPr>
        <w:t xml:space="preserve">Disease risk </w:t>
      </w:r>
      <w:r w:rsidRPr="00910110">
        <w:rPr>
          <w:rFonts w:cs="Calibri"/>
          <w:u w:val="single"/>
        </w:rPr>
        <w:t>extinction</w:t>
      </w:r>
      <w:r w:rsidRPr="00910110">
        <w:rPr>
          <w:rFonts w:cs="Calibri"/>
        </w:rPr>
        <w:t xml:space="preserve"> – no burnout, human transportation is reaching the tipping point for global contagion</w:t>
      </w:r>
    </w:p>
    <w:p w:rsidR="008B2D5B" w:rsidRPr="00910110" w:rsidRDefault="008B2D5B" w:rsidP="008B2D5B">
      <w:pPr>
        <w:rPr>
          <w:rFonts w:cs="Calibri"/>
        </w:rPr>
      </w:pPr>
      <w:r w:rsidRPr="00910110">
        <w:rPr>
          <w:rStyle w:val="Style13ptBold"/>
          <w:rFonts w:cs="Calibri"/>
        </w:rPr>
        <w:t xml:space="preserve">Bar-Yam 16 </w:t>
      </w:r>
      <w:r w:rsidRPr="00910110">
        <w:rPr>
          <w:rFonts w:cs="Calibri"/>
        </w:rPr>
        <w:t>(Yaneer, MIT PhD, Founding President of the New England Complex Systems Institute, PhD in Physics, “Transition to extinction: Pandemics in a connected world,” NECSI, July 3, 2016, http://necsi.edu/research/social/pandemics/transition)</w:t>
      </w:r>
    </w:p>
    <w:p w:rsidR="008B2D5B" w:rsidRPr="00910110" w:rsidRDefault="008B2D5B" w:rsidP="008B2D5B">
      <w:pPr>
        <w:rPr>
          <w:rFonts w:cs="Calibri"/>
          <w:sz w:val="16"/>
          <w:szCs w:val="16"/>
        </w:rPr>
      </w:pPr>
      <w:r w:rsidRPr="00910110">
        <w:rPr>
          <w:rFonts w:cs="Calibri"/>
          <w:sz w:val="16"/>
          <w:szCs w:val="16"/>
        </w:rPr>
        <w:t>Watch as one of the more aggressive – brighter red</w:t>
      </w:r>
      <w:proofErr w:type="gramStart"/>
      <w:r w:rsidRPr="00910110">
        <w:rPr>
          <w:rFonts w:cs="Calibri"/>
          <w:sz w:val="16"/>
          <w:szCs w:val="16"/>
        </w:rPr>
        <w:t>  –</w:t>
      </w:r>
      <w:proofErr w:type="gramEnd"/>
      <w:r w:rsidRPr="00910110">
        <w:rPr>
          <w:rFonts w:cs="Calibri"/>
          <w:sz w:val="16"/>
          <w:szCs w:val="16"/>
        </w:rPr>
        <w:t xml:space="preserve">  strains rapidly expands. After a time it goes extinct leaving a black region. Why does it go extinct? The answer is that it spreads so rapidly that it kills the hosts around it. Without new hosts to infect it then dies out itself. </w:t>
      </w:r>
      <w:r w:rsidRPr="00910110">
        <w:rPr>
          <w:rStyle w:val="StyleUnderline"/>
          <w:rFonts w:cs="Calibri"/>
        </w:rPr>
        <w:t>That the rapidly spreading pathogens die out has important implications for evolutionary research</w:t>
      </w:r>
      <w:r w:rsidRPr="00910110">
        <w:rPr>
          <w:rFonts w:cs="Calibri"/>
          <w:sz w:val="16"/>
          <w:szCs w:val="16"/>
        </w:rPr>
        <w:t xml:space="preserve"> which we have talked about elsewhere [1–7].</w:t>
      </w:r>
      <w:r w:rsidRPr="00910110">
        <w:rPr>
          <w:rFonts w:cs="Calibri"/>
          <w:sz w:val="16"/>
        </w:rPr>
        <w:t xml:space="preserve"> </w:t>
      </w:r>
      <w:r w:rsidRPr="00910110">
        <w:rPr>
          <w:rFonts w:cs="Calibri"/>
          <w:sz w:val="16"/>
          <w:szCs w:val="16"/>
        </w:rPr>
        <w:t xml:space="preserve">In the research I want to discuss here, </w:t>
      </w:r>
      <w:r w:rsidRPr="00910110">
        <w:rPr>
          <w:rStyle w:val="StyleUnderline"/>
          <w:rFonts w:cs="Calibri"/>
        </w:rPr>
        <w:t>what we were interested in is the effect of adding long range transportation</w:t>
      </w:r>
      <w:r w:rsidRPr="00910110">
        <w:rPr>
          <w:rFonts w:cs="Calibri"/>
          <w:sz w:val="16"/>
          <w:szCs w:val="16"/>
        </w:rPr>
        <w:t xml:space="preserve"> [8</w:t>
      </w:r>
      <w:r w:rsidRPr="00910110">
        <w:rPr>
          <w:rStyle w:val="StyleUnderline"/>
          <w:rFonts w:cs="Calibri"/>
        </w:rPr>
        <w:t>]. This includes natural means of dispersal as well as unintentional dispersal by humans, like adding airplane routes, which is being done by real world airlines</w:t>
      </w:r>
      <w:r w:rsidRPr="00910110">
        <w:rPr>
          <w:rFonts w:cs="Calibri"/>
          <w:sz w:val="16"/>
          <w:szCs w:val="16"/>
        </w:rPr>
        <w:t xml:space="preserve"> (Figure 2).</w:t>
      </w:r>
      <w:r w:rsidRPr="00910110">
        <w:rPr>
          <w:rFonts w:cs="Calibri"/>
          <w:sz w:val="16"/>
        </w:rPr>
        <w:t xml:space="preserve"> </w:t>
      </w:r>
      <w:r w:rsidRPr="00910110">
        <w:rPr>
          <w:rStyle w:val="StyleUnderline"/>
          <w:rFonts w:cs="Calibri"/>
        </w:rPr>
        <w:t xml:space="preserve">When we introduce long range transportation into the model, the success of more aggressive strains changes. They can use the long range transportation to find new hosts and </w:t>
      </w:r>
      <w:r w:rsidRPr="00910110">
        <w:rPr>
          <w:rStyle w:val="Emphasis"/>
          <w:rFonts w:cs="Calibri"/>
        </w:rPr>
        <w:t>escape local extinction</w:t>
      </w:r>
      <w:r w:rsidRPr="00910110">
        <w:rPr>
          <w:rStyle w:val="StyleUnderline"/>
          <w:rFonts w:cs="Calibri"/>
        </w:rPr>
        <w:t>.</w:t>
      </w:r>
      <w:r w:rsidRPr="00910110">
        <w:rPr>
          <w:rFonts w:cs="Calibri"/>
          <w:sz w:val="16"/>
          <w:szCs w:val="16"/>
        </w:rPr>
        <w:t xml:space="preserve"> Figure 3 shows that the more transportation routes introduced into the model, the </w:t>
      </w:r>
      <w:proofErr w:type="gramStart"/>
      <w:r w:rsidRPr="00910110">
        <w:rPr>
          <w:rFonts w:cs="Calibri"/>
          <w:sz w:val="16"/>
          <w:szCs w:val="16"/>
        </w:rPr>
        <w:t>more higher</w:t>
      </w:r>
      <w:proofErr w:type="gramEnd"/>
      <w:r w:rsidRPr="00910110">
        <w:rPr>
          <w:rFonts w:cs="Calibri"/>
          <w:sz w:val="16"/>
          <w:szCs w:val="16"/>
        </w:rPr>
        <w:t xml:space="preserve"> aggressive pathogens are able to survive and spread.</w:t>
      </w:r>
      <w:r w:rsidRPr="00910110">
        <w:rPr>
          <w:rFonts w:cs="Calibri"/>
          <w:sz w:val="16"/>
        </w:rPr>
        <w:t xml:space="preserve"> </w:t>
      </w:r>
      <w:r w:rsidRPr="00910110">
        <w:rPr>
          <w:rFonts w:cs="Calibri"/>
          <w:sz w:val="16"/>
          <w:szCs w:val="16"/>
        </w:rPr>
        <w:t xml:space="preserve">As we add more long range transportation, </w:t>
      </w:r>
      <w:r w:rsidRPr="00910110">
        <w:rPr>
          <w:rStyle w:val="StyleUnderline"/>
          <w:rFonts w:cs="Calibri"/>
        </w:rPr>
        <w:t>there is a critical point at which pathogens become so aggressive that the entire host population dies.</w:t>
      </w:r>
      <w:r w:rsidRPr="00910110">
        <w:rPr>
          <w:rFonts w:cs="Calibri"/>
          <w:sz w:val="16"/>
          <w:szCs w:val="16"/>
        </w:rPr>
        <w:t xml:space="preserve"> The pathogens die at the same time, but that is not exactly a consolation to the hosts</w:t>
      </w:r>
      <w:r w:rsidRPr="00910110">
        <w:rPr>
          <w:rStyle w:val="StyleUnderline"/>
          <w:rFonts w:cs="Calibri"/>
        </w:rPr>
        <w:t xml:space="preserve">. We call this the phase </w:t>
      </w:r>
      <w:r w:rsidRPr="00910110">
        <w:rPr>
          <w:rStyle w:val="Emphasis"/>
          <w:rFonts w:cs="Calibri"/>
        </w:rPr>
        <w:t>transition to extinction</w:t>
      </w:r>
      <w:r w:rsidRPr="00910110">
        <w:rPr>
          <w:rFonts w:cs="Calibri"/>
          <w:sz w:val="16"/>
          <w:szCs w:val="16"/>
        </w:rPr>
        <w:t xml:space="preserve"> (Figure 4). </w:t>
      </w:r>
      <w:r w:rsidRPr="00910110">
        <w:rPr>
          <w:rStyle w:val="StyleUnderline"/>
          <w:rFonts w:cs="Calibri"/>
        </w:rPr>
        <w:t xml:space="preserve">With increasing levels of global transportation, human </w:t>
      </w:r>
      <w:r w:rsidRPr="00910110">
        <w:rPr>
          <w:rStyle w:val="Emphasis"/>
          <w:rFonts w:cs="Calibri"/>
        </w:rPr>
        <w:t>civilization may be approaching such a critical threshold</w:t>
      </w:r>
      <w:r w:rsidRPr="00910110">
        <w:rPr>
          <w:rFonts w:cs="Calibri"/>
          <w:sz w:val="16"/>
          <w:szCs w:val="16"/>
        </w:rPr>
        <w:t>.</w:t>
      </w:r>
      <w:r w:rsidRPr="00910110">
        <w:rPr>
          <w:rFonts w:cs="Calibri"/>
          <w:sz w:val="16"/>
        </w:rPr>
        <w:t xml:space="preserve"> </w:t>
      </w:r>
      <w:r w:rsidRPr="00910110">
        <w:rPr>
          <w:rFonts w:cs="Calibri"/>
          <w:sz w:val="16"/>
          <w:szCs w:val="16"/>
        </w:rPr>
        <w:t>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r w:rsidRPr="00910110">
        <w:rPr>
          <w:rFonts w:cs="Calibri"/>
          <w:sz w:val="16"/>
        </w:rPr>
        <w:t xml:space="preserve"> </w:t>
      </w:r>
      <w:r w:rsidRPr="00910110">
        <w:rPr>
          <w:rFonts w:cs="Calibri"/>
          <w:sz w:val="16"/>
          <w:szCs w:val="16"/>
        </w:rPr>
        <w:t>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w:t>
      </w:r>
      <w:r w:rsidRPr="00910110">
        <w:rPr>
          <w:rFonts w:cs="Calibri"/>
          <w:sz w:val="16"/>
        </w:rPr>
        <w:t xml:space="preserve"> </w:t>
      </w:r>
      <w:r w:rsidRPr="00910110">
        <w:rPr>
          <w:rStyle w:val="StyleUnderline"/>
          <w:rFonts w:cs="Calibri"/>
        </w:rPr>
        <w:t>A key point about the phase transition to extinction is its suddenness. Even a system that seems stable, can be destabilized by a few more long-range connections, and connectivity is continuing to increase.</w:t>
      </w:r>
      <w:r w:rsidRPr="00910110">
        <w:rPr>
          <w:rStyle w:val="StyleUnderline"/>
          <w:rFonts w:cs="Calibri"/>
          <w:sz w:val="12"/>
          <w:szCs w:val="12"/>
        </w:rPr>
        <w:t xml:space="preserve"> </w:t>
      </w:r>
      <w:r w:rsidRPr="00910110">
        <w:rPr>
          <w:rStyle w:val="StyleUnderline"/>
          <w:rFonts w:cs="Calibri"/>
        </w:rPr>
        <w:t>So how close are we to the tipping point? We don’t know but it would be good to find out before it happens.</w:t>
      </w:r>
      <w:r w:rsidRPr="00910110">
        <w:rPr>
          <w:rStyle w:val="StyleUnderline"/>
          <w:rFonts w:cs="Calibri"/>
          <w:sz w:val="12"/>
          <w:szCs w:val="12"/>
        </w:rPr>
        <w:t xml:space="preserve"> </w:t>
      </w:r>
      <w:r w:rsidRPr="00910110">
        <w:rPr>
          <w:rFonts w:cs="Calibri"/>
          <w:sz w:val="16"/>
          <w:szCs w:val="16"/>
        </w:rPr>
        <w:t xml:space="preserve">While Ebola ravaged three countries in West Africa, it only resulted in a handful of cases outside that region. One possible reason is that many of the airlines that fly to </w:t>
      </w:r>
      <w:proofErr w:type="gramStart"/>
      <w:r w:rsidRPr="00910110">
        <w:rPr>
          <w:rFonts w:cs="Calibri"/>
          <w:sz w:val="16"/>
          <w:szCs w:val="16"/>
        </w:rPr>
        <w:t>west</w:t>
      </w:r>
      <w:proofErr w:type="gramEnd"/>
      <w:r w:rsidRPr="00910110">
        <w:rPr>
          <w:rFonts w:cs="Calibri"/>
          <w:sz w:val="16"/>
          <w:szCs w:val="16"/>
        </w:rPr>
        <w:t xml:space="preserve"> Africa stopped or reduced flights during the epidemic [9]. In the absence of a clear connection, public health authorities who downplayed the dangers of the epidemic spreading to the West might seem to be vindicated.</w:t>
      </w:r>
      <w:r w:rsidRPr="00910110">
        <w:rPr>
          <w:rFonts w:cs="Calibri"/>
          <w:sz w:val="16"/>
        </w:rPr>
        <w:t xml:space="preserve"> </w:t>
      </w:r>
      <w:r w:rsidRPr="00910110">
        <w:rPr>
          <w:rFonts w:cs="Calibri"/>
          <w:sz w:val="16"/>
          <w:szCs w:val="16"/>
        </w:rPr>
        <w:t xml:space="preserve">As with the choice of airlines to stop flying to </w:t>
      </w:r>
      <w:proofErr w:type="gramStart"/>
      <w:r w:rsidRPr="00910110">
        <w:rPr>
          <w:rFonts w:cs="Calibri"/>
          <w:sz w:val="16"/>
          <w:szCs w:val="16"/>
        </w:rPr>
        <w:t>west</w:t>
      </w:r>
      <w:proofErr w:type="gramEnd"/>
      <w:r w:rsidRPr="00910110">
        <w:rPr>
          <w:rFonts w:cs="Calibri"/>
          <w:sz w:val="16"/>
          <w:szCs w:val="16"/>
        </w:rPr>
        <w:t xml:space="preserve"> Africa, our analysis didn’t take into consideration how people respond to epidemics. It does tell us what the outcome will be </w:t>
      </w:r>
      <w:r w:rsidRPr="00910110">
        <w:rPr>
          <w:rStyle w:val="StyleUnderline"/>
          <w:rFonts w:cs="Calibri"/>
        </w:rPr>
        <w:t>unless we respond fast enough and well enough to stop the spread of future diseases</w:t>
      </w:r>
      <w:r w:rsidRPr="00910110">
        <w:rPr>
          <w:rFonts w:cs="Calibri"/>
          <w:sz w:val="16"/>
          <w:szCs w:val="16"/>
        </w:rPr>
        <w:t xml:space="preserve">, which may not be the same as the ones we saw in the past. </w:t>
      </w:r>
      <w:r w:rsidRPr="00910110">
        <w:rPr>
          <w:rStyle w:val="StyleUnderline"/>
          <w:rFonts w:cs="Calibri"/>
        </w:rPr>
        <w:t>As the world becomes more connected, the dangers increase.</w:t>
      </w:r>
      <w:r w:rsidRPr="00910110">
        <w:rPr>
          <w:rStyle w:val="StyleUnderline"/>
          <w:rFonts w:cs="Calibri"/>
          <w:sz w:val="12"/>
          <w:szCs w:val="12"/>
        </w:rPr>
        <w:t xml:space="preserve"> </w:t>
      </w:r>
      <w:r w:rsidRPr="00910110">
        <w:rPr>
          <w:rFonts w:cs="Calibri"/>
          <w:sz w:val="16"/>
          <w:szCs w:val="16"/>
        </w:rPr>
        <w:t xml:space="preserve">Are people in western countries safe because of higher quality health systems? 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w:t>
      </w:r>
      <w:r w:rsidRPr="00910110">
        <w:rPr>
          <w:rStyle w:val="StyleUnderline"/>
          <w:rFonts w:cs="Calibri"/>
        </w:rPr>
        <w:t xml:space="preserve">If a sick food service worker in an airport infects 100 passengers, or a contagion event happens in mass transportation, an outbreak could </w:t>
      </w:r>
      <w:r w:rsidRPr="00910110">
        <w:rPr>
          <w:rStyle w:val="Emphasis"/>
          <w:rFonts w:cs="Calibri"/>
        </w:rPr>
        <w:t>very well prove unstoppable</w:t>
      </w:r>
      <w:r w:rsidRPr="00910110">
        <w:rPr>
          <w:rFonts w:cs="Calibri"/>
          <w:sz w:val="16"/>
          <w:szCs w:val="16"/>
        </w:rPr>
        <w:t>.</w:t>
      </w:r>
    </w:p>
    <w:p w:rsidR="008B2D5B" w:rsidRPr="00F933AF" w:rsidRDefault="008B2D5B" w:rsidP="008B2D5B">
      <w:pPr>
        <w:rPr>
          <w:rFonts w:cs="Calibri"/>
        </w:rPr>
      </w:pPr>
    </w:p>
    <w:p w:rsidR="008B2D5B" w:rsidRPr="00F933AF" w:rsidRDefault="008B2D5B" w:rsidP="008B2D5B">
      <w:pPr>
        <w:pStyle w:val="Heading3"/>
        <w:rPr>
          <w:rFonts w:cs="Calibri"/>
        </w:rPr>
      </w:pPr>
      <w:r w:rsidRPr="00F933AF">
        <w:rPr>
          <w:rFonts w:cs="Calibri"/>
        </w:rPr>
        <w:t>AT: Immigrants Don’t Use Resources</w:t>
      </w:r>
    </w:p>
    <w:p w:rsidR="008B2D5B" w:rsidRPr="00F933AF" w:rsidRDefault="008B2D5B" w:rsidP="008B2D5B">
      <w:pPr>
        <w:pStyle w:val="Heading4"/>
        <w:rPr>
          <w:rFonts w:cs="Calibri"/>
        </w:rPr>
      </w:pPr>
      <w:r w:rsidRPr="00F933AF">
        <w:rPr>
          <w:rFonts w:cs="Calibri"/>
        </w:rPr>
        <w:t xml:space="preserve">Multiple barriers mean immigrants disproportionately use resources </w:t>
      </w:r>
    </w:p>
    <w:p w:rsidR="008B2D5B" w:rsidRPr="00F933AF" w:rsidRDefault="008B2D5B" w:rsidP="008B2D5B">
      <w:pPr>
        <w:spacing w:after="0"/>
        <w:rPr>
          <w:rFonts w:cs="Calibri"/>
        </w:rPr>
      </w:pPr>
      <w:r w:rsidRPr="00F933AF">
        <w:rPr>
          <w:rStyle w:val="Style13ptBold"/>
          <w:rFonts w:cs="Calibri"/>
        </w:rPr>
        <w:t>Portes et al. 13</w:t>
      </w:r>
      <w:r w:rsidRPr="00F933AF">
        <w:rPr>
          <w:rFonts w:cs="Calibri"/>
        </w:rPr>
        <w:t xml:space="preserve"> (Alejandro, Ph.D and Howard Harrison and Gabrielle Snyder Beck Professor of Sociology and director of the Center for Migration and Development at Princeton University. NCBI, 4-17-2013, “The U.S. Health System and Immigration: An Institutional Interpretation”) NREM/Lil’ GBN</w:t>
      </w:r>
    </w:p>
    <w:p w:rsidR="008B2D5B" w:rsidRPr="00F933AF" w:rsidRDefault="008B2D5B" w:rsidP="008B2D5B">
      <w:pPr>
        <w:spacing w:after="0"/>
        <w:rPr>
          <w:rFonts w:cs="Calibri"/>
        </w:rPr>
      </w:pPr>
      <w:r w:rsidRPr="00F933AF">
        <w:rPr>
          <w:rFonts w:cs="Calibri"/>
        </w:rPr>
        <w:t>https://www.ncbi.nlm.nih.gov/pmc/articles/PMC3628610/</w:t>
      </w:r>
    </w:p>
    <w:p w:rsidR="008B2D5B" w:rsidRPr="00F933AF" w:rsidRDefault="008B2D5B" w:rsidP="008B2D5B">
      <w:pPr>
        <w:rPr>
          <w:rFonts w:cs="Calibri"/>
          <w:sz w:val="16"/>
        </w:rPr>
      </w:pPr>
      <w:r w:rsidRPr="00F933AF">
        <w:rPr>
          <w:rFonts w:cs="Calibri"/>
          <w:sz w:val="16"/>
        </w:rPr>
        <w:t xml:space="preserve">The </w:t>
      </w:r>
      <w:r w:rsidRPr="00F933AF">
        <w:rPr>
          <w:rStyle w:val="StyleUnderline"/>
          <w:rFonts w:cs="Calibri"/>
        </w:rPr>
        <w:t xml:space="preserve">surging immigrant population presents U.S. health institutions </w:t>
      </w:r>
      <w:r w:rsidRPr="00F933AF">
        <w:rPr>
          <w:rStyle w:val="Emphasis"/>
          <w:rFonts w:cs="Calibri"/>
        </w:rPr>
        <w:t>with a series of challenges</w:t>
      </w:r>
      <w:r w:rsidRPr="00F933AF">
        <w:rPr>
          <w:rFonts w:cs="Calibri"/>
          <w:sz w:val="16"/>
        </w:rPr>
        <w:t xml:space="preserve">. They can be summed up into a four-fold set of handicaps: </w:t>
      </w:r>
      <w:r w:rsidRPr="00F933AF">
        <w:rPr>
          <w:rStyle w:val="StyleUnderline"/>
          <w:rFonts w:cs="Calibri"/>
        </w:rPr>
        <w:t>lack of English fluency, different cultural definitions of illness and health, tenuous legal status and residential instability, and poverty and lack of insurance</w:t>
      </w:r>
      <w:r w:rsidRPr="00F933AF">
        <w:rPr>
          <w:rFonts w:cs="Calibri"/>
          <w:sz w:val="16"/>
        </w:rPr>
        <w:t xml:space="preserve">. Professional immigrants with high levels of human capital are much better able to overcome these constraints. They have both legal status and work-linked health insurance and are commonly fluent in English. Still, even among them, </w:t>
      </w:r>
      <w:r w:rsidRPr="00F933AF">
        <w:rPr>
          <w:rStyle w:val="StyleUnderline"/>
          <w:rFonts w:cs="Calibri"/>
        </w:rPr>
        <w:t>problems of linguistic and cultural translation are</w:t>
      </w:r>
      <w:r w:rsidRPr="00F933AF">
        <w:rPr>
          <w:rFonts w:cs="Calibri"/>
          <w:sz w:val="16"/>
        </w:rPr>
        <w:t xml:space="preserve"> quite </w:t>
      </w:r>
      <w:r w:rsidRPr="00F933AF">
        <w:rPr>
          <w:rStyle w:val="StyleUnderline"/>
          <w:rFonts w:cs="Calibri"/>
        </w:rPr>
        <w:t>frequent</w:t>
      </w:r>
      <w:r w:rsidRPr="00F933AF">
        <w:rPr>
          <w:rFonts w:cs="Calibri"/>
          <w:sz w:val="16"/>
        </w:rPr>
        <w:t xml:space="preserve">. </w:t>
      </w:r>
      <w:r w:rsidRPr="00F933AF">
        <w:rPr>
          <w:rStyle w:val="StyleUnderline"/>
          <w:rFonts w:cs="Calibri"/>
        </w:rPr>
        <w:t>Professionals</w:t>
      </w:r>
      <w:r w:rsidRPr="00F933AF">
        <w:rPr>
          <w:rFonts w:cs="Calibri"/>
          <w:sz w:val="16"/>
        </w:rPr>
        <w:t xml:space="preserve"> from non-English-speaking countries </w:t>
      </w:r>
      <w:r w:rsidRPr="00F933AF">
        <w:rPr>
          <w:rStyle w:val="StyleUnderline"/>
          <w:rFonts w:cs="Calibri"/>
        </w:rPr>
        <w:t>may have</w:t>
      </w:r>
      <w:r w:rsidRPr="00F933AF">
        <w:rPr>
          <w:rFonts w:cs="Calibri"/>
          <w:sz w:val="16"/>
        </w:rPr>
        <w:t xml:space="preserve"> enough </w:t>
      </w:r>
      <w:r w:rsidRPr="00F933AF">
        <w:rPr>
          <w:rStyle w:val="StyleUnderline"/>
          <w:rFonts w:cs="Calibri"/>
        </w:rPr>
        <w:t>command</w:t>
      </w:r>
      <w:r w:rsidRPr="00F933AF">
        <w:rPr>
          <w:rFonts w:cs="Calibri"/>
          <w:sz w:val="16"/>
        </w:rPr>
        <w:t xml:space="preserve"> of the language to meet their work obligations, </w:t>
      </w:r>
      <w:r w:rsidRPr="00F933AF">
        <w:rPr>
          <w:rStyle w:val="Emphasis"/>
          <w:rFonts w:cs="Calibri"/>
        </w:rPr>
        <w:t>but not to express their health needs</w:t>
      </w:r>
      <w:r w:rsidRPr="00F933AF">
        <w:rPr>
          <w:rFonts w:cs="Calibri"/>
          <w:sz w:val="16"/>
        </w:rPr>
        <w:t xml:space="preserve">. The latter may be defined quite differently, as when Korean and Chinese professionals complain of “lack of energy” to refer to physical ailments or sheer depression. Such </w:t>
      </w:r>
      <w:r w:rsidRPr="00F933AF">
        <w:rPr>
          <w:rStyle w:val="StyleUnderline"/>
          <w:rFonts w:cs="Calibri"/>
        </w:rPr>
        <w:t>discrepancies are</w:t>
      </w:r>
      <w:r w:rsidRPr="00F933AF">
        <w:rPr>
          <w:rFonts w:cs="Calibri"/>
          <w:sz w:val="16"/>
        </w:rPr>
        <w:t xml:space="preserve"> commonly </w:t>
      </w:r>
      <w:r w:rsidRPr="00F933AF">
        <w:rPr>
          <w:rStyle w:val="StyleUnderline"/>
          <w:rFonts w:cs="Calibri"/>
        </w:rPr>
        <w:t>reported by U.S. physicians and administrators</w:t>
      </w:r>
      <w:r w:rsidRPr="00F933AF">
        <w:rPr>
          <w:rFonts w:cs="Calibri"/>
          <w:sz w:val="16"/>
        </w:rPr>
        <w:t xml:space="preserve"> and have prompted a number of hospitals and clinics to hire “cultural mediators” to try to bridge the gap.12 </w:t>
      </w:r>
      <w:r w:rsidRPr="00F933AF">
        <w:rPr>
          <w:rStyle w:val="StyleUnderline"/>
          <w:rFonts w:cs="Calibri"/>
        </w:rPr>
        <w:t xml:space="preserve">The problems posed by legal professional immigrants </w:t>
      </w:r>
      <w:r w:rsidRPr="00F933AF">
        <w:rPr>
          <w:rFonts w:cs="Calibri"/>
          <w:sz w:val="16"/>
        </w:rPr>
        <w:t xml:space="preserve">pale by comparison with the human wave of undocumented peasants and workers coming to fill positions in agriculture and other labor-intensive industries. Most of these migrants are young and healthy, at least initially. They must be in order to face the hurdles of border crossing and engage in demanding manual work. In time, however, illnesses and chronic conditions will appear. The challenge that this rising population poses to health-care institutions derives, ultimately, from four features: its numbers, its poverty, its lack of education, and its lack of legal status. Each of these conditions branches into a number of difficulties and bottlenecks documented at length in the course of HIS interviews. Lack of legal status not only renders migrants ineligible for federal Medicaid, but also makes them reluctant to approach any official-looking institution for fear of detention and deportation. As a consequence, they commonly end up at the emergency room or, when lucky, at a free clinic when seriously ill. At that point, handling their condition becomes both more difficult and more expensive because it often requires inpatient and specialty care.13 Firm owners who profit mightily from this source of labor assume no responsibility for these costs. </w:t>
      </w:r>
      <w:r w:rsidRPr="00F933AF">
        <w:rPr>
          <w:rStyle w:val="StyleUnderline"/>
          <w:rFonts w:cs="Calibri"/>
        </w:rPr>
        <w:t>Lack of education leads to</w:t>
      </w:r>
      <w:r w:rsidRPr="00F933AF">
        <w:rPr>
          <w:rFonts w:cs="Calibri"/>
          <w:sz w:val="16"/>
        </w:rPr>
        <w:t xml:space="preserve"> a proliferation of folk </w:t>
      </w:r>
      <w:r w:rsidRPr="00F933AF">
        <w:rPr>
          <w:rStyle w:val="StyleUnderline"/>
          <w:rFonts w:cs="Calibri"/>
        </w:rPr>
        <w:t>beliefs about illness and health among migrant workers,</w:t>
      </w:r>
      <w:r w:rsidRPr="00F933AF">
        <w:rPr>
          <w:rFonts w:cs="Calibri"/>
          <w:sz w:val="16"/>
        </w:rPr>
        <w:t xml:space="preserve"> to their preferences for folk healers and home remedies, </w:t>
      </w:r>
      <w:r w:rsidRPr="00F933AF">
        <w:rPr>
          <w:rStyle w:val="StyleUnderline"/>
          <w:rFonts w:cs="Calibri"/>
        </w:rPr>
        <w:t>to their inability to read and understand medical labels, and to their difficulty in following protracted treatment</w:t>
      </w:r>
      <w:r w:rsidRPr="00F933AF">
        <w:rPr>
          <w:rFonts w:cs="Calibri"/>
          <w:sz w:val="16"/>
        </w:rPr>
        <w:t xml:space="preserve">. There is widespread </w:t>
      </w:r>
      <w:r w:rsidRPr="00F933AF">
        <w:rPr>
          <w:rStyle w:val="StyleUnderline"/>
          <w:rFonts w:cs="Calibri"/>
        </w:rPr>
        <w:t>ignorance about proper nutritional practices and basic hygiene, leading to the emergence and aggravation of chronic conditions.</w:t>
      </w:r>
      <w:r w:rsidRPr="00F933AF">
        <w:rPr>
          <w:rFonts w:cs="Calibri"/>
          <w:sz w:val="16"/>
        </w:rPr>
        <w:t xml:space="preserve"> Migrant workers are poor, but not indigent; that is, they are not part of the class of redundant workers (see Table I) since they are precisely in demand to fill the harshest and lowest-paid positions in the labor market. </w:t>
      </w:r>
      <w:r w:rsidRPr="00F933AF">
        <w:rPr>
          <w:rStyle w:val="StyleUnderline"/>
          <w:rFonts w:cs="Calibri"/>
        </w:rPr>
        <w:t>Paltry wages and unstable work conditions branch into several consequences</w:t>
      </w:r>
      <w:r w:rsidRPr="00F933AF">
        <w:rPr>
          <w:rFonts w:cs="Calibri"/>
          <w:sz w:val="16"/>
        </w:rPr>
        <w:t xml:space="preserve">. First, while migrants may be eligible for some federal- or state-subsidized care, their </w:t>
      </w:r>
      <w:r w:rsidRPr="00F933AF">
        <w:rPr>
          <w:rStyle w:val="StyleUnderline"/>
          <w:rFonts w:cs="Calibri"/>
        </w:rPr>
        <w:t>incomes prevent</w:t>
      </w:r>
      <w:r w:rsidRPr="00F933AF">
        <w:rPr>
          <w:rFonts w:cs="Calibri"/>
          <w:sz w:val="16"/>
        </w:rPr>
        <w:t xml:space="preserve"> them from accessing </w:t>
      </w:r>
      <w:r w:rsidRPr="00F933AF">
        <w:rPr>
          <w:rStyle w:val="StyleUnderline"/>
          <w:rFonts w:cs="Calibri"/>
        </w:rPr>
        <w:t xml:space="preserve">free services and put them instead into a sliding scale of up-front payments that they are commonly </w:t>
      </w:r>
      <w:r w:rsidRPr="00F933AF">
        <w:rPr>
          <w:rStyle w:val="Emphasis"/>
          <w:rFonts w:cs="Calibri"/>
        </w:rPr>
        <w:t>unable to afford.</w:t>
      </w:r>
      <w:r w:rsidRPr="00F933AF">
        <w:rPr>
          <w:rFonts w:cs="Calibri"/>
          <w:sz w:val="16"/>
        </w:rPr>
        <w:t xml:space="preserve"> Second, </w:t>
      </w:r>
      <w:r w:rsidRPr="00F933AF">
        <w:rPr>
          <w:rStyle w:val="StyleUnderline"/>
          <w:rFonts w:cs="Calibri"/>
        </w:rPr>
        <w:t>the frantic search for work forces these migrants to move from place to place, preventing them from establishing permanent homes and, hence, meeting the local residence requirements demanded by state and county health agencies</w:t>
      </w:r>
      <w:r w:rsidRPr="00F933AF">
        <w:rPr>
          <w:rFonts w:cs="Calibri"/>
          <w:sz w:val="16"/>
        </w:rPr>
        <w:t xml:space="preserve">. Third, similar </w:t>
      </w:r>
      <w:r w:rsidRPr="00F933AF">
        <w:rPr>
          <w:rStyle w:val="StyleUnderline"/>
          <w:rFonts w:cs="Calibri"/>
        </w:rPr>
        <w:t>work demands often lead migrant patients to skip medical appointments and fail to follow prescribed treatmen</w:t>
      </w:r>
      <w:r w:rsidRPr="00F933AF">
        <w:rPr>
          <w:rFonts w:cs="Calibri"/>
          <w:sz w:val="16"/>
        </w:rPr>
        <w:t xml:space="preserve">t. As a clinic coordinator in Miami complained: “I lined up a $100,000 operation for a Salvadoran migrant, and he failed to show up because he had a job paying him $50 on that day.”14 Finally, low wages also mean poor nutrition, as workers on the move and without a regular home life come to depend on the fast-food industry. Obesity, diabetes, and related chronic conditions have been rising fast among migrants as a direct consequence of these new dietary practices. As noted previously, an unexpected effect of the militarization of the border has been the end of the previous commuting pattern by Mexican and Central American workers. As a result, the migrant population has been transformed from one formed predominantly by single males to one composed of families. The relative youth of this population and the cultural norms of the rural communities from which many of their members come lead to high rates of fertility. A wave of pregnancies among migrant women confronts the health system with a new set of challenges that combine all the handicaps seen previously: poor and uneducated migrant women have difficulty in accessing prenatal care and, if able to do so, in following nutritional and hygienic instructions. Several informants reported that folk beliefs lead many women to treat pregnancy as a “natural” condition, not requiring medical attention. As a consequence, they are woefully unprepared when complications arise.15 </w:t>
      </w:r>
      <w:proofErr w:type="gramStart"/>
      <w:r w:rsidRPr="00F933AF">
        <w:rPr>
          <w:rFonts w:cs="Calibri"/>
          <w:sz w:val="16"/>
        </w:rPr>
        <w:t>All</w:t>
      </w:r>
      <w:proofErr w:type="gramEnd"/>
      <w:r w:rsidRPr="00F933AF">
        <w:rPr>
          <w:rFonts w:cs="Calibri"/>
          <w:sz w:val="16"/>
        </w:rPr>
        <w:t xml:space="preserve"> these problems could be readily handled if they only affected a small number of newcomers, but this is not the case. </w:t>
      </w:r>
      <w:r w:rsidRPr="00F933AF">
        <w:rPr>
          <w:rStyle w:val="StyleUnderline"/>
          <w:rFonts w:cs="Calibri"/>
        </w:rPr>
        <w:t xml:space="preserve">The systemic need of the U.S. economy for low-wage labor migration has led to the arrival of such workers by the hundreds of thousands, leading to their </w:t>
      </w:r>
      <w:r w:rsidRPr="00F933AF">
        <w:rPr>
          <w:rStyle w:val="Emphasis"/>
          <w:rFonts w:cs="Calibri"/>
        </w:rPr>
        <w:t>growing impact on health institutions</w:t>
      </w:r>
      <w:r w:rsidRPr="00F933AF">
        <w:rPr>
          <w:rFonts w:cs="Calibri"/>
          <w:sz w:val="16"/>
        </w:rPr>
        <w:t xml:space="preserve">. </w:t>
      </w:r>
      <w:r w:rsidRPr="00F933AF">
        <w:rPr>
          <w:rStyle w:val="StyleUnderline"/>
          <w:rFonts w:cs="Calibri"/>
        </w:rPr>
        <w:t xml:space="preserve">The health system has been forced to come up with a new set of coping strategies given the increase of the immigrant population, its distinct health needs, and the </w:t>
      </w:r>
      <w:r w:rsidRPr="00F933AF">
        <w:rPr>
          <w:rStyle w:val="Emphasis"/>
          <w:rFonts w:cs="Calibri"/>
        </w:rPr>
        <w:t>potential public hazards posed by infectious diseases</w:t>
      </w:r>
      <w:r w:rsidRPr="00F933AF">
        <w:rPr>
          <w:rFonts w:cs="Calibri"/>
          <w:sz w:val="16"/>
        </w:rPr>
        <w:t xml:space="preserve">. By the same </w:t>
      </w:r>
      <w:r w:rsidRPr="00F933AF">
        <w:rPr>
          <w:rStyle w:val="StyleUnderline"/>
          <w:rFonts w:cs="Calibri"/>
        </w:rPr>
        <w:t>token, the clash between immigration and health institutions has brought into sharp relief the contradictions and limitations of the U.S. health system.</w:t>
      </w:r>
      <w:r w:rsidRPr="00F933AF">
        <w:rPr>
          <w:rFonts w:cs="Calibri"/>
          <w:sz w:val="16"/>
        </w:rPr>
        <w:t xml:space="preserve"> Table II summarizes the situation.</w:t>
      </w:r>
    </w:p>
    <w:p w:rsidR="008B2D5B" w:rsidRPr="00F933AF" w:rsidRDefault="008B2D5B" w:rsidP="008B2D5B">
      <w:pPr>
        <w:pStyle w:val="Heading4"/>
        <w:rPr>
          <w:rFonts w:cs="Calibri"/>
        </w:rPr>
      </w:pPr>
      <w:r w:rsidRPr="00F933AF">
        <w:rPr>
          <w:rFonts w:cs="Calibri"/>
        </w:rPr>
        <w:t>Boston proves our links – shortages supercharge them</w:t>
      </w:r>
    </w:p>
    <w:p w:rsidR="008B2D5B" w:rsidRPr="00F933AF" w:rsidRDefault="008B2D5B" w:rsidP="008B2D5B">
      <w:pPr>
        <w:spacing w:after="0"/>
        <w:rPr>
          <w:rFonts w:cs="Calibri"/>
        </w:rPr>
      </w:pPr>
      <w:r w:rsidRPr="00F933AF">
        <w:rPr>
          <w:rStyle w:val="Style13ptBold"/>
          <w:rFonts w:cs="Calibri"/>
        </w:rPr>
        <w:t>Pho 9</w:t>
      </w:r>
      <w:r w:rsidRPr="00F933AF">
        <w:rPr>
          <w:rFonts w:cs="Calibri"/>
        </w:rPr>
        <w:t xml:space="preserve"> (Kevin, MD, primary care physician in Nashua. CNN, 8-20-2009, “Commentary: Why the doctor won't see you now”) NREM/Lil’ GBN</w:t>
      </w:r>
    </w:p>
    <w:p w:rsidR="008B2D5B" w:rsidRPr="00F933AF" w:rsidRDefault="008B2D5B" w:rsidP="008B2D5B">
      <w:pPr>
        <w:spacing w:after="0"/>
        <w:rPr>
          <w:rFonts w:cs="Calibri"/>
        </w:rPr>
      </w:pPr>
      <w:r w:rsidRPr="00F933AF">
        <w:rPr>
          <w:rFonts w:cs="Calibri"/>
        </w:rPr>
        <w:t>http://www.cnn.com/2009/HEALTH/08/20/pho.doctor.shortage/index.html</w:t>
      </w:r>
    </w:p>
    <w:p w:rsidR="008B2D5B" w:rsidRPr="00F933AF" w:rsidRDefault="008B2D5B" w:rsidP="008B2D5B">
      <w:pPr>
        <w:spacing w:after="0"/>
        <w:rPr>
          <w:rFonts w:cs="Calibri"/>
          <w:sz w:val="16"/>
        </w:rPr>
      </w:pPr>
      <w:r w:rsidRPr="00F933AF">
        <w:rPr>
          <w:rFonts w:cs="Calibri"/>
          <w:sz w:val="16"/>
        </w:rPr>
        <w:t xml:space="preserve">When </w:t>
      </w:r>
      <w:r w:rsidRPr="00F933AF">
        <w:rPr>
          <w:rStyle w:val="StyleUnderline"/>
          <w:rFonts w:cs="Calibri"/>
        </w:rPr>
        <w:t>patients are forced to wait weeks</w:t>
      </w:r>
      <w:r w:rsidRPr="00F933AF">
        <w:rPr>
          <w:rFonts w:cs="Calibri"/>
          <w:sz w:val="16"/>
        </w:rPr>
        <w:t xml:space="preserve"> to obtain medical care, </w:t>
      </w:r>
      <w:r w:rsidRPr="00F933AF">
        <w:rPr>
          <w:rStyle w:val="StyleUnderline"/>
          <w:rFonts w:cs="Calibri"/>
        </w:rPr>
        <w:t>they</w:t>
      </w:r>
      <w:r w:rsidRPr="00F933AF">
        <w:rPr>
          <w:rFonts w:cs="Calibri"/>
          <w:sz w:val="16"/>
        </w:rPr>
        <w:t xml:space="preserve"> inevitably </w:t>
      </w:r>
      <w:r w:rsidRPr="00F933AF">
        <w:rPr>
          <w:rStyle w:val="StyleUnderline"/>
          <w:rFonts w:cs="Calibri"/>
        </w:rPr>
        <w:t>find</w:t>
      </w:r>
      <w:r w:rsidRPr="00F933AF">
        <w:rPr>
          <w:rFonts w:cs="Calibri"/>
          <w:sz w:val="16"/>
        </w:rPr>
        <w:t xml:space="preserve"> their way into the </w:t>
      </w:r>
      <w:r w:rsidRPr="00F933AF">
        <w:rPr>
          <w:rStyle w:val="StyleUnderline"/>
          <w:rFonts w:cs="Calibri"/>
        </w:rPr>
        <w:t>emergency department for treatment</w:t>
      </w:r>
      <w:r w:rsidRPr="00F933AF">
        <w:rPr>
          <w:rFonts w:cs="Calibri"/>
          <w:sz w:val="16"/>
        </w:rPr>
        <w:t xml:space="preserve"> that ordinarily can be handled in a doctor's office. Indeed, since health reform was passed, according to state data provided to the Boston Globe, </w:t>
      </w:r>
      <w:r w:rsidRPr="00F933AF">
        <w:rPr>
          <w:rStyle w:val="StyleUnderline"/>
          <w:rFonts w:cs="Calibri"/>
        </w:rPr>
        <w:t>Massachusetts emergency rooms have reported a 7 percent increase in volume</w:t>
      </w:r>
      <w:r w:rsidRPr="00F933AF">
        <w:rPr>
          <w:rFonts w:cs="Calibri"/>
          <w:sz w:val="16"/>
        </w:rPr>
        <w:t xml:space="preserve">, </w:t>
      </w:r>
      <w:r w:rsidRPr="00F933AF">
        <w:rPr>
          <w:rStyle w:val="StyleUnderline"/>
          <w:rFonts w:cs="Calibri"/>
        </w:rPr>
        <w:t>which</w:t>
      </w:r>
      <w:r w:rsidRPr="00F933AF">
        <w:rPr>
          <w:rFonts w:cs="Calibri"/>
          <w:sz w:val="16"/>
        </w:rPr>
        <w:t xml:space="preserve"> markedly </w:t>
      </w:r>
      <w:r w:rsidRPr="00F933AF">
        <w:rPr>
          <w:rStyle w:val="Emphasis"/>
          <w:rFonts w:cs="Calibri"/>
        </w:rPr>
        <w:t>inflates costs</w:t>
      </w:r>
      <w:r w:rsidRPr="00F933AF">
        <w:rPr>
          <w:rFonts w:cs="Calibri"/>
          <w:sz w:val="16"/>
        </w:rPr>
        <w:t xml:space="preserve"> when you consider that </w:t>
      </w:r>
      <w:r w:rsidRPr="00F933AF">
        <w:rPr>
          <w:rStyle w:val="StyleUnderline"/>
          <w:rFonts w:cs="Calibri"/>
        </w:rPr>
        <w:t>emergency room treatment can be up to 10 times more expensive</w:t>
      </w:r>
      <w:r w:rsidRPr="00F933AF">
        <w:rPr>
          <w:rFonts w:cs="Calibri"/>
          <w:sz w:val="16"/>
        </w:rPr>
        <w:t xml:space="preserve"> than an office visit for the same ailment. Alwyn Cassil, a spokeswoman for the nonpartisan Center for Studying Health System Change, told HealthDay News that expanding coverage without improving access to care is a "recipe for failure," as well as unsustainable, "because it will just bankrupt us." Massachusetts is finding out just how difficult it is to fiscally maintain universal coverage. In </w:t>
      </w:r>
      <w:r w:rsidRPr="00F933AF">
        <w:rPr>
          <w:rStyle w:val="StyleUnderline"/>
          <w:rFonts w:cs="Calibri"/>
        </w:rPr>
        <w:t xml:space="preserve">part due to soaring health costs, the state Legislature has proposed reducing health benefits </w:t>
      </w:r>
      <w:r w:rsidRPr="00F933AF">
        <w:rPr>
          <w:rStyle w:val="Emphasis"/>
          <w:rFonts w:cs="Calibri"/>
        </w:rPr>
        <w:t>for 30,000 legal immigrants</w:t>
      </w:r>
      <w:r w:rsidRPr="00F933AF">
        <w:rPr>
          <w:rFonts w:cs="Calibri"/>
          <w:sz w:val="16"/>
        </w:rPr>
        <w:t xml:space="preserve"> </w:t>
      </w:r>
      <w:r w:rsidRPr="00F933AF">
        <w:rPr>
          <w:rStyle w:val="StyleUnderline"/>
          <w:rFonts w:cs="Calibri"/>
        </w:rPr>
        <w:t>and cutting funding</w:t>
      </w:r>
      <w:r w:rsidRPr="00F933AF">
        <w:rPr>
          <w:rFonts w:cs="Calibri"/>
          <w:sz w:val="16"/>
        </w:rPr>
        <w:t xml:space="preserve"> to inner-city hospitals like Boston Medical Center, which, according to the Boston Globe, may "</w:t>
      </w:r>
      <w:r w:rsidRPr="00F933AF">
        <w:rPr>
          <w:rStyle w:val="StyleUnderline"/>
          <w:rFonts w:cs="Calibri"/>
        </w:rPr>
        <w:t>force it to slash programs and jeopardize care for thousands of poverty-stricken familie</w:t>
      </w:r>
      <w:r w:rsidRPr="00F933AF">
        <w:rPr>
          <w:rFonts w:cs="Calibri"/>
          <w:sz w:val="16"/>
        </w:rPr>
        <w:t xml:space="preserve">s." </w:t>
      </w:r>
      <w:r w:rsidRPr="00F933AF">
        <w:rPr>
          <w:rStyle w:val="StyleUnderline"/>
          <w:rFonts w:cs="Calibri"/>
        </w:rPr>
        <w:t xml:space="preserve">The success of universal health coverage depends on an </w:t>
      </w:r>
      <w:r w:rsidRPr="00F933AF">
        <w:rPr>
          <w:rStyle w:val="Emphasis"/>
          <w:rFonts w:cs="Calibri"/>
        </w:rPr>
        <w:t>adequate supply of primary care providers</w:t>
      </w:r>
      <w:r w:rsidRPr="00F933AF">
        <w:rPr>
          <w:rFonts w:cs="Calibri"/>
          <w:sz w:val="16"/>
        </w:rPr>
        <w:t xml:space="preserve">. But the Association of American Medical Colleges is </w:t>
      </w:r>
      <w:r w:rsidRPr="00F933AF">
        <w:rPr>
          <w:rStyle w:val="StyleUnderline"/>
          <w:rFonts w:cs="Calibri"/>
        </w:rPr>
        <w:t>forecasting a shortage of 46,000 primary care physicians</w:t>
      </w:r>
      <w:r w:rsidRPr="00F933AF">
        <w:rPr>
          <w:rFonts w:cs="Calibri"/>
          <w:sz w:val="16"/>
        </w:rPr>
        <w:t xml:space="preserve"> by 2025, a deficit that not only will balloon under any universal coverage measure, but cannot be made up as doctors, nurse practitioners and physician assistants all gravitate towards more lucrative specialty practice. It's not only the financial incentives that need to substantially change for primary care to prosper. More important, the </w:t>
      </w:r>
      <w:r w:rsidRPr="00F933AF">
        <w:rPr>
          <w:rStyle w:val="StyleUnderline"/>
          <w:rFonts w:cs="Calibri"/>
        </w:rPr>
        <w:t xml:space="preserve">working conditions for the physicians already in the field </w:t>
      </w:r>
      <w:r w:rsidRPr="00F933AF">
        <w:rPr>
          <w:rStyle w:val="Emphasis"/>
          <w:rFonts w:cs="Calibri"/>
        </w:rPr>
        <w:t>have to improve</w:t>
      </w:r>
      <w:r w:rsidRPr="00F933AF">
        <w:rPr>
          <w:rFonts w:cs="Calibri"/>
          <w:sz w:val="16"/>
        </w:rPr>
        <w:t xml:space="preserve">. A recent survey in the Annals of Internal Medicine found that roughly half of primary care doctors reported practicing in a work environment "strongly associated with low physician satisfaction, high stress ... and [an] intent to leave." </w:t>
      </w:r>
      <w:r w:rsidRPr="00F933AF">
        <w:rPr>
          <w:rStyle w:val="StyleUnderline"/>
          <w:rFonts w:cs="Calibri"/>
        </w:rPr>
        <w:t>Primary care clinicians routinely face unreasonable time pressures, a chaotic work pace, and bureaucratic impediments</w:t>
      </w:r>
      <w:r w:rsidRPr="00F933AF">
        <w:rPr>
          <w:rFonts w:cs="Calibri"/>
          <w:sz w:val="16"/>
        </w:rPr>
        <w:t>. Onerous paperwork requirements that obstruct patient care have to be reduced. And instead of the current system which encourages doctors to rush through as many office visits as possible, physicians who take the time to counsel, guide, and address all of their patients' concerns should be rewarded. Better valuing the doctor-patient relationship will increase satisfaction, not only for physicians, but for their patients as well.</w:t>
      </w:r>
    </w:p>
    <w:p w:rsidR="008B2D5B" w:rsidRPr="00F933AF" w:rsidRDefault="008B2D5B" w:rsidP="008B2D5B">
      <w:pPr>
        <w:rPr>
          <w:rStyle w:val="StyleUnderline"/>
          <w:rFonts w:cs="Calibri"/>
          <w:b/>
          <w:iCs/>
        </w:rPr>
      </w:pPr>
    </w:p>
    <w:p w:rsidR="008B2D5B" w:rsidRPr="00F933AF" w:rsidRDefault="008B2D5B" w:rsidP="008B2D5B">
      <w:pPr>
        <w:pStyle w:val="Heading4"/>
        <w:rPr>
          <w:rFonts w:cs="Calibri"/>
        </w:rPr>
      </w:pPr>
      <w:r w:rsidRPr="00F933AF">
        <w:rPr>
          <w:rFonts w:cs="Calibri"/>
        </w:rPr>
        <w:t>Empirics prove</w:t>
      </w:r>
    </w:p>
    <w:p w:rsidR="008B2D5B" w:rsidRPr="00F933AF" w:rsidRDefault="008B2D5B" w:rsidP="008B2D5B">
      <w:pPr>
        <w:spacing w:after="0"/>
        <w:rPr>
          <w:rFonts w:cs="Calibri"/>
        </w:rPr>
      </w:pPr>
      <w:r w:rsidRPr="00F933AF">
        <w:rPr>
          <w:rStyle w:val="Style13ptBold"/>
          <w:rFonts w:cs="Calibri"/>
        </w:rPr>
        <w:t>Mogul 17</w:t>
      </w:r>
      <w:r w:rsidRPr="00F933AF">
        <w:rPr>
          <w:rFonts w:cs="Calibri"/>
        </w:rPr>
        <w:t xml:space="preserve"> (Fred, Healthcare and Medicine Reporter, WNYC News. Fellowship with NPR and Kaiser Health News, his stories frequently run nation-wide. His work has also appeared in The New York Times, Time magazine, the Philadelphia Inquirer and many other outlets. WNYC, 5-23-2017, “This Staten Island Woman Isn't Worried about Trumpcare”) NREM/Lil’ GBN</w:t>
      </w:r>
    </w:p>
    <w:p w:rsidR="008B2D5B" w:rsidRPr="00F933AF" w:rsidRDefault="008B2D5B" w:rsidP="008B2D5B">
      <w:pPr>
        <w:spacing w:after="0"/>
        <w:rPr>
          <w:rFonts w:cs="Calibri"/>
        </w:rPr>
      </w:pPr>
      <w:r w:rsidRPr="00F933AF">
        <w:rPr>
          <w:rFonts w:cs="Calibri"/>
        </w:rPr>
        <w:t>https://www.wnyc.org/story/staten-island-woman-isnt-worried-about-trumpcare/</w:t>
      </w:r>
    </w:p>
    <w:p w:rsidR="008B2D5B" w:rsidRPr="00F933AF" w:rsidRDefault="008B2D5B" w:rsidP="008B2D5B">
      <w:pPr>
        <w:spacing w:after="0"/>
        <w:rPr>
          <w:rFonts w:cs="Calibri"/>
          <w:sz w:val="16"/>
        </w:rPr>
      </w:pPr>
      <w:r w:rsidRPr="00F933AF">
        <w:rPr>
          <w:rStyle w:val="StyleUnderline"/>
          <w:rFonts w:cs="Calibri"/>
        </w:rPr>
        <w:t>New York</w:t>
      </w:r>
      <w:r w:rsidRPr="00F933AF">
        <w:rPr>
          <w:rFonts w:cs="Calibri"/>
          <w:sz w:val="16"/>
        </w:rPr>
        <w:t xml:space="preserve"> last year introduced its </w:t>
      </w:r>
      <w:r w:rsidRPr="00F933AF">
        <w:rPr>
          <w:rStyle w:val="StyleUnderline"/>
          <w:rFonts w:cs="Calibri"/>
        </w:rPr>
        <w:t>Essential Plan for</w:t>
      </w:r>
      <w:r w:rsidRPr="00F933AF">
        <w:rPr>
          <w:rFonts w:cs="Calibri"/>
          <w:sz w:val="16"/>
        </w:rPr>
        <w:t xml:space="preserve"> two groups: people in that income tier, and </w:t>
      </w:r>
      <w:r w:rsidRPr="00F933AF">
        <w:rPr>
          <w:rStyle w:val="Emphasis"/>
          <w:rFonts w:cs="Calibri"/>
        </w:rPr>
        <w:t>legal immigrants</w:t>
      </w:r>
      <w:r w:rsidRPr="00F933AF">
        <w:rPr>
          <w:rFonts w:cs="Calibri"/>
          <w:sz w:val="16"/>
        </w:rPr>
        <w:t xml:space="preserve"> awaiting citizenship. </w:t>
      </w:r>
      <w:r w:rsidRPr="00F933AF">
        <w:rPr>
          <w:rStyle w:val="StyleUnderline"/>
          <w:rFonts w:cs="Calibri"/>
        </w:rPr>
        <w:t>Most states don’t cover them</w:t>
      </w:r>
      <w:r w:rsidRPr="00F933AF">
        <w:rPr>
          <w:rFonts w:cs="Calibri"/>
          <w:sz w:val="16"/>
        </w:rPr>
        <w:t xml:space="preserve">, but since 2001 New York has paid for 100 percent of their health costs, under a ruling by the state’s highest court. Frescatore said the first group of people — the one that includes Wachholtz — are now saving an average of $1,100 a year. They're also saving the federal government money, because even though they're getting a more generous subsidy than in the first years of Obamacare, Washington is getting a better per-person price on them from insurers, and bigger matching payments from Albany. </w:t>
      </w:r>
      <w:r w:rsidRPr="00F933AF">
        <w:rPr>
          <w:rStyle w:val="StyleUnderline"/>
          <w:rFonts w:cs="Calibri"/>
        </w:rPr>
        <w:t xml:space="preserve">The second group, the legal immigrants, isn't saving </w:t>
      </w:r>
      <w:r w:rsidRPr="00F933AF">
        <w:rPr>
          <w:rStyle w:val="Emphasis"/>
          <w:rFonts w:cs="Calibri"/>
        </w:rPr>
        <w:t>any money for individuals</w:t>
      </w:r>
      <w:r w:rsidRPr="00F933AF">
        <w:rPr>
          <w:rFonts w:cs="Calibri"/>
          <w:sz w:val="16"/>
        </w:rPr>
        <w:t xml:space="preserve"> — they already weren't paying anything on Medicaid. But their plan does save a lot of money for New York </w:t>
      </w:r>
      <w:proofErr w:type="gramStart"/>
      <w:r w:rsidRPr="00F933AF">
        <w:rPr>
          <w:rFonts w:cs="Calibri"/>
          <w:sz w:val="16"/>
        </w:rPr>
        <w:t>state</w:t>
      </w:r>
      <w:proofErr w:type="gramEnd"/>
      <w:r w:rsidRPr="00F933AF">
        <w:rPr>
          <w:rFonts w:cs="Calibri"/>
          <w:sz w:val="16"/>
        </w:rPr>
        <w:t xml:space="preserve">, because starting in 2016, the Obama administration let the state transfer these immigrants to the Essential Plan, where </w:t>
      </w:r>
      <w:r w:rsidRPr="00F933AF">
        <w:rPr>
          <w:rStyle w:val="StyleUnderline"/>
          <w:rFonts w:cs="Calibri"/>
        </w:rPr>
        <w:t>the federal government picks up most of their insurance costs</w:t>
      </w:r>
      <w:r w:rsidRPr="00F933AF">
        <w:rPr>
          <w:rFonts w:cs="Calibri"/>
          <w:sz w:val="16"/>
        </w:rPr>
        <w:t xml:space="preserve">. </w:t>
      </w:r>
      <w:r w:rsidRPr="00F933AF">
        <w:rPr>
          <w:rStyle w:val="Emphasis"/>
          <w:rFonts w:cs="Calibri"/>
        </w:rPr>
        <w:t xml:space="preserve">Transferring them back to New York would cost about $1 billion </w:t>
      </w:r>
      <w:r w:rsidRPr="00F933AF">
        <w:rPr>
          <w:rFonts w:cs="Calibri"/>
          <w:sz w:val="16"/>
        </w:rPr>
        <w:t xml:space="preserve">— </w:t>
      </w:r>
      <w:r w:rsidRPr="00F933AF">
        <w:rPr>
          <w:rStyle w:val="Emphasis"/>
          <w:rFonts w:cs="Calibri"/>
        </w:rPr>
        <w:t>on top of an estimated $2 billion that would be lost in subsidy cuts.</w:t>
      </w:r>
      <w:r w:rsidRPr="00F933AF">
        <w:rPr>
          <w:rFonts w:cs="Calibri"/>
          <w:sz w:val="16"/>
        </w:rPr>
        <w:t xml:space="preserve"> Frescatore says that taken together, </w:t>
      </w:r>
      <w:r w:rsidRPr="00F933AF">
        <w:rPr>
          <w:rStyle w:val="StyleUnderline"/>
          <w:rFonts w:cs="Calibri"/>
        </w:rPr>
        <w:t>changes</w:t>
      </w:r>
      <w:r w:rsidRPr="00F933AF">
        <w:rPr>
          <w:rFonts w:cs="Calibri"/>
          <w:sz w:val="16"/>
        </w:rPr>
        <w:t xml:space="preserve"> to the Essential Plan, the rest of the state health exchange and Medicaid </w:t>
      </w:r>
      <w:r w:rsidRPr="00F933AF">
        <w:rPr>
          <w:rStyle w:val="StyleUnderline"/>
          <w:rFonts w:cs="Calibri"/>
        </w:rPr>
        <w:t>would mean “increasing taxes, cutting benefits dramatically or putting people who currently have insurance on the rolls of the uninsured.”</w:t>
      </w:r>
      <w:r w:rsidRPr="00F933AF">
        <w:rPr>
          <w:rFonts w:cs="Calibri"/>
          <w:sz w:val="16"/>
        </w:rPr>
        <w:t xml:space="preserve"> Republicans say Frescatore and Democrats in general are fear-mongering. New York managed to cover all these people before the Essential Plan, and could once again. And many critics think New York should do a better job containing Medicaid costs, since the state spends more per person than almost any other state. </w:t>
      </w:r>
    </w:p>
    <w:p w:rsidR="008B2D5B" w:rsidRPr="00F933AF" w:rsidRDefault="008B2D5B" w:rsidP="008B2D5B">
      <w:pPr>
        <w:rPr>
          <w:rFonts w:cs="Calibri"/>
        </w:rPr>
      </w:pPr>
    </w:p>
    <w:p w:rsidR="008B2D5B" w:rsidRPr="00F933AF" w:rsidRDefault="008B2D5B" w:rsidP="008B2D5B">
      <w:pPr>
        <w:pStyle w:val="Heading4"/>
        <w:rPr>
          <w:rFonts w:cs="Calibri"/>
        </w:rPr>
      </w:pPr>
      <w:r w:rsidRPr="00F933AF">
        <w:rPr>
          <w:rFonts w:cs="Calibri"/>
        </w:rPr>
        <w:t>Alt cause – health insurance</w:t>
      </w:r>
    </w:p>
    <w:p w:rsidR="008B2D5B" w:rsidRPr="00F933AF" w:rsidRDefault="008B2D5B" w:rsidP="008B2D5B">
      <w:pPr>
        <w:spacing w:after="0"/>
        <w:rPr>
          <w:rFonts w:cs="Calibri"/>
        </w:rPr>
      </w:pPr>
      <w:r w:rsidRPr="00F933AF">
        <w:rPr>
          <w:rStyle w:val="Style13ptBold"/>
          <w:rFonts w:cs="Calibri"/>
        </w:rPr>
        <w:t>Hotlzman 11</w:t>
      </w:r>
      <w:r w:rsidRPr="00F933AF">
        <w:rPr>
          <w:rFonts w:cs="Calibri"/>
        </w:rPr>
        <w:t xml:space="preserve"> (Jessie, researcher at Stanford School of Medicine and medical student at Harvard. Stanford Journal of Public Health, 6-1-2011. “Immigrants and Barriers to Healthcare: Comparing Policies in the United States and the United Kingdom”) NREM/Lil’ GBN</w:t>
      </w:r>
    </w:p>
    <w:p w:rsidR="008B2D5B" w:rsidRPr="00F933AF" w:rsidRDefault="008B2D5B" w:rsidP="008B2D5B">
      <w:pPr>
        <w:spacing w:after="0"/>
        <w:rPr>
          <w:rFonts w:cs="Calibri"/>
        </w:rPr>
      </w:pPr>
      <w:r w:rsidRPr="00F933AF">
        <w:rPr>
          <w:rFonts w:cs="Calibri"/>
        </w:rPr>
        <w:t xml:space="preserve">https://web.stanford.edu/group/sjph/cgi-bin/sjphsite/immigrants-and-barriers-to-healthcare-comparing-policies-in-the-united-states-and-the-united-kingdom/ </w:t>
      </w:r>
    </w:p>
    <w:p w:rsidR="008B2D5B" w:rsidRPr="00F933AF" w:rsidRDefault="008B2D5B" w:rsidP="008B2D5B">
      <w:pPr>
        <w:spacing w:after="0"/>
        <w:rPr>
          <w:rFonts w:cs="Calibri"/>
          <w:sz w:val="16"/>
        </w:rPr>
      </w:pPr>
      <w:r w:rsidRPr="00F933AF">
        <w:rPr>
          <w:rFonts w:cs="Calibri"/>
          <w:sz w:val="16"/>
        </w:rPr>
        <w:t xml:space="preserve">While </w:t>
      </w:r>
      <w:r w:rsidRPr="00F933AF">
        <w:rPr>
          <w:rStyle w:val="Emphasis"/>
          <w:rFonts w:cs="Calibri"/>
        </w:rPr>
        <w:t>immigrants shoulder a disproportionate burden</w:t>
      </w:r>
      <w:r w:rsidRPr="00F933AF">
        <w:rPr>
          <w:rFonts w:cs="Calibri"/>
          <w:sz w:val="16"/>
        </w:rPr>
        <w:t xml:space="preserve"> </w:t>
      </w:r>
      <w:r w:rsidRPr="00F933AF">
        <w:rPr>
          <w:rStyle w:val="StyleUnderline"/>
          <w:rFonts w:cs="Calibri"/>
        </w:rPr>
        <w:t>in accessing healthcare</w:t>
      </w:r>
      <w:r w:rsidRPr="00F933AF">
        <w:rPr>
          <w:rFonts w:cs="Calibri"/>
          <w:sz w:val="16"/>
        </w:rPr>
        <w:t xml:space="preserve">, </w:t>
      </w:r>
      <w:r w:rsidRPr="00F933AF">
        <w:rPr>
          <w:rStyle w:val="StyleUnderline"/>
          <w:rFonts w:cs="Calibri"/>
        </w:rPr>
        <w:t xml:space="preserve">the political will necessary to adequately address the access barriers faced by </w:t>
      </w:r>
      <w:r w:rsidRPr="00F933AF">
        <w:rPr>
          <w:rStyle w:val="Emphasis"/>
          <w:rFonts w:cs="Calibri"/>
        </w:rPr>
        <w:t>immigrants is often lacking</w:t>
      </w:r>
      <w:r w:rsidRPr="00F933AF">
        <w:rPr>
          <w:rFonts w:cs="Calibri"/>
          <w:sz w:val="16"/>
        </w:rPr>
        <w:t xml:space="preserve">. As the </w:t>
      </w:r>
      <w:r w:rsidRPr="00F933AF">
        <w:rPr>
          <w:rStyle w:val="StyleUnderline"/>
          <w:rFonts w:cs="Calibri"/>
        </w:rPr>
        <w:t>levels of immigration</w:t>
      </w:r>
      <w:r w:rsidRPr="00F933AF">
        <w:rPr>
          <w:rFonts w:cs="Calibri"/>
          <w:sz w:val="16"/>
        </w:rPr>
        <w:t xml:space="preserve"> to countries like the US and the UK continue </w:t>
      </w:r>
      <w:r w:rsidRPr="00F933AF">
        <w:rPr>
          <w:rStyle w:val="StyleUnderline"/>
          <w:rFonts w:cs="Calibri"/>
        </w:rPr>
        <w:t>to increase exponentially</w:t>
      </w:r>
      <w:r w:rsidRPr="00F933AF">
        <w:rPr>
          <w:rFonts w:cs="Calibri"/>
          <w:sz w:val="16"/>
        </w:rPr>
        <w:t xml:space="preserve">, however, </w:t>
      </w:r>
      <w:r w:rsidRPr="00F933AF">
        <w:rPr>
          <w:rStyle w:val="StyleUnderline"/>
          <w:rFonts w:cs="Calibri"/>
        </w:rPr>
        <w:t>immigrant health issues are becoming increasingly difficult to ignore</w:t>
      </w:r>
      <w:r w:rsidRPr="00F933AF">
        <w:rPr>
          <w:rFonts w:cs="Calibri"/>
          <w:sz w:val="16"/>
        </w:rPr>
        <w:t xml:space="preserve">. During the 1990s, between 11 million and 14 million immigrants entered the US, and current projections suggest that </w:t>
      </w:r>
      <w:r w:rsidRPr="00F933AF">
        <w:rPr>
          <w:rStyle w:val="StyleUnderline"/>
          <w:rFonts w:cs="Calibri"/>
        </w:rPr>
        <w:t>almost one in five Americans will be a foreign-born immigrant</w:t>
      </w:r>
      <w:r w:rsidRPr="00F933AF">
        <w:rPr>
          <w:rFonts w:cs="Calibri"/>
          <w:sz w:val="16"/>
        </w:rPr>
        <w:t xml:space="preserve"> by 2050.1,2 Similarly in Britain, immigration accounted for over half the population increase between 1991 and 2001, and the Office for National Statistics projects that immigration will account for 45 percent of population growth between 2008 and 2033.3 Against this backdrop, it </w:t>
      </w:r>
      <w:r w:rsidRPr="00F933AF">
        <w:rPr>
          <w:rStyle w:val="StyleUnderline"/>
          <w:rFonts w:cs="Calibri"/>
        </w:rPr>
        <w:t>is crucial to understand the nature of the barriers to care faced by immigrants and comparatively assessing them across countries can highlight feasible approaches to reform</w:t>
      </w:r>
      <w:r w:rsidRPr="00F933AF">
        <w:rPr>
          <w:rFonts w:cs="Calibri"/>
          <w:sz w:val="16"/>
        </w:rPr>
        <w:t>. To this end, this paper assesses the nature and extent to which immigrants face barriers to healthcare in the US and the UK as well as the degree to which each country’s health system structure allows for improvements in immigrant healthcare provision. [</w:t>
      </w:r>
      <w:proofErr w:type="gramStart"/>
      <w:r w:rsidRPr="00F933AF">
        <w:rPr>
          <w:rFonts w:cs="Calibri"/>
          <w:sz w:val="16"/>
        </w:rPr>
        <w:t>box</w:t>
      </w:r>
      <w:proofErr w:type="gramEnd"/>
      <w:r w:rsidRPr="00F933AF">
        <w:rPr>
          <w:rFonts w:cs="Calibri"/>
          <w:sz w:val="16"/>
        </w:rPr>
        <w:t xml:space="preserve">]Immigrant Status and Eligibility for Healthcare Coverage in the US [/box] Immigrants with the means to pay for commercial insurance are free to do so in the US regardless of their immigration status. In 2003, </w:t>
      </w:r>
      <w:r w:rsidRPr="00F933AF">
        <w:rPr>
          <w:rStyle w:val="Emphasis"/>
          <w:rFonts w:cs="Calibri"/>
        </w:rPr>
        <w:t>32 percent</w:t>
      </w:r>
      <w:r w:rsidRPr="00F933AF">
        <w:rPr>
          <w:rStyle w:val="StyleUnderline"/>
          <w:rFonts w:cs="Calibri"/>
        </w:rPr>
        <w:t xml:space="preserve"> of immigrants living in the US for less than six years and 41 percent of those living in the US for over six years had employer-sponsored health insurance</w:t>
      </w:r>
      <w:r w:rsidRPr="00F933AF">
        <w:rPr>
          <w:rFonts w:cs="Calibri"/>
          <w:sz w:val="16"/>
        </w:rPr>
        <w:t xml:space="preserve">.4 However, the </w:t>
      </w:r>
      <w:r w:rsidRPr="00F933AF">
        <w:rPr>
          <w:rStyle w:val="StyleUnderline"/>
          <w:rFonts w:cs="Calibri"/>
        </w:rPr>
        <w:t>eligibility of low-income immigrants</w:t>
      </w:r>
      <w:r w:rsidRPr="00F933AF">
        <w:rPr>
          <w:rFonts w:cs="Calibri"/>
          <w:sz w:val="16"/>
        </w:rPr>
        <w:t xml:space="preserve"> </w:t>
      </w:r>
      <w:r w:rsidRPr="00F933AF">
        <w:rPr>
          <w:rStyle w:val="Emphasis"/>
          <w:rFonts w:cs="Calibri"/>
        </w:rPr>
        <w:t>for public coverage depends on immigration status</w:t>
      </w:r>
      <w:r w:rsidRPr="00F933AF">
        <w:rPr>
          <w:rFonts w:cs="Calibri"/>
          <w:sz w:val="16"/>
        </w:rPr>
        <w:t xml:space="preserve"> </w:t>
      </w:r>
      <w:r w:rsidRPr="00F933AF">
        <w:rPr>
          <w:rStyle w:val="StyleUnderline"/>
          <w:rFonts w:cs="Calibri"/>
        </w:rPr>
        <w:t>and has fluctuated over the years and across states.</w:t>
      </w:r>
      <w:r w:rsidRPr="00F933AF">
        <w:rPr>
          <w:rFonts w:cs="Calibri"/>
          <w:sz w:val="16"/>
        </w:rPr>
        <w:t xml:space="preserve"> On the whole, </w:t>
      </w:r>
      <w:r w:rsidRPr="00F933AF">
        <w:rPr>
          <w:rStyle w:val="StyleUnderline"/>
          <w:rFonts w:cs="Calibri"/>
        </w:rPr>
        <w:t>between 58 and 65 percent</w:t>
      </w:r>
      <w:r w:rsidRPr="00F933AF">
        <w:rPr>
          <w:rFonts w:cs="Calibri"/>
          <w:sz w:val="16"/>
        </w:rPr>
        <w:t xml:space="preserve"> of noncitizens </w:t>
      </w:r>
      <w:r w:rsidRPr="00F933AF">
        <w:rPr>
          <w:rStyle w:val="StyleUnderline"/>
          <w:rFonts w:cs="Calibri"/>
        </w:rPr>
        <w:t>lacked health insurance</w:t>
      </w:r>
      <w:r w:rsidRPr="00F933AF">
        <w:rPr>
          <w:rFonts w:cs="Calibri"/>
          <w:sz w:val="16"/>
        </w:rPr>
        <w:t xml:space="preserve"> in 2003 versus 28 percent of native US citizens.4 </w:t>
      </w:r>
      <w:proofErr w:type="gramStart"/>
      <w:r w:rsidRPr="00F933AF">
        <w:rPr>
          <w:rFonts w:cs="Calibri"/>
          <w:sz w:val="16"/>
        </w:rPr>
        <w:t>Before</w:t>
      </w:r>
      <w:proofErr w:type="gramEnd"/>
      <w:r w:rsidRPr="00F933AF">
        <w:rPr>
          <w:rFonts w:cs="Calibri"/>
          <w:sz w:val="16"/>
        </w:rPr>
        <w:t xml:space="preserve"> 1996, low-income legal immigrants qualified for Medicaid coverage on the same basis as other eligible low-income American citizens. But the passage of the Personal Responsibility and Work Opportunity and Reconciliation Act in 1996 (</w:t>
      </w:r>
      <w:r w:rsidRPr="00F933AF">
        <w:rPr>
          <w:rStyle w:val="StyleUnderline"/>
          <w:rFonts w:cs="Calibri"/>
        </w:rPr>
        <w:t>PRWORA</w:t>
      </w:r>
      <w:r w:rsidRPr="00F933AF">
        <w:rPr>
          <w:rFonts w:cs="Calibri"/>
          <w:sz w:val="16"/>
        </w:rPr>
        <w:t xml:space="preserve">) </w:t>
      </w:r>
      <w:r w:rsidRPr="00F933AF">
        <w:rPr>
          <w:rStyle w:val="StyleUnderline"/>
          <w:rFonts w:cs="Calibri"/>
        </w:rPr>
        <w:t>greatly restricted immigrants’ access to Medicaid as well as many other public benefits</w:t>
      </w:r>
      <w:r w:rsidRPr="00F933AF">
        <w:rPr>
          <w:rFonts w:cs="Calibri"/>
          <w:sz w:val="16"/>
        </w:rPr>
        <w:t xml:space="preserve">.5 In effect, </w:t>
      </w:r>
      <w:r w:rsidRPr="00F933AF">
        <w:rPr>
          <w:rStyle w:val="Emphasis"/>
          <w:rFonts w:cs="Calibri"/>
        </w:rPr>
        <w:t>legal immigrants</w:t>
      </w:r>
      <w:r w:rsidRPr="00F933AF">
        <w:rPr>
          <w:rFonts w:cs="Calibri"/>
          <w:sz w:val="16"/>
        </w:rPr>
        <w:t xml:space="preserve"> arriving in the US after August 22, 1996, </w:t>
      </w:r>
      <w:r w:rsidRPr="00F933AF">
        <w:rPr>
          <w:rStyle w:val="StyleUnderline"/>
          <w:rFonts w:cs="Calibri"/>
        </w:rPr>
        <w:t xml:space="preserve">became ineligible for Medicaid and SCHIP during the first five years </w:t>
      </w:r>
      <w:r w:rsidRPr="00F933AF">
        <w:rPr>
          <w:rFonts w:cs="Calibri"/>
          <w:sz w:val="16"/>
        </w:rPr>
        <w:t xml:space="preserve">of their US residency, though in 2009, the Children’s Health Insurance Program Reauthorization Act gave states the option to provide federally-funded Medicaid and SCHIP </w:t>
      </w:r>
      <w:r w:rsidRPr="00F933AF">
        <w:rPr>
          <w:rStyle w:val="StyleUnderline"/>
          <w:rFonts w:cs="Calibri"/>
        </w:rPr>
        <w:t>coverage to legal immigrant children</w:t>
      </w:r>
      <w:r w:rsidRPr="00F933AF">
        <w:rPr>
          <w:rFonts w:cs="Calibri"/>
          <w:sz w:val="16"/>
        </w:rPr>
        <w:t xml:space="preserve"> and pregnant women regardless of their length of US residency.6 In stark contrast, undocumented and certain “lawfully present” immigrants remain ineligible for these benefits regardless of their length of residency in the US while at the other end of the spectrum refugees are immediately eligible for Medicaid coverage in all states on the same basis as American citizens.4 Nevertheless, all of the aforementioned immigrant groups are eligible for Emergency Medicaid if they meet the necessary financial and categorical requirements.7 In response to the decline in Medicaid coverage of immigrants precipitated by PRWORA, many states increased public coverage of these groups through other means, though these efforts vary greatly by state. By 2004, 23 states used state funds to extend coverage to some or all immigrants who became ineligible for federally-funded Medicaid and SCHIP.4 California and New York, for instance, provide the same or very similar services as Medicaid or SCHIP to all qualified immigrants, including “lawfully present” immigrants known as PRUCOLs.4 Some states, such as Arkansas and Michigan, do not offer state-funded coverage for immigrants, but they do provide SCHIP-funded prenatal care to pregnant women regardless of immigration status.4 Meanwhile, other </w:t>
      </w:r>
      <w:r w:rsidRPr="00F933AF">
        <w:rPr>
          <w:rStyle w:val="StyleUnderline"/>
          <w:rFonts w:cs="Calibri"/>
        </w:rPr>
        <w:t>states</w:t>
      </w:r>
      <w:r w:rsidRPr="00F933AF">
        <w:rPr>
          <w:rFonts w:cs="Calibri"/>
          <w:sz w:val="16"/>
        </w:rPr>
        <w:t xml:space="preserve">, including Arizona, Colorado, and Georgia, </w:t>
      </w:r>
      <w:r w:rsidRPr="00F933AF">
        <w:rPr>
          <w:rStyle w:val="StyleUnderline"/>
          <w:rFonts w:cs="Calibri"/>
        </w:rPr>
        <w:t>have passed legislation making it even harder for immigrants to attain coverage</w:t>
      </w:r>
      <w:r w:rsidRPr="00F933AF">
        <w:rPr>
          <w:rFonts w:cs="Calibri"/>
          <w:sz w:val="16"/>
        </w:rPr>
        <w:t xml:space="preserve">.8 Naturally, states’ varied responses to the 1996 welfare reform law have resulted in great differences in public coverage of low-income immigrant groups. In fact, foreign-born children in Florida, Illinois, and Texas were 7 times more likely to lack health insurance than children in New York.7 In </w:t>
      </w:r>
      <w:r w:rsidRPr="00F933AF">
        <w:rPr>
          <w:rStyle w:val="StyleUnderline"/>
          <w:rFonts w:cs="Calibri"/>
        </w:rPr>
        <w:t>an attempt to increase rates of insurance coverage among legal immigrants</w:t>
      </w:r>
      <w:r w:rsidRPr="00F933AF">
        <w:rPr>
          <w:rFonts w:cs="Calibri"/>
          <w:sz w:val="16"/>
        </w:rPr>
        <w:t xml:space="preserve">, the 2010 Patient Protection and Affordable Care Act </w:t>
      </w:r>
      <w:r w:rsidRPr="00F933AF">
        <w:rPr>
          <w:rStyle w:val="StyleUnderline"/>
          <w:rFonts w:cs="Calibri"/>
        </w:rPr>
        <w:t>(PPCA)</w:t>
      </w:r>
      <w:r w:rsidRPr="00F933AF">
        <w:rPr>
          <w:rFonts w:cs="Calibri"/>
          <w:sz w:val="16"/>
        </w:rPr>
        <w:t xml:space="preserve"> </w:t>
      </w:r>
      <w:r w:rsidRPr="00F933AF">
        <w:rPr>
          <w:rStyle w:val="StyleUnderline"/>
          <w:rFonts w:cs="Calibri"/>
        </w:rPr>
        <w:t>will provide eligible legal immigrants with premium credits to purchase health insurance plans through the state-based health insurance exchanges beginning in 2014</w:t>
      </w:r>
      <w:r w:rsidRPr="00F933AF">
        <w:rPr>
          <w:rFonts w:cs="Calibri"/>
          <w:sz w:val="16"/>
        </w:rPr>
        <w:t xml:space="preserve">.9 </w:t>
      </w:r>
      <w:r w:rsidRPr="00F933AF">
        <w:rPr>
          <w:rStyle w:val="StyleUnderline"/>
          <w:rFonts w:cs="Calibri"/>
        </w:rPr>
        <w:t>Unfortunately</w:t>
      </w:r>
      <w:r w:rsidRPr="00F933AF">
        <w:rPr>
          <w:rFonts w:cs="Calibri"/>
          <w:sz w:val="16"/>
        </w:rPr>
        <w:t xml:space="preserve">, </w:t>
      </w:r>
      <w:r w:rsidRPr="00F933AF">
        <w:rPr>
          <w:rStyle w:val="Emphasis"/>
          <w:rFonts w:cs="Calibri"/>
        </w:rPr>
        <w:t>the PPCA does not remove the 5-year residency requirement</w:t>
      </w:r>
      <w:r w:rsidRPr="00F933AF">
        <w:rPr>
          <w:rFonts w:cs="Calibri"/>
          <w:sz w:val="16"/>
        </w:rPr>
        <w:t xml:space="preserve"> to qualify for Medicaid and SCHIP, </w:t>
      </w:r>
      <w:r w:rsidRPr="00F933AF">
        <w:rPr>
          <w:rStyle w:val="StyleUnderline"/>
          <w:rFonts w:cs="Calibri"/>
        </w:rPr>
        <w:t>thereby perpetuating the perplexing variation of coverage eligibility across states</w:t>
      </w:r>
      <w:r w:rsidRPr="00F933AF">
        <w:rPr>
          <w:rFonts w:cs="Calibri"/>
          <w:sz w:val="16"/>
        </w:rPr>
        <w:t xml:space="preserve">. Moreover, the new health </w:t>
      </w:r>
      <w:r w:rsidRPr="00F933AF">
        <w:rPr>
          <w:rStyle w:val="StyleUnderline"/>
          <w:rFonts w:cs="Calibri"/>
        </w:rPr>
        <w:t>law</w:t>
      </w:r>
      <w:r w:rsidRPr="00F933AF">
        <w:rPr>
          <w:rFonts w:cs="Calibri"/>
          <w:sz w:val="16"/>
        </w:rPr>
        <w:t xml:space="preserve"> also </w:t>
      </w:r>
      <w:r w:rsidRPr="00F933AF">
        <w:rPr>
          <w:rStyle w:val="StyleUnderline"/>
          <w:rFonts w:cs="Calibri"/>
        </w:rPr>
        <w:t>prohibits undocumented immigrants from</w:t>
      </w:r>
      <w:r w:rsidRPr="00F933AF">
        <w:rPr>
          <w:rFonts w:cs="Calibri"/>
          <w:sz w:val="16"/>
        </w:rPr>
        <w:t xml:space="preserve"> even </w:t>
      </w:r>
      <w:r w:rsidRPr="00F933AF">
        <w:rPr>
          <w:rStyle w:val="StyleUnderline"/>
          <w:rFonts w:cs="Calibri"/>
        </w:rPr>
        <w:t>purchasing private insurance through the health insurance exchanges</w:t>
      </w:r>
      <w:r w:rsidRPr="00F933AF">
        <w:rPr>
          <w:rFonts w:cs="Calibri"/>
          <w:sz w:val="16"/>
        </w:rPr>
        <w:t xml:space="preserve">, further </w:t>
      </w:r>
      <w:r w:rsidRPr="00F933AF">
        <w:rPr>
          <w:rStyle w:val="StyleUnderline"/>
          <w:rFonts w:cs="Calibri"/>
        </w:rPr>
        <w:t>contributing to</w:t>
      </w:r>
      <w:r w:rsidRPr="00F933AF">
        <w:rPr>
          <w:rFonts w:cs="Calibri"/>
          <w:sz w:val="16"/>
        </w:rPr>
        <w:t xml:space="preserve"> the already </w:t>
      </w:r>
      <w:r w:rsidRPr="00F933AF">
        <w:rPr>
          <w:rStyle w:val="StyleUnderline"/>
          <w:rFonts w:cs="Calibri"/>
        </w:rPr>
        <w:t>substantial barriers faced by immigrants in obtaining health insurance coverage</w:t>
      </w:r>
      <w:r w:rsidRPr="00F933AF">
        <w:rPr>
          <w:rFonts w:cs="Calibri"/>
          <w:sz w:val="16"/>
        </w:rPr>
        <w:t xml:space="preserve">.9 [box]Coverage and Access to Care in the US[/box] While health insurance coverage is not equivalent to access, many </w:t>
      </w:r>
      <w:r w:rsidRPr="00F933AF">
        <w:rPr>
          <w:rStyle w:val="StyleUnderline"/>
          <w:rFonts w:cs="Calibri"/>
        </w:rPr>
        <w:t xml:space="preserve">research studies suggest that </w:t>
      </w:r>
      <w:r w:rsidRPr="00F933AF">
        <w:rPr>
          <w:rStyle w:val="Emphasis"/>
          <w:rFonts w:cs="Calibri"/>
        </w:rPr>
        <w:t>health insurance</w:t>
      </w:r>
      <w:r w:rsidRPr="00F933AF">
        <w:rPr>
          <w:rStyle w:val="StyleUnderline"/>
          <w:rFonts w:cs="Calibri"/>
        </w:rPr>
        <w:t xml:space="preserve"> is a “major determinant to access to health care for immigrants</w:t>
      </w:r>
      <w:r w:rsidRPr="00F933AF">
        <w:rPr>
          <w:rFonts w:cs="Calibri"/>
          <w:sz w:val="16"/>
        </w:rPr>
        <w:t>”.10,11,12 In</w:t>
      </w:r>
      <w:r w:rsidRPr="00F933AF">
        <w:rPr>
          <w:rStyle w:val="StyleUnderline"/>
          <w:rFonts w:cs="Calibri"/>
        </w:rPr>
        <w:t>surance coverage promotes financial access to care, connects immigrants with a regular source of care, and facilitates use of service</w:t>
      </w:r>
      <w:r w:rsidRPr="00F933AF">
        <w:rPr>
          <w:rFonts w:cs="Calibri"/>
          <w:sz w:val="16"/>
        </w:rPr>
        <w:t xml:space="preserve">s.13 </w:t>
      </w:r>
      <w:r w:rsidRPr="00F933AF">
        <w:rPr>
          <w:rStyle w:val="StyleUnderline"/>
          <w:rFonts w:cs="Calibri"/>
        </w:rPr>
        <w:t>Given</w:t>
      </w:r>
      <w:r w:rsidRPr="00F933AF">
        <w:rPr>
          <w:rFonts w:cs="Calibri"/>
          <w:sz w:val="16"/>
        </w:rPr>
        <w:t xml:space="preserve"> that </w:t>
      </w:r>
      <w:r w:rsidRPr="00F933AF">
        <w:rPr>
          <w:rStyle w:val="StyleUnderline"/>
          <w:rFonts w:cs="Calibri"/>
        </w:rPr>
        <w:t>immigrants are</w:t>
      </w:r>
      <w:r w:rsidRPr="00F933AF">
        <w:rPr>
          <w:rFonts w:cs="Calibri"/>
          <w:sz w:val="16"/>
        </w:rPr>
        <w:t xml:space="preserve"> much </w:t>
      </w:r>
      <w:r w:rsidRPr="00F933AF">
        <w:rPr>
          <w:rStyle w:val="StyleUnderline"/>
          <w:rFonts w:cs="Calibri"/>
        </w:rPr>
        <w:t>less likely to be insured</w:t>
      </w:r>
      <w:r w:rsidRPr="00F933AF">
        <w:rPr>
          <w:rFonts w:cs="Calibri"/>
          <w:sz w:val="16"/>
        </w:rPr>
        <w:t xml:space="preserve"> than native US citizens, it follows then that </w:t>
      </w:r>
      <w:r w:rsidRPr="00F933AF">
        <w:rPr>
          <w:rStyle w:val="StyleUnderline"/>
          <w:rFonts w:cs="Calibri"/>
        </w:rPr>
        <w:t>they are much less likely to have a regular source of care</w:t>
      </w:r>
      <w:r w:rsidRPr="00F933AF">
        <w:rPr>
          <w:rFonts w:cs="Calibri"/>
          <w:sz w:val="16"/>
        </w:rPr>
        <w:t xml:space="preserve">, </w:t>
      </w:r>
      <w:r w:rsidRPr="00F933AF">
        <w:rPr>
          <w:rStyle w:val="StyleUnderline"/>
          <w:rFonts w:cs="Calibri"/>
        </w:rPr>
        <w:t>doctor visits, and preventive health services</w:t>
      </w:r>
      <w:r w:rsidRPr="00F933AF">
        <w:rPr>
          <w:rFonts w:cs="Calibri"/>
          <w:sz w:val="16"/>
        </w:rPr>
        <w:t xml:space="preserve">.4 In a nationally representative sample, Ku &amp; Sheetal (2001) found that 37.4 percent of noncitizen adults (below 200% FPL) did not have a usual source of care in 1997 as compared to 19 percent of native citizens.12 These rates are even higher among undocumented immigrants. A study of undocumented migrants in Texas and California found that rates of no doctor visits in a year range from a low of 50 percent in Fresno to a high of 73 percent in Los Angeles.14 Consistent with these findings, annual per capita expenses for healthcare were 86 percent lower for uninsured immigrant children than for their uninsured US-born counterparts.15 </w:t>
      </w:r>
      <w:r w:rsidRPr="00F933AF">
        <w:rPr>
          <w:rStyle w:val="StyleUnderline"/>
          <w:rFonts w:cs="Calibri"/>
        </w:rPr>
        <w:t>Even immigrants with Medicaid or state-funded public insurance are often “medically disenfranchised.</w:t>
      </w:r>
      <w:r w:rsidRPr="00F933AF">
        <w:rPr>
          <w:rFonts w:cs="Calibri"/>
          <w:sz w:val="16"/>
        </w:rPr>
        <w:t xml:space="preserve">” In New Jersey, for instance, few specialists are willing to see Medicaid patients because Medicaid fees for physicians are about half the national rate; this, in turn, makes it extremely difficult for immigrants with Medicaid to access subspecialty care.16 Moreover, many state-funded insurance coverage schemes, such as Washington State’s Basic Health Program, are often “significantly more limited than Medicaid or SCHIP” and have rules that can limit access, such as </w:t>
      </w:r>
      <w:r w:rsidRPr="00F933AF">
        <w:rPr>
          <w:rStyle w:val="StyleUnderline"/>
          <w:rFonts w:cs="Calibri"/>
        </w:rPr>
        <w:t>premiums and cost-sharing that many low-income immigrants cannot afford to pay</w:t>
      </w:r>
      <w:r w:rsidRPr="00F933AF">
        <w:rPr>
          <w:rFonts w:cs="Calibri"/>
          <w:sz w:val="16"/>
        </w:rPr>
        <w:t xml:space="preserve">.4 Nevertheless, varying levels of access are still possible even for uninsured immigrants through community clinics and federally qualified health centers (FQHCs). In fact, community clinics and hospital outpatient departments are “the most common source of ambulatory care for immigrants”; 38.5 percent of noncitizens report them as their usual source of care.12 FQHCs, in particular, offer many underserved immigrants a vast array of health services, including general medicine and preventive dentistry, ob-gyn, diagnostic laboratory services, family planning, and chronic disease and case management.16 According to the Kaiser Family Foundation, in 2007, 257 of the 1,057 federally-funded FQHCs in the US were located in four states with some of the highest concentrations of immigrants (Florida, New York, Texas, and California).17 Despite their existence, however, many </w:t>
      </w:r>
      <w:r w:rsidRPr="00F933AF">
        <w:rPr>
          <w:rStyle w:val="StyleUnderline"/>
          <w:rFonts w:cs="Calibri"/>
        </w:rPr>
        <w:t xml:space="preserve">immigrants still face barriers in accessing them, such as lack of knowledge of these services, </w:t>
      </w:r>
      <w:r w:rsidRPr="00F933AF">
        <w:rPr>
          <w:rFonts w:cs="Calibri"/>
          <w:sz w:val="16"/>
        </w:rPr>
        <w:t>which will be discussed later.</w:t>
      </w:r>
    </w:p>
    <w:p w:rsidR="008B2D5B" w:rsidRPr="00F933AF" w:rsidRDefault="008B2D5B" w:rsidP="008B2D5B">
      <w:pPr>
        <w:spacing w:after="0"/>
        <w:rPr>
          <w:rFonts w:cs="Calibri"/>
          <w:sz w:val="16"/>
        </w:rPr>
      </w:pPr>
    </w:p>
    <w:p w:rsidR="008B2D5B" w:rsidRPr="00F933AF" w:rsidRDefault="008B2D5B" w:rsidP="008B2D5B">
      <w:pPr>
        <w:rPr>
          <w:rFonts w:cs="Calibri"/>
        </w:rPr>
      </w:pPr>
    </w:p>
    <w:p w:rsidR="008B2D5B" w:rsidRPr="00F933AF" w:rsidRDefault="008B2D5B" w:rsidP="008B2D5B">
      <w:pPr>
        <w:spacing w:after="0"/>
        <w:rPr>
          <w:rFonts w:cs="Calibri"/>
          <w:sz w:val="16"/>
        </w:rPr>
      </w:pPr>
    </w:p>
    <w:p w:rsidR="008B2D5B" w:rsidRPr="00F933AF" w:rsidRDefault="008B2D5B" w:rsidP="008B2D5B">
      <w:pPr>
        <w:pStyle w:val="Heading3"/>
        <w:rPr>
          <w:rStyle w:val="StyleUnderline"/>
          <w:rFonts w:cs="Calibri"/>
          <w:sz w:val="32"/>
        </w:rPr>
      </w:pPr>
      <w:r w:rsidRPr="00F933AF">
        <w:rPr>
          <w:rFonts w:cs="Calibri"/>
        </w:rPr>
        <w:t>AT: Hospitals Not Key</w:t>
      </w:r>
    </w:p>
    <w:p w:rsidR="008B2D5B" w:rsidRPr="00F933AF" w:rsidRDefault="008B2D5B" w:rsidP="008B2D5B">
      <w:pPr>
        <w:pStyle w:val="Heading4"/>
        <w:rPr>
          <w:rStyle w:val="StyleUnderline"/>
          <w:rFonts w:cs="Calibri"/>
          <w:sz w:val="26"/>
          <w:u w:val="none"/>
        </w:rPr>
      </w:pPr>
      <w:r w:rsidRPr="00F933AF">
        <w:rPr>
          <w:rStyle w:val="StyleUnderline"/>
          <w:rFonts w:cs="Calibri"/>
          <w:sz w:val="26"/>
          <w:u w:val="none"/>
        </w:rPr>
        <w:t>Hospitals are key to stop disease outbreaks</w:t>
      </w:r>
    </w:p>
    <w:p w:rsidR="008B2D5B" w:rsidRPr="00F933AF" w:rsidRDefault="008B2D5B" w:rsidP="008B2D5B">
      <w:pPr>
        <w:spacing w:after="0"/>
        <w:rPr>
          <w:rFonts w:cs="Calibri"/>
        </w:rPr>
      </w:pPr>
      <w:r w:rsidRPr="00F933AF">
        <w:rPr>
          <w:rStyle w:val="Style13ptBold"/>
          <w:rFonts w:cs="Calibri"/>
        </w:rPr>
        <w:t>Shortell et al. 9</w:t>
      </w:r>
      <w:r w:rsidRPr="00F933AF">
        <w:rPr>
          <w:rFonts w:cs="Calibri"/>
        </w:rPr>
        <w:t xml:space="preserve"> (Stephen, PhD, MPH, MBA. Professor of the Graduate School, School of Public Health at Berkeley. Annu. Rev. Public Health 2009. 30:373–83, “The Contribution of Hospitals and Health Care Systems to Community Health”) NREM/Lil’ GBN</w:t>
      </w:r>
    </w:p>
    <w:p w:rsidR="008B2D5B" w:rsidRPr="00F933AF" w:rsidRDefault="008B2D5B" w:rsidP="008B2D5B">
      <w:pPr>
        <w:spacing w:after="0"/>
        <w:rPr>
          <w:rFonts w:cs="Calibri"/>
        </w:rPr>
      </w:pPr>
      <w:r w:rsidRPr="00F933AF">
        <w:rPr>
          <w:rFonts w:cs="Calibri"/>
        </w:rPr>
        <w:t>https://www.annualreviews.org/doi/pdf/10.1146/annurev.publhealth.032008.112750</w:t>
      </w:r>
    </w:p>
    <w:p w:rsidR="008B2D5B" w:rsidRPr="00F933AF" w:rsidRDefault="008B2D5B" w:rsidP="008B2D5B">
      <w:pPr>
        <w:spacing w:after="0"/>
        <w:rPr>
          <w:rFonts w:cs="Calibri"/>
          <w:sz w:val="16"/>
        </w:rPr>
      </w:pPr>
      <w:r w:rsidRPr="00F933AF">
        <w:rPr>
          <w:rStyle w:val="StyleUnderline"/>
          <w:rFonts w:cs="Calibri"/>
        </w:rPr>
        <w:t xml:space="preserve">Hospitals’ and health systems’ role in improving population health </w:t>
      </w:r>
      <w:r w:rsidRPr="00F933AF">
        <w:rPr>
          <w:rStyle w:val="Emphasis"/>
          <w:rFonts w:cs="Calibri"/>
        </w:rPr>
        <w:t>is of growing importance</w:t>
      </w:r>
      <w:r w:rsidRPr="00F933AF">
        <w:rPr>
          <w:rFonts w:cs="Calibri"/>
          <w:sz w:val="16"/>
        </w:rPr>
        <w:t xml:space="preserve">. </w:t>
      </w:r>
      <w:r w:rsidRPr="00F933AF">
        <w:rPr>
          <w:rStyle w:val="StyleUnderline"/>
          <w:rFonts w:cs="Calibri"/>
        </w:rPr>
        <w:t>An increasing number of Americans are uninsured or underinsured</w:t>
      </w:r>
      <w:r w:rsidRPr="00F933AF">
        <w:rPr>
          <w:rFonts w:cs="Calibri"/>
          <w:sz w:val="16"/>
        </w:rPr>
        <w:t xml:space="preserve">. </w:t>
      </w:r>
      <w:r w:rsidRPr="00F933AF">
        <w:rPr>
          <w:rStyle w:val="StyleUnderline"/>
          <w:rFonts w:cs="Calibri"/>
        </w:rPr>
        <w:t>Disparities in</w:t>
      </w:r>
      <w:r w:rsidRPr="00F933AF">
        <w:rPr>
          <w:rFonts w:cs="Calibri"/>
          <w:sz w:val="16"/>
        </w:rPr>
        <w:t xml:space="preserve"> the incidence, prevalence, mortality, burden of </w:t>
      </w:r>
      <w:r w:rsidRPr="00F933AF">
        <w:rPr>
          <w:rStyle w:val="Emphasis"/>
          <w:rFonts w:cs="Calibri"/>
        </w:rPr>
        <w:t>diseases</w:t>
      </w:r>
      <w:r w:rsidRPr="00F933AF">
        <w:rPr>
          <w:rFonts w:cs="Calibri"/>
          <w:sz w:val="16"/>
        </w:rPr>
        <w:t xml:space="preserve">, adverse health outcomes, </w:t>
      </w:r>
      <w:r w:rsidRPr="00F933AF">
        <w:rPr>
          <w:rStyle w:val="StyleUnderline"/>
          <w:rFonts w:cs="Calibri"/>
        </w:rPr>
        <w:t>and access to and quality of care arise on the basis of ethnicity, race, and socioeconomic status</w:t>
      </w:r>
      <w:r w:rsidRPr="00F933AF">
        <w:rPr>
          <w:rFonts w:cs="Calibri"/>
          <w:sz w:val="16"/>
        </w:rPr>
        <w:t xml:space="preserve"> (39). Given that racial and ethnic minorities are projected to comprise nearly 40% of the population by 2030, left unaddressed, persistent </w:t>
      </w:r>
      <w:r w:rsidRPr="00F933AF">
        <w:rPr>
          <w:rStyle w:val="StyleUnderline"/>
          <w:rFonts w:cs="Calibri"/>
        </w:rPr>
        <w:t>disparities among</w:t>
      </w:r>
      <w:r w:rsidRPr="00F933AF">
        <w:rPr>
          <w:rFonts w:cs="Calibri"/>
          <w:sz w:val="16"/>
        </w:rPr>
        <w:t xml:space="preserve"> these </w:t>
      </w:r>
      <w:r w:rsidRPr="00F933AF">
        <w:rPr>
          <w:rStyle w:val="StyleUnderline"/>
          <w:rFonts w:cs="Calibri"/>
        </w:rPr>
        <w:t>groups in terms of access to medical care will have continued implications on overall health status and quality of life in these populations.</w:t>
      </w:r>
      <w:r w:rsidRPr="00F933AF">
        <w:rPr>
          <w:rFonts w:cs="Calibri"/>
          <w:sz w:val="16"/>
        </w:rPr>
        <w:t xml:space="preserve"> But beyond improving access to care is the </w:t>
      </w:r>
      <w:r w:rsidRPr="00F933AF">
        <w:rPr>
          <w:rStyle w:val="StyleUnderline"/>
          <w:rFonts w:cs="Calibri"/>
        </w:rPr>
        <w:t>need to address the underlying physical and social determinants of health</w:t>
      </w:r>
      <w:r w:rsidRPr="00F933AF">
        <w:rPr>
          <w:rFonts w:cs="Calibri"/>
          <w:sz w:val="16"/>
        </w:rPr>
        <w:t xml:space="preserve">. This need will require </w:t>
      </w:r>
      <w:r w:rsidRPr="00F933AF">
        <w:rPr>
          <w:rStyle w:val="StyleUnderline"/>
          <w:rFonts w:cs="Calibri"/>
        </w:rPr>
        <w:t xml:space="preserve">hospitals and health systems to work across sectors such as education, housing, and transportation to address some of the </w:t>
      </w:r>
      <w:r w:rsidRPr="00F933AF">
        <w:rPr>
          <w:rStyle w:val="Emphasis"/>
          <w:rFonts w:cs="Calibri"/>
        </w:rPr>
        <w:t>root causes of poor health</w:t>
      </w:r>
      <w:r w:rsidRPr="00F933AF">
        <w:rPr>
          <w:rFonts w:cs="Calibri"/>
          <w:sz w:val="16"/>
        </w:rPr>
        <w:t xml:space="preserve">. In this article, we review the </w:t>
      </w:r>
      <w:r w:rsidRPr="00F933AF">
        <w:rPr>
          <w:rStyle w:val="StyleUnderline"/>
          <w:rFonts w:cs="Calibri"/>
        </w:rPr>
        <w:t>evidence on the impact of hospitals and health systems in improving community health</w:t>
      </w:r>
      <w:r w:rsidRPr="00F933AF">
        <w:rPr>
          <w:rFonts w:cs="Calibri"/>
          <w:sz w:val="16"/>
        </w:rPr>
        <w:t>. We identify the challenges involved and provide examples from two health systems of how some of these challenges might be overcome. Although much of the literature is framed within the context of community benefit to maintain tax-exempt status, we go beyond this notion to suggest other motivations and approaches for hospitals and health systems to become more involved in promoting community health.</w:t>
      </w:r>
    </w:p>
    <w:p w:rsidR="008B2D5B" w:rsidRPr="009C3B3A" w:rsidRDefault="008B2D5B" w:rsidP="008B2D5B">
      <w:pPr>
        <w:pStyle w:val="Heading3"/>
        <w:rPr>
          <w:rFonts w:cs="Calibri"/>
        </w:rPr>
      </w:pPr>
      <w:r w:rsidRPr="00F933AF">
        <w:rPr>
          <w:rFonts w:cs="Calibri"/>
        </w:rPr>
        <w:t>Turns Case</w:t>
      </w:r>
    </w:p>
    <w:p w:rsidR="008B2D5B" w:rsidRPr="00F933AF" w:rsidRDefault="008B2D5B" w:rsidP="008B2D5B">
      <w:pPr>
        <w:pStyle w:val="Heading4"/>
        <w:rPr>
          <w:rStyle w:val="StyleUnderline"/>
          <w:rFonts w:cs="Calibri"/>
          <w:sz w:val="26"/>
          <w:u w:val="none"/>
        </w:rPr>
      </w:pPr>
      <w:r w:rsidRPr="00F933AF">
        <w:rPr>
          <w:rStyle w:val="StyleUnderline"/>
          <w:rFonts w:cs="Calibri"/>
          <w:sz w:val="26"/>
          <w:u w:val="none"/>
        </w:rPr>
        <w:t>Hospitals are a key spreader of disease and bioterror – more access means immigrants are more susceptible</w:t>
      </w:r>
    </w:p>
    <w:p w:rsidR="008B2D5B" w:rsidRPr="00F933AF" w:rsidRDefault="008B2D5B" w:rsidP="008B2D5B">
      <w:pPr>
        <w:spacing w:after="0"/>
        <w:rPr>
          <w:rStyle w:val="Style13ptBold"/>
          <w:rFonts w:cs="Calibri"/>
          <w:b w:val="0"/>
          <w:sz w:val="16"/>
          <w:szCs w:val="16"/>
        </w:rPr>
      </w:pPr>
      <w:r w:rsidRPr="00F933AF">
        <w:rPr>
          <w:rStyle w:val="Style13ptBold"/>
          <w:rFonts w:cs="Calibri"/>
        </w:rPr>
        <w:t xml:space="preserve">Rebmann and Carrico 17 </w:t>
      </w:r>
      <w:r w:rsidRPr="00F933AF">
        <w:rPr>
          <w:rStyle w:val="Style13ptBold"/>
          <w:rFonts w:cs="Calibri"/>
          <w:b w:val="0"/>
          <w:sz w:val="16"/>
          <w:szCs w:val="16"/>
        </w:rPr>
        <w:t xml:space="preserve">(Terri,Professor and the Director of the Institute for Biosecurity in the Department of Epidemiology at the Saint Louis University College for Public Health &amp; Social Justice. Ruth, Associate Professor in the Division of Infectious at the University </w:t>
      </w:r>
      <w:proofErr w:type="gramStart"/>
      <w:r w:rsidRPr="00F933AF">
        <w:rPr>
          <w:rStyle w:val="Style13ptBold"/>
          <w:rFonts w:cs="Calibri"/>
          <w:b w:val="0"/>
          <w:sz w:val="16"/>
          <w:szCs w:val="16"/>
        </w:rPr>
        <w:t>of Louisville School of</w:t>
      </w:r>
      <w:proofErr w:type="gramEnd"/>
      <w:r w:rsidRPr="00F933AF">
        <w:rPr>
          <w:rStyle w:val="Style13ptBold"/>
          <w:rFonts w:cs="Calibri"/>
          <w:b w:val="0"/>
          <w:sz w:val="16"/>
          <w:szCs w:val="16"/>
        </w:rPr>
        <w:t xml:space="preserve"> Medicine and a board certified family nurse practitioner. "Consistent Infection Prevention: Vital During Routine and Emerging Infectious Diseases Care" OJIN: The Online Journal of Issues in Nursing Vol. 22, No. 1, Manuscript 1.) NREM/Lil’ GBN</w:t>
      </w:r>
    </w:p>
    <w:p w:rsidR="008B2D5B" w:rsidRPr="00F933AF" w:rsidRDefault="008B2D5B" w:rsidP="008B2D5B">
      <w:pPr>
        <w:spacing w:after="0"/>
        <w:rPr>
          <w:rStyle w:val="Style13ptBold"/>
          <w:rFonts w:cs="Calibri"/>
          <w:b w:val="0"/>
          <w:sz w:val="16"/>
          <w:szCs w:val="16"/>
        </w:rPr>
      </w:pPr>
      <w:r w:rsidRPr="00F933AF">
        <w:rPr>
          <w:rStyle w:val="Style13ptBold"/>
          <w:rFonts w:cs="Calibri"/>
          <w:b w:val="0"/>
          <w:sz w:val="16"/>
          <w:szCs w:val="16"/>
        </w:rPr>
        <w:t>http://ojin.nursingworld.org/MainMenuCategories/ANAMarketplace/ANAPeriodicals/OJIN/TableofContents/Vol-22-2017/No1-Jan-2017/Consistent-Infection-Prevention.html#Rebmann</w:t>
      </w:r>
    </w:p>
    <w:p w:rsidR="008B2D5B" w:rsidRPr="00F933AF" w:rsidRDefault="008B2D5B" w:rsidP="008B2D5B">
      <w:pPr>
        <w:rPr>
          <w:rFonts w:cs="Calibri"/>
        </w:rPr>
      </w:pPr>
      <w:r w:rsidRPr="00F933AF">
        <w:rPr>
          <w:rStyle w:val="StyleUnderline"/>
          <w:rFonts w:cs="Calibri"/>
        </w:rPr>
        <w:t>Healthcare providers</w:t>
      </w:r>
      <w:r w:rsidRPr="00F933AF">
        <w:rPr>
          <w:rFonts w:cs="Calibri"/>
          <w:sz w:val="16"/>
        </w:rPr>
        <w:t xml:space="preserve"> have increasingly </w:t>
      </w:r>
      <w:r w:rsidRPr="00F933AF">
        <w:rPr>
          <w:rStyle w:val="StyleUnderline"/>
          <w:rFonts w:cs="Calibri"/>
        </w:rPr>
        <w:t>been challenged by the increase in multi-drug resistant organisms</w:t>
      </w:r>
      <w:r w:rsidRPr="00F933AF">
        <w:rPr>
          <w:rFonts w:cs="Calibri"/>
          <w:sz w:val="16"/>
        </w:rPr>
        <w:t xml:space="preserve"> (MDRO), in particular antibiotic-resistant bacteria; at least 2 million are infected and 23,000 die each year in the States United States from MDROs (Centers for Disease Control and Prevention [CDC], 2013). </w:t>
      </w:r>
      <w:r w:rsidRPr="00F933AF">
        <w:rPr>
          <w:rStyle w:val="StyleUnderline"/>
          <w:rFonts w:cs="Calibri"/>
        </w:rPr>
        <w:t>Individuals infected</w:t>
      </w:r>
      <w:r w:rsidRPr="00F933AF">
        <w:rPr>
          <w:rFonts w:cs="Calibri"/>
          <w:sz w:val="16"/>
        </w:rPr>
        <w:t xml:space="preserve"> with MDROs are more likely to </w:t>
      </w:r>
      <w:r w:rsidRPr="00F933AF">
        <w:rPr>
          <w:rStyle w:val="StyleUnderline"/>
          <w:rFonts w:cs="Calibri"/>
        </w:rPr>
        <w:t xml:space="preserve">die from </w:t>
      </w:r>
      <w:r w:rsidRPr="00F933AF">
        <w:rPr>
          <w:rFonts w:cs="Calibri"/>
          <w:sz w:val="16"/>
        </w:rPr>
        <w:t xml:space="preserve">their infection than those infected with </w:t>
      </w:r>
      <w:r w:rsidRPr="00F933AF">
        <w:rPr>
          <w:rStyle w:val="StyleUnderline"/>
          <w:rFonts w:cs="Calibri"/>
        </w:rPr>
        <w:t>a pathogen that is not drug resistant</w:t>
      </w:r>
      <w:r w:rsidRPr="00F933AF">
        <w:rPr>
          <w:rFonts w:cs="Calibri"/>
          <w:sz w:val="16"/>
        </w:rPr>
        <w:t xml:space="preserve"> (CDC, 2013). Healthcare-associated infections (HAI) due to more common pathogens, such as Staphylococcus, also contribute to routine infectious disease morbidity and mortality. Approximately 722,000 individuals are infected and 75,000 will die from an HAI each year in U.S. hospitals (CDC, 2016b). </w:t>
      </w:r>
      <w:r w:rsidRPr="00F933AF">
        <w:rPr>
          <w:rStyle w:val="StyleUnderline"/>
          <w:rFonts w:cs="Calibri"/>
        </w:rPr>
        <w:t xml:space="preserve">In addition to the ongoing risk of an outbreak from a new or emerging infectious disease, and the challenges posed by commonly encountered infectious diseases, there is also the perpetual risk of intentional use of a biological agent in the form of a bioterrorism attack. </w:t>
      </w:r>
      <w:r w:rsidRPr="00F933AF">
        <w:rPr>
          <w:rStyle w:val="Emphasis"/>
          <w:rFonts w:cs="Calibri"/>
        </w:rPr>
        <w:t xml:space="preserve">Bioterrorism poses unique challenges to healthcare providers and public </w:t>
      </w:r>
      <w:r w:rsidRPr="00F933AF">
        <w:rPr>
          <w:rStyle w:val="StyleUnderline"/>
          <w:rFonts w:cs="Calibri"/>
        </w:rPr>
        <w:t>health, because the pathogens are rare, they often lack a vaccine or efficacious anti-infective therapy, and a covert attack would be very difficult to detect</w:t>
      </w:r>
      <w:r w:rsidRPr="00F933AF">
        <w:rPr>
          <w:rFonts w:cs="Calibri"/>
          <w:sz w:val="16"/>
        </w:rPr>
        <w:t xml:space="preserve"> (Rebmann, 2014). Outbreaks of SARS Co-V, MERS Co-V, and </w:t>
      </w:r>
      <w:r w:rsidRPr="00F933AF">
        <w:rPr>
          <w:rStyle w:val="StyleUnderline"/>
          <w:rFonts w:cs="Calibri"/>
        </w:rPr>
        <w:t>Ebola have all involved extensive spread in hospitals, both within the United States and globally.</w:t>
      </w:r>
      <w:r w:rsidRPr="00F933AF">
        <w:rPr>
          <w:rFonts w:cs="Calibri"/>
          <w:sz w:val="16"/>
        </w:rPr>
        <w:t xml:space="preserve"> </w:t>
      </w:r>
      <w:r w:rsidRPr="00F933AF">
        <w:rPr>
          <w:rStyle w:val="StyleUnderline"/>
          <w:rFonts w:cs="Calibri"/>
        </w:rPr>
        <w:t>Single cases of a new or emerging disease, or an infectious disease outbreak, whether naturally occurring or man-made, challenge healthcare providers and public health systems</w:t>
      </w:r>
      <w:r w:rsidRPr="00F933AF">
        <w:rPr>
          <w:rFonts w:cs="Calibri"/>
          <w:sz w:val="16"/>
        </w:rPr>
        <w:t xml:space="preserve">. Disease transmission can occur within the community, and settings in which young children or elderly persons congregate are most likely to be involved. For example, childcare agencies (de Perio, Wiegand, &amp; Evans, 2012), schools (Chao, 2010), and long-term care facilities (Murray et al., 2016) are likely sites for infectious disease transmission during routine times as well as during outbreaks. </w:t>
      </w:r>
      <w:r w:rsidRPr="00F933AF">
        <w:rPr>
          <w:rStyle w:val="StyleUnderline"/>
          <w:rFonts w:cs="Calibri"/>
        </w:rPr>
        <w:t>Disease transmission can</w:t>
      </w:r>
      <w:r w:rsidRPr="00F933AF">
        <w:rPr>
          <w:rFonts w:cs="Calibri"/>
          <w:sz w:val="16"/>
        </w:rPr>
        <w:t xml:space="preserve"> also occur in any setting where healthcare is delivered, especially </w:t>
      </w:r>
      <w:r w:rsidRPr="00F933AF">
        <w:rPr>
          <w:rStyle w:val="StyleUnderline"/>
          <w:rFonts w:cs="Calibri"/>
        </w:rPr>
        <w:t>in hospitals</w:t>
      </w:r>
      <w:r w:rsidRPr="00F933AF">
        <w:rPr>
          <w:rFonts w:cs="Calibri"/>
          <w:sz w:val="16"/>
        </w:rPr>
        <w:t xml:space="preserve"> where high consequence opportunities exist including use of invasive devices and therapeutic interventions. </w:t>
      </w:r>
      <w:r w:rsidRPr="00F933AF">
        <w:rPr>
          <w:rStyle w:val="StyleUnderline"/>
          <w:rFonts w:cs="Calibri"/>
        </w:rPr>
        <w:t>Outbreaks</w:t>
      </w:r>
      <w:r w:rsidRPr="00F933AF">
        <w:rPr>
          <w:rFonts w:cs="Calibri"/>
          <w:sz w:val="16"/>
        </w:rPr>
        <w:t xml:space="preserve"> of SARS Co-V (Webb, Blaser, Zhu, Ardal, &amp; Wu, 2004), MERS Co-V (Park et al., 2016), and Ebola (Dunn et al., 2016) </w:t>
      </w:r>
      <w:r w:rsidRPr="00F933AF">
        <w:rPr>
          <w:rStyle w:val="StyleUnderline"/>
          <w:rFonts w:cs="Calibri"/>
        </w:rPr>
        <w:t>have all involved extensive spread in hospitals, both within the United States and globally</w:t>
      </w:r>
    </w:p>
    <w:p w:rsidR="008B2D5B" w:rsidRDefault="008B2D5B" w:rsidP="008B2D5B"/>
    <w:p w:rsidR="00D61738" w:rsidRDefault="00D61738" w:rsidP="003D49E5">
      <w:pPr>
        <w:pStyle w:val="Heading2"/>
        <w:rPr>
          <w:rFonts w:cs="Calibri"/>
        </w:rPr>
      </w:pPr>
      <w:r>
        <w:rPr>
          <w:rFonts w:cs="Calibri"/>
        </w:rPr>
        <w:t>Link – Base</w:t>
      </w:r>
    </w:p>
    <w:p w:rsidR="00D61738" w:rsidRPr="006A180F" w:rsidRDefault="00D61738" w:rsidP="00D61738">
      <w:pPr>
        <w:pStyle w:val="Heading4"/>
      </w:pPr>
      <w:r w:rsidRPr="006A180F">
        <w:t>Trump’s public charge expansion sacrifices pro-immigration voters for a major victory to his base- not following through has the opposite effect</w:t>
      </w:r>
    </w:p>
    <w:p w:rsidR="00D61738" w:rsidRPr="006A180F" w:rsidRDefault="00D61738" w:rsidP="00D61738">
      <w:r w:rsidRPr="006A180F">
        <w:rPr>
          <w:rStyle w:val="Style13ptBold"/>
        </w:rPr>
        <w:t>Salam 17</w:t>
      </w:r>
      <w:r w:rsidRPr="006A180F">
        <w:t xml:space="preserve"> (Reihan Salam, columnist for Slate, 2/2/17, “Keep Your Tired, Your Poor, Your Huddled Masses”, http://www.slate.com/news-and-politics/2018/07/abortion-family-separation-and-how-the-trump-administration-uses-female-pain-as-punishment.html)/CWB</w:t>
      </w:r>
    </w:p>
    <w:p w:rsidR="00D61738" w:rsidRPr="006A180F" w:rsidRDefault="00D61738" w:rsidP="00D61738">
      <w:pPr>
        <w:rPr>
          <w:rStyle w:val="StyleUnderline"/>
        </w:rPr>
      </w:pPr>
      <w:r w:rsidRPr="006A180F">
        <w:rPr>
          <w:rStyle w:val="StyleUnderline"/>
        </w:rPr>
        <w:t>According to a long-standing federal policy, potential immigrants will be barred from the United States if they are likely to become</w:t>
      </w:r>
      <w:r w:rsidRPr="006A180F">
        <w:rPr>
          <w:sz w:val="16"/>
        </w:rPr>
        <w:t xml:space="preserve"> dependent on public assistance. If an immigrant does become </w:t>
      </w:r>
      <w:r w:rsidRPr="006A180F">
        <w:rPr>
          <w:rStyle w:val="StyleUnderline"/>
        </w:rPr>
        <w:t>a “public charge”</w:t>
      </w:r>
      <w:r w:rsidRPr="006A180F">
        <w:rPr>
          <w:sz w:val="16"/>
        </w:rPr>
        <w:t xml:space="preserve"> within five years of arriving in the country for reasons that can’t be attributed to, say, a disability she developed after settling in the U.S., she can be deported. The idea is that immigrants choose to settle in America, and U.S. taxpayers can reasonably expect that such voluntary entrants can provide for themselves. </w:t>
      </w:r>
      <w:r w:rsidRPr="006A180F">
        <w:rPr>
          <w:rStyle w:val="StyleUnderline"/>
        </w:rPr>
        <w:t>The effects of this policy hinge on the definition of a public charge</w:t>
      </w:r>
      <w:r w:rsidRPr="006A180F">
        <w:rPr>
          <w:sz w:val="16"/>
        </w:rPr>
        <w:t xml:space="preserve">. What the term means in practice is almost entirely up to the executive branch. Back in 1999, the Clinton administration put in place guidelines that defined a public charge very narrowly as someone who is “primarily dependent on the government for subsistence, as demonstrated by either: (i) the receipt of public cash assistance for income maintenance or (ii) institutionalization for long-term care at government expense.” Are you dependent on public assistance if, say, you receive Medicaid, SNAP benefits, or public housing? Not according to the Clinton guidelines, which put those social service programs in a different category than cash assistance—a standard that remained intact under Presidents George W. Bush and Barack Obama. In practice, relatively few aspiring immigrants are turned away on the grounds that they might become a public charge, and almost no one has been deported on that basis in years. Why did the Clinton guidelines define public charges so narrowly? </w:t>
      </w:r>
      <w:hyperlink r:id="rId338" w:tgtFrame="_blank" w:history="1">
        <w:r w:rsidRPr="006A180F">
          <w:rPr>
            <w:rStyle w:val="Hyperlink"/>
            <w:sz w:val="16"/>
          </w:rPr>
          <w:t>Since 1965</w:t>
        </w:r>
      </w:hyperlink>
      <w:r w:rsidRPr="006A180F">
        <w:rPr>
          <w:sz w:val="16"/>
        </w:rPr>
        <w:t xml:space="preserve">, a large majority of immigrants have been admitted to the U.S. on the grounds that they are related to a U.S. citizen. When you impose a stringent public charge definition, then, you’re not just keeping immigrants out of the country: You are potentially infuriating their U.S. citizen relatives. Over the course of his presidency, Bill Clinton shifted from a more restrictionist stance to an expansionist one. This was partly because the late 1990s economic boom put the country in a more generous mood. But it also reflected a political calculation. President Clinton and his allies sensed that naturalized citizens, and especially low-income naturalized citizens, might be turned into a reliable Democratic voting bloc, which could help make up for the party’s losses among working-class whites. They weren’t wrong. President George W. Bush hoped to win back immigrant voters from the Democrats, which is why he took a similarly permissive approach. And President Obama was, if anything, even more mindful of the importance of immigrant voters than his predecessors. </w:t>
      </w:r>
      <w:r w:rsidRPr="00243C04">
        <w:rPr>
          <w:rStyle w:val="Emphasis"/>
        </w:rPr>
        <w:t>Not surprising</w:t>
      </w:r>
      <w:r w:rsidRPr="006A180F">
        <w:rPr>
          <w:rStyle w:val="StyleUnderline"/>
        </w:rPr>
        <w:t xml:space="preserve">ly, President Trump seems inclined to take a </w:t>
      </w:r>
      <w:r w:rsidRPr="006A180F">
        <w:rPr>
          <w:rStyle w:val="Emphasis"/>
        </w:rPr>
        <w:t>drastically different approach</w:t>
      </w:r>
      <w:r w:rsidRPr="006A180F">
        <w:rPr>
          <w:rStyle w:val="StyleUnderline"/>
        </w:rPr>
        <w:t xml:space="preserve">. According to the draft executive orders, the Trump administration is looking to revise the public charge standard to take into account all means-tested benefits, including Medicaid and SNAP, both of which are currently used by millions of immigrant-headed households. </w:t>
      </w:r>
      <w:r w:rsidRPr="006A180F">
        <w:rPr>
          <w:sz w:val="16"/>
          <w:szCs w:val="16"/>
        </w:rPr>
        <w:t>T</w:t>
      </w:r>
      <w:r w:rsidRPr="006A180F">
        <w:rPr>
          <w:sz w:val="16"/>
        </w:rPr>
        <w:t xml:space="preserve">he new Trump guidelines would bar large numbers of immigrants who would have been admitted under the Clinton guidelines. </w:t>
      </w:r>
      <w:r w:rsidRPr="006A180F">
        <w:rPr>
          <w:rStyle w:val="StyleUnderline"/>
        </w:rPr>
        <w:t xml:space="preserve">Excluding immigrants with limited earning potential would </w:t>
      </w:r>
      <w:r w:rsidRPr="006A180F">
        <w:rPr>
          <w:rStyle w:val="Emphasis"/>
        </w:rPr>
        <w:t>inevitably frustrate the U.S. citizens hoping to sponsor</w:t>
      </w:r>
      <w:r w:rsidRPr="006A180F">
        <w:rPr>
          <w:rStyle w:val="StyleUnderline"/>
        </w:rPr>
        <w:t xml:space="preserve"> them. But unlike Obama and Bush, Trump is </w:t>
      </w:r>
      <w:r w:rsidRPr="006A180F">
        <w:rPr>
          <w:rStyle w:val="Emphasis"/>
        </w:rPr>
        <w:t>deeply unpopular among immigrant voters</w:t>
      </w:r>
      <w:r w:rsidRPr="006A180F">
        <w:rPr>
          <w:rStyle w:val="StyleUnderline"/>
        </w:rPr>
        <w:t xml:space="preserve">, and he’s shown </w:t>
      </w:r>
      <w:r w:rsidRPr="006A180F">
        <w:rPr>
          <w:rStyle w:val="Emphasis"/>
        </w:rPr>
        <w:t>little interest</w:t>
      </w:r>
      <w:r w:rsidRPr="006A180F">
        <w:rPr>
          <w:rStyle w:val="StyleUnderline"/>
        </w:rPr>
        <w:t xml:space="preserve"> in winning them over. He does enjoy </w:t>
      </w:r>
      <w:r w:rsidRPr="006A180F">
        <w:rPr>
          <w:rStyle w:val="Emphasis"/>
        </w:rPr>
        <w:t>substantial support among working-class whites</w:t>
      </w:r>
      <w:r w:rsidRPr="006A180F">
        <w:rPr>
          <w:rStyle w:val="StyleUnderline"/>
        </w:rPr>
        <w:t xml:space="preserve">, who tend to be </w:t>
      </w:r>
      <w:r w:rsidRPr="006A180F">
        <w:rPr>
          <w:rStyle w:val="Emphasis"/>
        </w:rPr>
        <w:t>more restrictionist</w:t>
      </w:r>
      <w:r w:rsidRPr="006A180F">
        <w:rPr>
          <w:rStyle w:val="StyleUnderline"/>
        </w:rPr>
        <w:t xml:space="preserve"> than the public at large. </w:t>
      </w:r>
      <w:r w:rsidRPr="006A180F">
        <w:rPr>
          <w:rStyle w:val="Emphasis"/>
        </w:rPr>
        <w:t>By defining public charges more broadly</w:t>
      </w:r>
      <w:r w:rsidRPr="006A180F">
        <w:rPr>
          <w:rStyle w:val="StyleUnderline"/>
        </w:rPr>
        <w:t xml:space="preserve"> than Clinton, </w:t>
      </w:r>
      <w:r w:rsidRPr="006A180F">
        <w:rPr>
          <w:rStyle w:val="Emphasis"/>
        </w:rPr>
        <w:t>he’d deliver a major victory to his base</w:t>
      </w:r>
      <w:r w:rsidRPr="006A180F">
        <w:rPr>
          <w:rStyle w:val="StyleUnderline"/>
        </w:rPr>
        <w:t>.</w:t>
      </w:r>
    </w:p>
    <w:p w:rsidR="00071322" w:rsidRDefault="00071322" w:rsidP="00071322">
      <w:pPr>
        <w:pStyle w:val="Heading4"/>
      </w:pPr>
      <w:r>
        <w:t>Nativist rhetoric drives the public charge change and forms Trump’s base</w:t>
      </w:r>
    </w:p>
    <w:p w:rsidR="00071322" w:rsidRPr="00C95E74" w:rsidRDefault="00071322" w:rsidP="00071322">
      <w:r w:rsidRPr="00C95E74">
        <w:rPr>
          <w:rStyle w:val="Style13ptBold"/>
        </w:rPr>
        <w:t>Ahmad 18</w:t>
      </w:r>
      <w:r>
        <w:t xml:space="preserve"> (Hassan Ahmad, "A quiet change in US policy threatens immigrants who apply for a change in status", 7-7-2018, Quartz, https://qz.com/1323136/a-uscis-immigration-policy-change-threatens-non-citizens-with-deportation-if-they-lose-status/)</w:t>
      </w:r>
    </w:p>
    <w:p w:rsidR="00071322" w:rsidRDefault="00071322" w:rsidP="00071322">
      <w:pPr>
        <w:rPr>
          <w:u w:val="single"/>
        </w:rPr>
      </w:pPr>
      <w:r w:rsidRPr="00C95E74">
        <w:rPr>
          <w:sz w:val="14"/>
        </w:rPr>
        <w:t xml:space="preserve">On June 28, </w:t>
      </w:r>
      <w:r w:rsidRPr="00C95E74">
        <w:rPr>
          <w:u w:val="single"/>
        </w:rPr>
        <w:t xml:space="preserve">USCIS announced that non-citizens who apply for a “benefit”–such as an extension or change of status, a green card, or citizenship—would be placed in deportation proceedings if that benefit is denied. </w:t>
      </w:r>
      <w:r w:rsidRPr="00C95E74">
        <w:rPr>
          <w:sz w:val="14"/>
        </w:rPr>
        <w:t xml:space="preserve">For years, a criminal conviction has been required to be fast-tracked for deportation. Now, merely losing your petition for visa extension, being charged with a crime, or doing something DHS considers to be criminal (even if never arrested or charged) places you on the same fast-track. Once in deportation proceedings, the non-citizen must prove she is eligible to stay in the United States. She will not be provided a lawyer; she may be detained, sometimes with no bond. There is no right to a speedy trial, nor trial by jury. Here are a few examples highlighting the full extent of the new rule. Jack, a foreign student, files for an extension of his visa. He’s always been in status. He moves off campus, and properly files a change of address with USCIS (he even gets the receipt). Later, the agency sends a request for evidence to his old address anyway. Jack never receives it. USCIS denies the extension of status for failure to respond. Jack now faces deportation. Maria is in the US on a fiancée visa and files for a green card. Her US citizen husband has a good job with health insurance. Before the green card interview, Maria is diagnosed with breast cancer. The officer finds out and denies Maria’s green card, saying she’s likely to become a public charge. Maria now faces deportation. Sam is a software engineer. His employer sponsors him for a green card—but is then acquired by another firm. USCIS denies the petition, saying there is insufficient proof the new employer can continue the sponsorship in the shoes of the old employer. Sam now faces deportation. Nancy is disabled and came to the US lawfully on a “medical visit” visa. Her doctors need her to stay for another 6 months of treatment. Once it finishes, she can return home, but leaving early will endanger her health. USCIS denies the extension request, saying doctors didn’t adequately explain the need for her to stay in lay terms. Nancy now faces deportation.Jen was abused by her spouse and files for protection under the Violence </w:t>
      </w:r>
      <w:proofErr w:type="gramStart"/>
      <w:r w:rsidRPr="00C95E74">
        <w:rPr>
          <w:sz w:val="14"/>
        </w:rPr>
        <w:t>Against</w:t>
      </w:r>
      <w:proofErr w:type="gramEnd"/>
      <w:r w:rsidRPr="00C95E74">
        <w:rPr>
          <w:sz w:val="14"/>
        </w:rPr>
        <w:t xml:space="preserve"> Women Act (VAWA). She suffers from severe chronic depression, and misses the deadline for a request for evidence, asking for a doctor’s report detailing the abuse. As a result, her petition is denied. Jen now faces deportation. It’s not always easy to stay in status. Life happens. Deporting everyone who fails to dot every “i” and cross every “t” is shelling a peanut with a sledgehammer. Under the new USCIS policy change, the United States’ already unforgiving system will become draconian. While the USCIS has always had some authority to initiate deportation proceedings, the last policy guidance on deportation, issued in November 2011, centered on criminals, fraud, and other negative eligibility indicators. That guidance has been canned. This new policy greatly expands the categories of “enforcement priority” to most of the people trying to navigate a byzantine immigration system. </w:t>
      </w:r>
      <w:r w:rsidRPr="00174B17">
        <w:rPr>
          <w:u w:val="single"/>
        </w:rPr>
        <w:t>It is becoming harder and harder to comply with the immigration law. Asylum law is being gutted.</w:t>
      </w:r>
      <w:r w:rsidRPr="00C95E74">
        <w:rPr>
          <w:sz w:val="14"/>
        </w:rPr>
        <w:t xml:space="preserve"> Immigration judges are being robbed of the little independence they had, and pressured to order removals. Families have been ripped apart to “send a message” for the “crime” of exercising their human and legal right to seek asylum. </w:t>
      </w:r>
      <w:r w:rsidRPr="00C95E74">
        <w:rPr>
          <w:u w:val="single"/>
        </w:rPr>
        <w:t>There is now a task force dedicated to taking citizenship away from people</w:t>
      </w:r>
      <w:r w:rsidRPr="00C95E74">
        <w:rPr>
          <w:sz w:val="14"/>
        </w:rPr>
        <w:t xml:space="preserve">. Millions of Muslims are now legally banned from entry. The list of countries designated for Temporary Protected Status continues to shrink, and the Dreamers who grew up in this country remain in limbo. </w:t>
      </w:r>
      <w:r w:rsidRPr="00C95E74">
        <w:rPr>
          <w:u w:val="single"/>
        </w:rPr>
        <w:t>It’s no coincidence that brown and black people bear the brunt of these attacks. This is the result of years of nativist, protectionist rhetoric peddled by groups like the Federation for American Immigration Reform, the Center for Immigration Studies, and NumbersUSA.</w:t>
      </w:r>
      <w:r w:rsidRPr="00C95E74">
        <w:rPr>
          <w:sz w:val="14"/>
        </w:rPr>
        <w:t xml:space="preserve"> Their work hasn’t been cheap: hundreds of millions of dollars have been poured into this effort since the inception of FAIR in 1979. </w:t>
      </w:r>
      <w:r w:rsidRPr="00C95E74">
        <w:rPr>
          <w:u w:val="single"/>
        </w:rPr>
        <w:t>Born from white nationalism, such groups have beaten the drums of war against imaginary hordes of brown and black invaders for decades.</w:t>
      </w:r>
    </w:p>
    <w:p w:rsidR="00D61738" w:rsidRPr="00D61738" w:rsidRDefault="00D61738" w:rsidP="00D61738"/>
    <w:p w:rsidR="00D61738" w:rsidRDefault="00D61738" w:rsidP="003D49E5">
      <w:pPr>
        <w:pStyle w:val="Heading2"/>
        <w:rPr>
          <w:rFonts w:cs="Calibri"/>
        </w:rPr>
      </w:pPr>
      <w:r>
        <w:rPr>
          <w:rFonts w:cs="Calibri"/>
        </w:rPr>
        <w:t xml:space="preserve">Link – Midterms </w:t>
      </w:r>
    </w:p>
    <w:p w:rsidR="00071322" w:rsidRDefault="00071322" w:rsidP="00071322">
      <w:pPr>
        <w:pStyle w:val="Heading4"/>
      </w:pPr>
      <w:r>
        <w:t>Trump hardline immigration policies drive down popularity- public charge is the next priority after separation</w:t>
      </w:r>
    </w:p>
    <w:p w:rsidR="00071322" w:rsidRPr="001C2B2D" w:rsidRDefault="00071322" w:rsidP="00071322">
      <w:r w:rsidRPr="001C2B2D">
        <w:rPr>
          <w:rStyle w:val="Style13ptBold"/>
        </w:rPr>
        <w:t>Hesson 18</w:t>
      </w:r>
      <w:r w:rsidRPr="001C2B2D">
        <w:t xml:space="preserve"> (Ted Hesson, "Trump plays defense", 6-19-2018, POLITICO, https://www.politico.com/newsletters/morning-shift/2018/06/19/trump-plays-defense-258597)</w:t>
      </w:r>
    </w:p>
    <w:p w:rsidR="00071322" w:rsidRPr="001C2B2D" w:rsidRDefault="00071322" w:rsidP="00071322">
      <w:pPr>
        <w:rPr>
          <w:u w:val="single"/>
        </w:rPr>
      </w:pPr>
      <w:r w:rsidRPr="001C2B2D">
        <w:rPr>
          <w:sz w:val="12"/>
        </w:rPr>
        <w:t xml:space="preserve">President Donald Trump will huddle with House Republicans this evening amid an outcry over family separations at the border now emanating from a growing number of Republicans, all four living former first ladies, influential Christians leaders, former Florida Gov. Jeb Bush, and the United Nations’ human rights chief. A Quinnipiac poll released Monday found </w:t>
      </w:r>
      <w:r w:rsidRPr="001C2B2D">
        <w:rPr>
          <w:u w:val="single"/>
        </w:rPr>
        <w:t>66 percent of Americans opposed the Trump administration’s decision to ramp up family separations</w:t>
      </w:r>
      <w:r w:rsidRPr="001C2B2D">
        <w:rPr>
          <w:sz w:val="12"/>
        </w:rPr>
        <w:t xml:space="preserve">, with 27 percent in favor. </w:t>
      </w:r>
      <w:r w:rsidRPr="001C2B2D">
        <w:rPr>
          <w:u w:val="single"/>
        </w:rPr>
        <w:t>Despite the opposition, Trump and top officials show no sign of dropping the administration’s “zero tolerance” policy,</w:t>
      </w:r>
      <w:r w:rsidRPr="001C2B2D">
        <w:rPr>
          <w:sz w:val="12"/>
        </w:rPr>
        <w:t xml:space="preserve"> which calls for all suspected border crossers to be referred for prosecution — a move that necessarily means separating parents from children, since children aren’t permitted in criminal detention centers. Under the strategy, 2,342 children were separated from adults at the border between May 5 and June 9, according to DHS statistics released Monday by the office of Sen. Dianne Feinstein (D-Calif.). The president of the American Academy of Pediatrics warned the separations may cause “irreparable harm” to children. The president continued to blame you-know-who. “</w:t>
      </w:r>
      <w:r w:rsidRPr="001C2B2D">
        <w:rPr>
          <w:u w:val="single"/>
        </w:rPr>
        <w:t>It is the Democrats fault for being weak and ineffective with Boarder [sic] Security and Crime,” Trump tweeted</w:t>
      </w:r>
      <w:r w:rsidRPr="001C2B2D">
        <w:rPr>
          <w:sz w:val="12"/>
        </w:rPr>
        <w:t xml:space="preserve"> Monday. “Tell them to start thinking about the people devastated by Crime coming from illegal immigration. Change the laws!” The administration delayed a press briefing several times Monday while it tried to hone a plausible immigration message, CNN senior White House correspondent Jeff Zeleny reported. Homeland Security Secretary Kirstjen Nielsen eventually took the podium and cited the need to close legal “loopholes” that allow asylum seekers to enter and remain in the U.S., saying they “create a functionally open border.” A growing number of congressional Republicans have spoken out against family separations, but the solution on the table so far worries immigrant advocates. A pair of immigration bills that House Speaker Paul Ryan will bring to the floor for a vote this week would roll back protections for child migrants and permit them to be detained criminally alongside their parents. In addition, the measures would allow for the swift deportation of unaccompanied minors from Central America and other countries. Even Trump appears to struggle with the family separations — he called the practice “so sad” on Monday, as if his administration hadn’t precipitated the crisis — but that same Quinnipiac poll found 55 percent of Republicans back the separations. What is means for Rs: “‘The Republicans’ new Katrina’: GOP fears backlash to splitting families,” from POLITICO’s Burgess Everett, John Bresnahan and Rachael Bade. Find it here. Pull quote: "This is insane. You're getting mixed signals from different people in the administration, whether it be [Homeland Security] or the Justice Department. Nobody seems to know what the hell is going on,” said a House Republican lawmaker. “Democratic lawmakers are going down to these detention centers: It's bad." What is means for Ds: “‘Really an evil policy’: Dems seize offensive in migrant fight,” from POLITICO’s Elana Schor. Find it here. Pull quote: “This is really an evil policy. And no matter how Trump tries to change the topic to something else, it is not okay to hurt children to send a message,” Sen. Jeff Merkley (D-Ore.) told POLITICO. “And it is not okay to hurt children in order to gain what Trump said was legislative leverage.” GOOD MORNING! It's Tuesday, June 19, and this is Morning Shift, POLITICO's daily tipsheet on employment and immigration policy. Send tips, exclusives and suggestions to thesson@politico.com, ikullgren@politico.com, ahanna@politico.com, and tnoah@politico.com. Follow us on Twitter at @tedhesson, @AndrewBHanna, @IanKullgren and @TimothyNoah1. Join POLITICO Playbook co-authors Anna Palmer and Jake Sherman and Playbook Florida author Marc Caputo for a special Playbook Elections event in the battleground state of Florida to discuss the 2018 midterm cycle and issues shaping the races. Part of the POLITICO-AARP Deciders series, this event will feature exclusive interviews with Debbie Mucarsel-Powell, David Richardson and Donna Shalala about their candidacies and campaign efforts to address the issues that matter most to voters. The event will take place Friday, June 29 at InterContinental Miami. Doors will open at 8 a.m. RSVP here. IMMIGRATION ON THE HORIZON: </w:t>
      </w:r>
      <w:r w:rsidRPr="001C2B2D">
        <w:rPr>
          <w:u w:val="single"/>
        </w:rPr>
        <w:t>The Trump White House may only be warming up on pre-midterms immigration restrictions</w:t>
      </w:r>
      <w:r w:rsidRPr="001C2B2D">
        <w:rPr>
          <w:sz w:val="12"/>
        </w:rPr>
        <w:t xml:space="preserve">, POLITICO’s Nancy Cook reports. </w:t>
      </w:r>
      <w:r w:rsidRPr="001C2B2D">
        <w:rPr>
          <w:u w:val="single"/>
        </w:rPr>
        <w:t>Stephen Miller and other Trump administration officials “have been quietly meeting for months to find ways to use executive authority and under-the-radar rule changes to strengthen hard-line U.S. immigration policies,</w:t>
      </w:r>
      <w:r w:rsidRPr="001C2B2D">
        <w:rPr>
          <w:sz w:val="12"/>
        </w:rPr>
        <w:t xml:space="preserve">” she writes. Cook mentions some proposals that will be familiar to Morning Shift readers, such as </w:t>
      </w:r>
      <w:r w:rsidRPr="001C2B2D">
        <w:rPr>
          <w:u w:val="single"/>
        </w:rPr>
        <w:t>the so-called “public charge” rule, which could block immigrants who used welfare or public benefits from obtaining a green card.</w:t>
      </w:r>
    </w:p>
    <w:p w:rsidR="00D61738" w:rsidRDefault="00D61738" w:rsidP="00D61738">
      <w:pPr>
        <w:pStyle w:val="Heading3"/>
      </w:pPr>
      <w:r>
        <w:t>2nc</w:t>
      </w:r>
      <w:r w:rsidR="00D71D53">
        <w:t xml:space="preserve"> </w:t>
      </w:r>
      <w:r>
        <w:t>– Link - Midterms</w:t>
      </w:r>
    </w:p>
    <w:p w:rsidR="00D61738" w:rsidRDefault="00D61738" w:rsidP="00D61738">
      <w:pPr>
        <w:pStyle w:val="Heading4"/>
      </w:pPr>
      <w:r>
        <w:t>Public charge expansion continues Trump’s hardline immigration strategy from 2016 into midterms</w:t>
      </w:r>
    </w:p>
    <w:p w:rsidR="00D61738" w:rsidRPr="00EB753E" w:rsidRDefault="00D61738" w:rsidP="00D61738">
      <w:r w:rsidRPr="00E72623">
        <w:rPr>
          <w:rStyle w:val="Style13ptBold"/>
        </w:rPr>
        <w:t>Guevara 7/13</w:t>
      </w:r>
      <w:r>
        <w:t xml:space="preserve"> (</w:t>
      </w:r>
      <w:hyperlink r:id="rId339" w:tgtFrame="_blank" w:history="1">
        <w:r w:rsidRPr="00EB753E">
          <w:rPr>
            <w:rStyle w:val="Hyperlink"/>
          </w:rPr>
          <w:t>Carlos Guevara</w:t>
        </w:r>
      </w:hyperlink>
      <w:r w:rsidRPr="00EB753E">
        <w:t xml:space="preserve">, law degree from the University of Maryland, UnidosUS Senior Policy Advisor, </w:t>
      </w:r>
      <w:r>
        <w:t xml:space="preserve">former DHS counselor to the office of the secretary, 7/13/18, </w:t>
      </w:r>
      <w:r w:rsidRPr="00EB753E">
        <w:t>“The Shadow War to Reshape the Face of America”, Medium, https://medium.com/@WeAreUnidosUS/the-shadow-war-to-reshape-the-face-of-america-7c540750e495)/CWB</w:t>
      </w:r>
    </w:p>
    <w:p w:rsidR="00D61738" w:rsidRPr="00EB753E" w:rsidRDefault="00D61738" w:rsidP="00D61738">
      <w:pPr>
        <w:rPr>
          <w:sz w:val="16"/>
        </w:rPr>
      </w:pPr>
      <w:r w:rsidRPr="00EB753E">
        <w:rPr>
          <w:rStyle w:val="StyleUnderline"/>
        </w:rPr>
        <w:t xml:space="preserve">According to a </w:t>
      </w:r>
      <w:hyperlink r:id="rId340" w:tgtFrame="_blank" w:history="1">
        <w:r w:rsidRPr="00EB753E">
          <w:rPr>
            <w:rStyle w:val="StyleUnderline"/>
          </w:rPr>
          <w:t>study</w:t>
        </w:r>
      </w:hyperlink>
      <w:r w:rsidRPr="00EB753E">
        <w:rPr>
          <w:rStyle w:val="StyleUnderline"/>
        </w:rPr>
        <w:t xml:space="preserve"> published in the Proceedings of the National Academy of Sciences this year, the key motivator underlying Donald Trump’s candidacy for president in the 2016 election was the feeling among white Americans that they were losing ground to other groups. Trump tapped into that white resentment — launching his presidential bid with disparaging remarks</w:t>
      </w:r>
      <w:r w:rsidRPr="00EB753E">
        <w:rPr>
          <w:sz w:val="16"/>
        </w:rPr>
        <w:t xml:space="preserve"> about Mexicans, saying, “They’re bringing drugs. They’re bringing crime. They’re rapists” — and rode it all the way to the Republican nomination and the White House. </w:t>
      </w:r>
      <w:r w:rsidRPr="00EB753E">
        <w:rPr>
          <w:rStyle w:val="StyleUnderline"/>
        </w:rPr>
        <w:t>Now, in advance of key midterm elections, it appears that he is doubling down on his incendiary rhetoric targeting immigrants</w:t>
      </w:r>
      <w:r w:rsidRPr="00EB753E">
        <w:rPr>
          <w:sz w:val="16"/>
        </w:rPr>
        <w:t xml:space="preserve"> of color. But it’s not just empty talk by Trump. He’s got a </w:t>
      </w:r>
      <w:hyperlink r:id="rId341" w:tgtFrame="_blank" w:history="1">
        <w:r w:rsidRPr="00EB753E">
          <w:rPr>
            <w:rStyle w:val="Hyperlink"/>
            <w:sz w:val="16"/>
          </w:rPr>
          <w:t>long and storied history</w:t>
        </w:r>
      </w:hyperlink>
      <w:r w:rsidRPr="00EB753E">
        <w:rPr>
          <w:sz w:val="16"/>
        </w:rPr>
        <w:t xml:space="preserve"> of racial animus toward people of color. </w:t>
      </w:r>
      <w:r w:rsidRPr="00EB753E">
        <w:rPr>
          <w:rStyle w:val="StyleUnderline"/>
        </w:rPr>
        <w:t>Backed by fellow hardline ethnonationalists like Stephen Miller and Jeff Sessions,</w:t>
      </w:r>
      <w:r w:rsidRPr="00EB753E">
        <w:rPr>
          <w:sz w:val="16"/>
        </w:rPr>
        <w:t xml:space="preserve"> he’s actively pursuing a retrograde fantasy of making America whiter by trying to end family migration and the diversity visa program. </w:t>
      </w:r>
      <w:r w:rsidRPr="00EB753E">
        <w:rPr>
          <w:sz w:val="12"/>
          <w:szCs w:val="12"/>
        </w:rPr>
        <w:t xml:space="preserve">Enacting such policies would effectively keep out Latino, Muslim, and African immigrants. Much of the criticism of the Trump administration’s harsh immigration agenda has focused on its draconian and untethered approach to interior enforcement, its indiscriminate targeting of undocumented and </w:t>
      </w:r>
      <w:hyperlink r:id="rId342" w:tgtFrame="_blank" w:history="1">
        <w:r w:rsidRPr="00EB753E">
          <w:rPr>
            <w:rStyle w:val="Hyperlink"/>
            <w:sz w:val="12"/>
            <w:szCs w:val="12"/>
          </w:rPr>
          <w:t>documented</w:t>
        </w:r>
      </w:hyperlink>
      <w:r w:rsidRPr="00EB753E">
        <w:rPr>
          <w:sz w:val="12"/>
          <w:szCs w:val="12"/>
        </w:rPr>
        <w:t xml:space="preserve"> immigrants alike, and the ways in which it has </w:t>
      </w:r>
      <w:hyperlink r:id="rId343" w:tgtFrame="_blank" w:history="1">
        <w:r w:rsidRPr="00EB753E">
          <w:rPr>
            <w:rStyle w:val="Hyperlink"/>
            <w:sz w:val="12"/>
            <w:szCs w:val="12"/>
          </w:rPr>
          <w:t>harmed</w:t>
        </w:r>
      </w:hyperlink>
      <w:r w:rsidRPr="00EB753E">
        <w:rPr>
          <w:sz w:val="12"/>
          <w:szCs w:val="12"/>
        </w:rPr>
        <w:t xml:space="preserve"> many American families. But his policies are nothing if not prejudicial: </w:t>
      </w:r>
      <w:hyperlink r:id="rId344" w:tgtFrame="_blank" w:history="1">
        <w:r w:rsidRPr="00EB753E">
          <w:rPr>
            <w:rStyle w:val="Hyperlink"/>
            <w:sz w:val="12"/>
            <w:szCs w:val="12"/>
          </w:rPr>
          <w:t>Pew Research estimates</w:t>
        </w:r>
      </w:hyperlink>
      <w:r w:rsidRPr="00EB753E">
        <w:rPr>
          <w:sz w:val="12"/>
          <w:szCs w:val="12"/>
        </w:rPr>
        <w:t xml:space="preserve"> that Latinos make up about 76 percent of the undocumented population, but according to the most recent </w:t>
      </w:r>
      <w:hyperlink r:id="rId345" w:tgtFrame="_blank" w:history="1">
        <w:r w:rsidRPr="00EB753E">
          <w:rPr>
            <w:rStyle w:val="Hyperlink"/>
            <w:sz w:val="12"/>
            <w:szCs w:val="12"/>
          </w:rPr>
          <w:t>government data</w:t>
        </w:r>
      </w:hyperlink>
      <w:r w:rsidRPr="00EB753E">
        <w:rPr>
          <w:sz w:val="12"/>
          <w:szCs w:val="12"/>
        </w:rPr>
        <w:t xml:space="preserve">, over 93 percent of those deported by U.S. Immigration and Customs Enforcement (ICE) are Latino. In other words, an undocumented Latino immigrant is more than 20 percent more likely to be deported than her non-Latino counterpart. For good reason, then, some see ICE as the tip of the spear for the administration’s anti-immigrant agenda. Yet, there’s more going on here than meets the eye. It might well be another agency with significant jurisdiction over immigration matters — the U.S. Citizenship and Immigration Service (USCIS) — that ends up having the most lasting and damaging impact on the diversity and composition of the country. Quietly, previously marginalized opponents of legal immigration have been given new life and prominence within the Trump administration. Today, many of them </w:t>
      </w:r>
      <w:hyperlink r:id="rId346" w:tgtFrame="_blank" w:history="1">
        <w:r w:rsidRPr="00EB753E">
          <w:rPr>
            <w:rStyle w:val="Hyperlink"/>
            <w:sz w:val="12"/>
            <w:szCs w:val="12"/>
          </w:rPr>
          <w:t>work in</w:t>
        </w:r>
      </w:hyperlink>
      <w:r w:rsidRPr="00EB753E">
        <w:rPr>
          <w:sz w:val="12"/>
          <w:szCs w:val="12"/>
        </w:rPr>
        <w:t xml:space="preserve">, </w:t>
      </w:r>
      <w:hyperlink r:id="rId347" w:tgtFrame="_blank" w:history="1">
        <w:r w:rsidRPr="00EB753E">
          <w:rPr>
            <w:rStyle w:val="Hyperlink"/>
            <w:sz w:val="12"/>
            <w:szCs w:val="12"/>
          </w:rPr>
          <w:t>oversee</w:t>
        </w:r>
      </w:hyperlink>
      <w:r w:rsidRPr="00EB753E">
        <w:rPr>
          <w:sz w:val="12"/>
          <w:szCs w:val="12"/>
        </w:rPr>
        <w:t xml:space="preserve">, or have a direct link to USCIS, and those hardliners won’t be satisfied with slashing legal immigration, so they are also looking for new ways to torment anyone (with the wrong skin color) who was not born here, including authorized immigrants and even </w:t>
      </w:r>
      <w:hyperlink r:id="rId348" w:tgtFrame="_blank" w:history="1">
        <w:r w:rsidRPr="00EB753E">
          <w:rPr>
            <w:rStyle w:val="Hyperlink"/>
            <w:sz w:val="12"/>
            <w:szCs w:val="12"/>
          </w:rPr>
          <w:t>naturalized citizens</w:t>
        </w:r>
      </w:hyperlink>
      <w:r w:rsidRPr="00EB753E">
        <w:rPr>
          <w:sz w:val="12"/>
          <w:szCs w:val="12"/>
        </w:rPr>
        <w:t xml:space="preserve">, in order to strip their legal status and force them to leave the country. RESUSCITATED LEGAL IMMIGRATION HAWKS SCORE EARLY WIN The idea of restricting legal immigration levels is not new. Conversations and debates about reducing the number of green cards and temporary visas issued has come up in almost every legislative effort to reform our immigration system during the last 20 years. But it was generally part of a broader and deeper discussion premised on a baseline understanding that the great </w:t>
      </w:r>
      <w:hyperlink r:id="rId349" w:tgtFrame="_blank" w:history="1">
        <w:r w:rsidRPr="00EB753E">
          <w:rPr>
            <w:rStyle w:val="Hyperlink"/>
            <w:sz w:val="12"/>
            <w:szCs w:val="12"/>
          </w:rPr>
          <w:t>societal and economic benefits of immigration</w:t>
        </w:r>
      </w:hyperlink>
      <w:r w:rsidRPr="00EB753E">
        <w:rPr>
          <w:sz w:val="12"/>
          <w:szCs w:val="12"/>
        </w:rPr>
        <w:t xml:space="preserve"> — and the potential benefits of awarding citizenship — outweighed the costs in other areas, such as legalization and border and interior enforcement. It’s one thing to reduce the number of family-based visas for siblings of American citizens, for example, when that proposal is part of a larger package that clears obscenely </w:t>
      </w:r>
      <w:hyperlink r:id="rId350" w:tgtFrame="_blank" w:history="1">
        <w:r w:rsidRPr="00EB753E">
          <w:rPr>
            <w:rStyle w:val="Hyperlink"/>
            <w:sz w:val="12"/>
            <w:szCs w:val="12"/>
          </w:rPr>
          <w:t>long visa backlogs</w:t>
        </w:r>
      </w:hyperlink>
      <w:r w:rsidRPr="00EB753E">
        <w:rPr>
          <w:sz w:val="12"/>
          <w:szCs w:val="12"/>
        </w:rPr>
        <w:t xml:space="preserve"> or provides legalization for certain longtime residents (i.e., those currently shielded from removal under the Deferred Action for Childhood Arrivals policy or the Temporary Protected Status program). It’s another thing entirely to seek those cuts for capricious reasons. Yet that’s precisely the direction in which the administration has moved during the past year. It all started with a marker bill — that is, a piece of legislation that’s not meant to be adopted but is submitted for the sake of putting an idea on the table. It was introduced by Senators Tom Cotton (R-AR) and David Perdue (R-GA) and called the </w:t>
      </w:r>
      <w:hyperlink r:id="rId351" w:tgtFrame="_blank" w:history="1">
        <w:r w:rsidRPr="00EB753E">
          <w:rPr>
            <w:rStyle w:val="Hyperlink"/>
            <w:sz w:val="12"/>
            <w:szCs w:val="12"/>
          </w:rPr>
          <w:t>RAISE Act</w:t>
        </w:r>
      </w:hyperlink>
      <w:r w:rsidRPr="00EB753E">
        <w:rPr>
          <w:sz w:val="12"/>
          <w:szCs w:val="12"/>
        </w:rPr>
        <w:t xml:space="preserve">. The bill proposed slicing legal immigration to the U.S. by at least half. If enacted, it would have </w:t>
      </w:r>
      <w:hyperlink r:id="rId352" w:tgtFrame="_blank" w:history="1">
        <w:r w:rsidRPr="00EB753E">
          <w:rPr>
            <w:rStyle w:val="Hyperlink"/>
            <w:sz w:val="12"/>
            <w:szCs w:val="12"/>
          </w:rPr>
          <w:t>terrible long-term</w:t>
        </w:r>
      </w:hyperlink>
      <w:r w:rsidRPr="00EB753E">
        <w:rPr>
          <w:sz w:val="12"/>
          <w:szCs w:val="12"/>
        </w:rPr>
        <w:t xml:space="preserve"> consequences for our nation’s economy, not the least of which would be destroying key social safety-net programs like </w:t>
      </w:r>
      <w:hyperlink r:id="rId353" w:tgtFrame="_blank" w:history="1">
        <w:r w:rsidRPr="00EB753E">
          <w:rPr>
            <w:rStyle w:val="Hyperlink"/>
            <w:sz w:val="12"/>
            <w:szCs w:val="12"/>
          </w:rPr>
          <w:t>Social Security</w:t>
        </w:r>
      </w:hyperlink>
      <w:r w:rsidRPr="00EB753E">
        <w:rPr>
          <w:sz w:val="12"/>
          <w:szCs w:val="12"/>
        </w:rPr>
        <w:t xml:space="preserve">. Also, had the bill been law when President </w:t>
      </w:r>
      <w:hyperlink r:id="rId354" w:tgtFrame="_blank" w:history="1">
        <w:r w:rsidRPr="00EB753E">
          <w:rPr>
            <w:rStyle w:val="Hyperlink"/>
            <w:sz w:val="12"/>
            <w:szCs w:val="12"/>
          </w:rPr>
          <w:t>Trump’s own grandfather</w:t>
        </w:r>
      </w:hyperlink>
      <w:r w:rsidRPr="00EB753E">
        <w:rPr>
          <w:sz w:val="12"/>
          <w:szCs w:val="12"/>
        </w:rPr>
        <w:t xml:space="preserve"> and his future wife Melania came to the United States, both would have </w:t>
      </w:r>
      <w:hyperlink r:id="rId355" w:tgtFrame="_blank" w:history="1">
        <w:r w:rsidRPr="00EB753E">
          <w:rPr>
            <w:rStyle w:val="Hyperlink"/>
            <w:sz w:val="12"/>
            <w:szCs w:val="12"/>
          </w:rPr>
          <w:t>lacked enough “points”</w:t>
        </w:r>
      </w:hyperlink>
      <w:r w:rsidRPr="00EB753E">
        <w:rPr>
          <w:sz w:val="12"/>
          <w:szCs w:val="12"/>
        </w:rPr>
        <w:t xml:space="preserve"> to make the cut. What’s most notable about the RAISE Act — which had the </w:t>
      </w:r>
      <w:hyperlink r:id="rId356" w:tgtFrame="_blank" w:history="1">
        <w:r w:rsidRPr="00EB753E">
          <w:rPr>
            <w:rStyle w:val="Hyperlink"/>
            <w:sz w:val="12"/>
            <w:szCs w:val="12"/>
          </w:rPr>
          <w:t>full backing</w:t>
        </w:r>
      </w:hyperlink>
      <w:r w:rsidRPr="00EB753E">
        <w:rPr>
          <w:sz w:val="12"/>
          <w:szCs w:val="12"/>
        </w:rPr>
        <w:t xml:space="preserve"> of the Trump administration — is that it expanded the focus of the immigration-policy debate from </w:t>
      </w:r>
      <w:hyperlink r:id="rId357" w:tgtFrame="_blank" w:history="1">
        <w:r w:rsidRPr="00EB753E">
          <w:rPr>
            <w:rStyle w:val="Hyperlink"/>
            <w:sz w:val="12"/>
            <w:szCs w:val="12"/>
          </w:rPr>
          <w:t>“unauthorized” immigrants to legal immigrants</w:t>
        </w:r>
      </w:hyperlink>
      <w:r w:rsidRPr="00EB753E">
        <w:rPr>
          <w:sz w:val="12"/>
          <w:szCs w:val="12"/>
        </w:rPr>
        <w:t>, particularly Latinos. It is hard to avoid the conclusion that the bill’s aim was not only to cut overall immigration levels, but to dramatically tilt the racial demographic of those admitted to the U.S. This would be accomplished by significantly reducing family migration and reunification of Latinos and Asians in favor of white people from countries like Norway, as the President has professed to prefer over those from “</w:t>
      </w:r>
      <w:hyperlink r:id="rId358" w:tgtFrame="_blank" w:history="1">
        <w:r w:rsidRPr="00EB753E">
          <w:rPr>
            <w:rStyle w:val="Hyperlink"/>
            <w:sz w:val="12"/>
            <w:szCs w:val="12"/>
          </w:rPr>
          <w:t>shit-hole countries</w:t>
        </w:r>
      </w:hyperlink>
      <w:r w:rsidRPr="00EB753E">
        <w:rPr>
          <w:sz w:val="12"/>
          <w:szCs w:val="12"/>
        </w:rPr>
        <w:t xml:space="preserve">.” The introduction of the RAISE Act might well mark a tipping point that we’ll reflect on during future comprehensive immigration-reform conversations as having changed the way this issue is addressed. DACA recipients — over </w:t>
      </w:r>
      <w:hyperlink r:id="rId359" w:tgtFrame="_blank" w:history="1">
        <w:r w:rsidRPr="00EB753E">
          <w:rPr>
            <w:rStyle w:val="Hyperlink"/>
            <w:sz w:val="12"/>
            <w:szCs w:val="12"/>
          </w:rPr>
          <w:t>90 percent</w:t>
        </w:r>
      </w:hyperlink>
      <w:r w:rsidRPr="00EB753E">
        <w:rPr>
          <w:sz w:val="12"/>
          <w:szCs w:val="12"/>
        </w:rPr>
        <w:t xml:space="preserve"> of whom happen to be Latino — have so far been the leading casualties of this new focus on legal immigration. At least five bipartisan DACA compromises have been rejected by the Trump White House, which insists that aspects of the RAISE Act — cleverly repackaged as soundbites like “merit-based,” “chain migration,” “protecting nuclear families,” and “four pillars” — be a part of any solution. For all the President’s grousing (and </w:t>
      </w:r>
      <w:hyperlink r:id="rId360" w:tgtFrame="_blank" w:history="1">
        <w:r w:rsidRPr="00EB753E">
          <w:rPr>
            <w:rStyle w:val="Hyperlink"/>
            <w:sz w:val="12"/>
            <w:szCs w:val="12"/>
          </w:rPr>
          <w:t>dubious claims</w:t>
        </w:r>
      </w:hyperlink>
      <w:r w:rsidRPr="00EB753E">
        <w:rPr>
          <w:sz w:val="12"/>
          <w:szCs w:val="12"/>
        </w:rPr>
        <w:t xml:space="preserve">) about the need for a border wall, more ICE agents and detention beds, and against sanctuary cities, this early triumph of the legal immigration hawks is the reason why hundreds of thousands of immigrant youths still find themselves in legal limbo 10 months after President Trump ended DACA last fall. USCIS: THE BLUNT INSTRUMENT OF CHOICE? What’s more, with immigration talks at an impasse in Congress, the White House is furtively and single-handedly making back-door administrative changes to our nation’s legal immigration system. It’s doing this in three ways — via policy changes, revising long-standing norms and rules, and imposing new regulations. Some changes have been largely superficial, such as when earlier this year the USCIS </w:t>
      </w:r>
      <w:hyperlink r:id="rId361" w:tgtFrame="_blank" w:history="1">
        <w:r w:rsidRPr="00EB753E">
          <w:rPr>
            <w:rStyle w:val="Hyperlink"/>
            <w:sz w:val="12"/>
            <w:szCs w:val="12"/>
          </w:rPr>
          <w:t>dropped the phrase</w:t>
        </w:r>
      </w:hyperlink>
      <w:r w:rsidRPr="00EB753E">
        <w:rPr>
          <w:sz w:val="12"/>
          <w:szCs w:val="12"/>
        </w:rPr>
        <w:t xml:space="preserve">, “nation of immigrants,” from the agency’s mission statement, which drew the ire of immigration advocates and the public, who rightfully saw the omission as an </w:t>
      </w:r>
      <w:hyperlink r:id="rId362" w:tgtFrame="_blank" w:history="1">
        <w:r w:rsidRPr="00EB753E">
          <w:rPr>
            <w:rStyle w:val="Hyperlink"/>
            <w:sz w:val="12"/>
            <w:szCs w:val="12"/>
          </w:rPr>
          <w:t>affront to our core American values</w:t>
        </w:r>
      </w:hyperlink>
      <w:r w:rsidRPr="00EB753E">
        <w:rPr>
          <w:sz w:val="12"/>
          <w:szCs w:val="12"/>
        </w:rPr>
        <w:t xml:space="preserve">. Other changes, like the administration’s decision to </w:t>
      </w:r>
      <w:hyperlink r:id="rId363" w:tgtFrame="_blank" w:history="1">
        <w:r w:rsidRPr="00EB753E">
          <w:rPr>
            <w:rStyle w:val="Hyperlink"/>
            <w:sz w:val="12"/>
            <w:szCs w:val="12"/>
          </w:rPr>
          <w:t>swipe legal protections</w:t>
        </w:r>
      </w:hyperlink>
      <w:r w:rsidRPr="00EB753E">
        <w:rPr>
          <w:sz w:val="12"/>
          <w:szCs w:val="12"/>
        </w:rPr>
        <w:t xml:space="preserve">away from more than one million documented individuals, which was either directly cleared by USCIS leadership (in the case of TPS) or based on input agency officials gave to the White House (in the case of DACA) have had a seismic effect on millions of people. Those impacted were, by definition “documented,” that is legally authorized to be in the United States but lack an independent pathway to a green card under our current laws. Beginning in fall 2018, over </w:t>
      </w:r>
      <w:hyperlink r:id="rId364" w:tgtFrame="_blank" w:history="1">
        <w:r w:rsidRPr="00EB753E">
          <w:rPr>
            <w:rStyle w:val="Hyperlink"/>
            <w:sz w:val="12"/>
            <w:szCs w:val="12"/>
          </w:rPr>
          <w:t>300,000</w:t>
        </w:r>
      </w:hyperlink>
      <w:r w:rsidRPr="00EB753E">
        <w:rPr>
          <w:sz w:val="12"/>
          <w:szCs w:val="12"/>
        </w:rPr>
        <w:t xml:space="preserve"> TPS holders — Sudanese, Haitians, Salvadorans, Liberians, and Hondurans — will start losing their legal status. Of course, they all happen to be people of color. USCIS has also been quietly restricting who can secure green cards by changing the way existing rules have been implemented. The press has observed that Trump officials at USCIS are making it </w:t>
      </w:r>
      <w:hyperlink r:id="rId365" w:tgtFrame="_blank" w:history="1">
        <w:r w:rsidRPr="00EB753E">
          <w:rPr>
            <w:rStyle w:val="Hyperlink"/>
            <w:sz w:val="12"/>
            <w:szCs w:val="12"/>
          </w:rPr>
          <w:t>more difficult and expensive</w:t>
        </w:r>
      </w:hyperlink>
      <w:r w:rsidRPr="00EB753E">
        <w:rPr>
          <w:sz w:val="12"/>
          <w:szCs w:val="12"/>
        </w:rPr>
        <w:t xml:space="preserve"> for foreign students, skilled temporary workers, and those seeking humanitarian protections under our laws to enter the U.S. legally. Meanwhile, recent </w:t>
      </w:r>
      <w:hyperlink r:id="rId366" w:tgtFrame="_blank" w:history="1">
        <w:r w:rsidRPr="00EB753E">
          <w:rPr>
            <w:rStyle w:val="Hyperlink"/>
            <w:sz w:val="12"/>
            <w:szCs w:val="12"/>
          </w:rPr>
          <w:t>reports</w:t>
        </w:r>
      </w:hyperlink>
      <w:r w:rsidRPr="00EB753E">
        <w:rPr>
          <w:sz w:val="12"/>
          <w:szCs w:val="12"/>
        </w:rPr>
        <w:t xml:space="preserve"> reveal that USCIS intends to establish an internal-affairs division to oversee agency caseworkers who are deemed too “lenient,” prompting some Senators to </w:t>
      </w:r>
      <w:hyperlink r:id="rId367" w:tgtFrame="_blank" w:history="1">
        <w:r w:rsidRPr="00EB753E">
          <w:rPr>
            <w:rStyle w:val="Hyperlink"/>
            <w:sz w:val="12"/>
            <w:szCs w:val="12"/>
          </w:rPr>
          <w:t>question</w:t>
        </w:r>
      </w:hyperlink>
      <w:r w:rsidRPr="00EB753E">
        <w:rPr>
          <w:sz w:val="12"/>
          <w:szCs w:val="12"/>
        </w:rPr>
        <w:t xml:space="preserve"> the motives behind this division’s creation, its impact on USCIS caseworkers, and the compounding effect it could have on already unacceptably </w:t>
      </w:r>
      <w:hyperlink r:id="rId368" w:tgtFrame="_blank" w:history="1">
        <w:r w:rsidRPr="00EB753E">
          <w:rPr>
            <w:rStyle w:val="Hyperlink"/>
            <w:sz w:val="12"/>
            <w:szCs w:val="12"/>
          </w:rPr>
          <w:t>long case-processing times</w:t>
        </w:r>
      </w:hyperlink>
      <w:r w:rsidRPr="00EB753E">
        <w:rPr>
          <w:sz w:val="12"/>
          <w:szCs w:val="12"/>
        </w:rPr>
        <w:t xml:space="preserve">. These are classic examples of a “gum up the works” strategy that’s clearly designed to prevent eligible people from getting visas. What’s more, the agency is trying to move into the immigration enforcement business. Recently, USCIS issued </w:t>
      </w:r>
      <w:hyperlink r:id="rId369" w:tgtFrame="_blank" w:history="1">
        <w:r w:rsidRPr="00EB753E">
          <w:rPr>
            <w:rStyle w:val="Hyperlink"/>
            <w:sz w:val="12"/>
            <w:szCs w:val="12"/>
          </w:rPr>
          <w:t>guidance</w:t>
        </w:r>
      </w:hyperlink>
      <w:r w:rsidRPr="00EB753E">
        <w:rPr>
          <w:sz w:val="12"/>
          <w:szCs w:val="12"/>
        </w:rPr>
        <w:t xml:space="preserve"> that would allow it to initiate deportation proceedings. It’s also </w:t>
      </w:r>
      <w:hyperlink r:id="rId370" w:tgtFrame="_blank" w:history="1">
        <w:r w:rsidRPr="00EB753E">
          <w:rPr>
            <w:rStyle w:val="Hyperlink"/>
            <w:sz w:val="12"/>
            <w:szCs w:val="12"/>
          </w:rPr>
          <w:t>looking to use</w:t>
        </w:r>
      </w:hyperlink>
      <w:r w:rsidRPr="00EB753E">
        <w:rPr>
          <w:sz w:val="12"/>
          <w:szCs w:val="12"/>
        </w:rPr>
        <w:t xml:space="preserve"> USCIS funds for ICE enforcement operations. Moreover, USCIS caseworkers have been ordered to “more closely” </w:t>
      </w:r>
      <w:hyperlink r:id="rId371" w:tgtFrame="_blank" w:history="1">
        <w:r w:rsidRPr="00EB753E">
          <w:rPr>
            <w:rStyle w:val="Hyperlink"/>
            <w:sz w:val="12"/>
            <w:szCs w:val="12"/>
          </w:rPr>
          <w:t>scrutinize</w:t>
        </w:r>
      </w:hyperlink>
      <w:r w:rsidRPr="00EB753E">
        <w:rPr>
          <w:sz w:val="12"/>
          <w:szCs w:val="12"/>
        </w:rPr>
        <w:t xml:space="preserve">applications made by U.S. citizens and green card holders on behalf of their family members under the false pretense of curbing “fraud and abuse.” Last August, the agency </w:t>
      </w:r>
      <w:hyperlink r:id="rId372" w:tgtFrame="_blank" w:history="1">
        <w:r w:rsidRPr="00EB753E">
          <w:rPr>
            <w:rStyle w:val="Hyperlink"/>
            <w:sz w:val="12"/>
            <w:szCs w:val="12"/>
          </w:rPr>
          <w:t>announced</w:t>
        </w:r>
      </w:hyperlink>
      <w:r w:rsidRPr="00EB753E">
        <w:rPr>
          <w:sz w:val="12"/>
          <w:szCs w:val="12"/>
        </w:rPr>
        <w:t xml:space="preserve"> it would phase in new interview requirements for individuals applying for green cards, including employers petitioning for workers and U.S. citizens applying on behalf of their fiancés. Reuters </w:t>
      </w:r>
      <w:hyperlink r:id="rId373" w:tgtFrame="_blank" w:history="1">
        <w:r w:rsidRPr="00EB753E">
          <w:rPr>
            <w:rStyle w:val="Hyperlink"/>
            <w:sz w:val="12"/>
            <w:szCs w:val="12"/>
          </w:rPr>
          <w:t>reports</w:t>
        </w:r>
      </w:hyperlink>
      <w:r w:rsidRPr="00EB753E">
        <w:rPr>
          <w:sz w:val="12"/>
          <w:szCs w:val="12"/>
        </w:rPr>
        <w:t xml:space="preserve"> that, thanks to this subtle shift, the number of immigrants approved by USCIS for extended family visas in fiscal year 2017 plunged to its lowest level since 2000. At a time when the Trump White House is vowing to </w:t>
      </w:r>
      <w:hyperlink r:id="rId374" w:tgtFrame="_blank" w:history="1">
        <w:r w:rsidRPr="00EB753E">
          <w:rPr>
            <w:rStyle w:val="Hyperlink"/>
            <w:sz w:val="12"/>
            <w:szCs w:val="12"/>
          </w:rPr>
          <w:t>shrink</w:t>
        </w:r>
      </w:hyperlink>
      <w:r w:rsidRPr="00EB753E">
        <w:rPr>
          <w:sz w:val="12"/>
          <w:szCs w:val="12"/>
        </w:rPr>
        <w:t xml:space="preserve"> the administrative state and scores of federal agency positions remain </w:t>
      </w:r>
      <w:hyperlink r:id="rId375" w:tgtFrame="_blank" w:history="1">
        <w:r w:rsidRPr="00EB753E">
          <w:rPr>
            <w:rStyle w:val="Hyperlink"/>
            <w:sz w:val="12"/>
            <w:szCs w:val="12"/>
          </w:rPr>
          <w:t>unfilled</w:t>
        </w:r>
      </w:hyperlink>
      <w:r w:rsidRPr="00EB753E">
        <w:rPr>
          <w:sz w:val="12"/>
          <w:szCs w:val="12"/>
        </w:rPr>
        <w:t xml:space="preserve">, it is noteworthy that there is no shortage of resources available to advance its ethnocentric vision. Look no further than USCIS, which plans to </w:t>
      </w:r>
      <w:hyperlink r:id="rId376" w:tgtFrame="_blank" w:history="1">
        <w:r w:rsidRPr="00EB753E">
          <w:rPr>
            <w:rStyle w:val="Hyperlink"/>
            <w:sz w:val="12"/>
            <w:szCs w:val="12"/>
          </w:rPr>
          <w:t>hire dozens</w:t>
        </w:r>
      </w:hyperlink>
      <w:r w:rsidRPr="00EB753E">
        <w:rPr>
          <w:sz w:val="12"/>
          <w:szCs w:val="12"/>
        </w:rPr>
        <w:t xml:space="preserve"> of lawyers and immigration officers to staff a recently announced denaturalization taskforce. What appears to connect these seemingly disparate positions and actions is a warped worldview. It has been </w:t>
      </w:r>
      <w:hyperlink r:id="rId377" w:tgtFrame="_blank" w:history="1">
        <w:r w:rsidRPr="00EB753E">
          <w:rPr>
            <w:rStyle w:val="Hyperlink"/>
            <w:sz w:val="12"/>
            <w:szCs w:val="12"/>
          </w:rPr>
          <w:t>espoused</w:t>
        </w:r>
      </w:hyperlink>
      <w:r w:rsidRPr="00EB753E">
        <w:rPr>
          <w:sz w:val="12"/>
          <w:szCs w:val="12"/>
        </w:rPr>
        <w:t xml:space="preserve"> by USCIS head L. Francis Cissna, who said, “Those people are just coming in based on connection to a family member. That lack of selectivity; it takes us away from where we want to go as a country.” Who are “those people” exactly? They’re the children and siblings of American citizens, and the spouses and children of green-card holders. Not coincidentally, the majority of those adversely affected are from Asia, Latin America, the Caribbean, and Africa.</w:t>
      </w:r>
      <w:r w:rsidRPr="00EB753E">
        <w:rPr>
          <w:sz w:val="16"/>
        </w:rPr>
        <w:t xml:space="preserve"> A BACKDOOR RAISE ACT? But that’s not all. An often-underreported way administrations leave a lasting mark on the country is by issuing new regulations. USCIS’s legal-immigration restrictionists have been busy on that front, too; </w:t>
      </w:r>
      <w:hyperlink r:id="rId378" w:tgtFrame="_blank" w:history="1">
        <w:r w:rsidRPr="00EB753E">
          <w:rPr>
            <w:rStyle w:val="Hyperlink"/>
            <w:sz w:val="16"/>
          </w:rPr>
          <w:t>their fingerprints</w:t>
        </w:r>
      </w:hyperlink>
      <w:r w:rsidRPr="00EB753E">
        <w:rPr>
          <w:sz w:val="16"/>
        </w:rPr>
        <w:t xml:space="preserve"> are all over the regulatory agenda. </w:t>
      </w:r>
      <w:r w:rsidRPr="00EB753E">
        <w:rPr>
          <w:rStyle w:val="StyleUnderline"/>
        </w:rPr>
        <w:t>Their latest, most pernicious rule proposal takes clear aim at legal immigrants who are living and working in the U.S. (along with their family members, U.S.-citizen children included). One of the factors that immigration authorities have historically considered when reviewing visa applications is whether candidates have the means to support themselves. Those who don’t may be deemed a “public charge,” which can count as a strike against their application being approved</w:t>
      </w:r>
      <w:r w:rsidRPr="00EB753E">
        <w:rPr>
          <w:sz w:val="16"/>
        </w:rPr>
        <w:t xml:space="preserve">. Under current rules, mainly those who get more than half their income from cash assistance programs — e.g., Temporary Assistance for Needy Families — or Medicaid long-term care benefits may be deemed dependent on the government or a “public charge.” In fact, for obvious and sensible public-health reasons, the </w:t>
      </w:r>
      <w:hyperlink r:id="rId379" w:tgtFrame="_blank" w:history="1">
        <w:r w:rsidRPr="00EB753E">
          <w:rPr>
            <w:rStyle w:val="Hyperlink"/>
            <w:sz w:val="16"/>
          </w:rPr>
          <w:t>existing guidelines</w:t>
        </w:r>
      </w:hyperlink>
      <w:r w:rsidRPr="00EB753E">
        <w:rPr>
          <w:sz w:val="16"/>
        </w:rPr>
        <w:t xml:space="preserve">were expressly designed to “reduce the negative public health consequences generated by [then] existing confusion around the meaning of public charge” and to ensure immigrant families were not deterred from seeking temporary non-cash public assistance such as health care and nutrition assistance. Until now, that is. On March 28, 2018, The Washington Post </w:t>
      </w:r>
      <w:hyperlink r:id="rId380" w:tgtFrame="_blank" w:history="1">
        <w:r w:rsidRPr="00EB753E">
          <w:rPr>
            <w:rStyle w:val="Hyperlink"/>
            <w:sz w:val="16"/>
          </w:rPr>
          <w:t>reported</w:t>
        </w:r>
      </w:hyperlink>
      <w:r w:rsidRPr="00EB753E">
        <w:rPr>
          <w:sz w:val="16"/>
        </w:rPr>
        <w:t xml:space="preserve"> details of a leaked </w:t>
      </w:r>
      <w:r w:rsidRPr="00EB753E">
        <w:rPr>
          <w:rStyle w:val="StyleUnderline"/>
        </w:rPr>
        <w:t xml:space="preserve">proposal </w:t>
      </w:r>
      <w:r w:rsidRPr="00EB753E">
        <w:rPr>
          <w:sz w:val="16"/>
        </w:rPr>
        <w:t xml:space="preserve">that </w:t>
      </w:r>
      <w:r w:rsidRPr="00EB753E">
        <w:rPr>
          <w:rStyle w:val="StyleUnderline"/>
        </w:rPr>
        <w:t xml:space="preserve">would target decent, hard-working immigrants (and their families) in low-wage jobs by greatly expanding the “public charge” criteria to include participation in non-cash assistance programs. This includes programs like the Children’s Health Insurance Program (CHIP); Women, Infants and Children (WIC); the Supplemental Nutrition Assistance Program (SNAP); and the Earned Income Tax Credit, Medicaid, and housing or home-energy assistance — all services, by the way, that many authorized immigrants are legally </w:t>
      </w:r>
      <w:hyperlink r:id="rId381" w:tgtFrame="_blank" w:history="1">
        <w:r w:rsidRPr="00EB753E">
          <w:rPr>
            <w:rStyle w:val="StyleUnderline"/>
          </w:rPr>
          <w:t>entitled</w:t>
        </w:r>
      </w:hyperlink>
      <w:r w:rsidRPr="00EB753E">
        <w:rPr>
          <w:rStyle w:val="StyleUnderline"/>
        </w:rPr>
        <w:t xml:space="preserve"> to by virtue of substantial work (and, by extension, taxpayer) histories.</w:t>
      </w:r>
      <w:r w:rsidRPr="00EB753E">
        <w:rPr>
          <w:sz w:val="16"/>
        </w:rPr>
        <w:t xml:space="preserve"> Non-cash health and nutrition assistance programs are specifically designed to prevent destitution and provide families with critical support services to help them make ends meet. Non-cash assistance programs keep millions out of poverty, including millions of U.S.-citizen children who live with an immigrant parent. Consider that in the context of Latino families — many of whom stand to be significantly impacted by the proposed rule — SNAP, Medicaid and housing assistance </w:t>
      </w:r>
      <w:hyperlink r:id="rId382" w:tgtFrame="_blank" w:history="1">
        <w:r w:rsidRPr="00EB753E">
          <w:rPr>
            <w:rStyle w:val="Hyperlink"/>
            <w:sz w:val="16"/>
          </w:rPr>
          <w:t>lifted 6.3 million Latinos</w:t>
        </w:r>
      </w:hyperlink>
      <w:r w:rsidRPr="00EB753E">
        <w:rPr>
          <w:sz w:val="16"/>
        </w:rPr>
        <w:t xml:space="preserve"> above the poverty line in 2015, including three million Latino children. The proposed rule would not actually bar legal immigrants from using those services, while unauthorized immigrants are already ineligible. But, if approved, it could subject them to </w:t>
      </w:r>
      <w:hyperlink r:id="rId383" w:tgtFrame="_blank" w:history="1">
        <w:r w:rsidRPr="00EB753E">
          <w:rPr>
            <w:rStyle w:val="Hyperlink"/>
            <w:sz w:val="16"/>
          </w:rPr>
          <w:t>punitive income tests</w:t>
        </w:r>
      </w:hyperlink>
      <w:r w:rsidRPr="00EB753E">
        <w:rPr>
          <w:sz w:val="16"/>
        </w:rPr>
        <w:t xml:space="preserve"> that, incredibly, require a family of three to earn over $52,000 annually, or a family of four to earn over $62,000 annually, in order to petition for a close family member, such as a parent who could help care for an infant. It could also deny many who have been waiting for years for their visas to clear the backlogs a chance to gain permanent residency themselves. </w:t>
      </w:r>
      <w:r w:rsidRPr="00EB753E">
        <w:rPr>
          <w:rStyle w:val="StyleUnderline"/>
        </w:rPr>
        <w:t xml:space="preserve">The rule could also </w:t>
      </w:r>
      <w:hyperlink r:id="rId384" w:tgtFrame="_blank" w:history="1">
        <w:r w:rsidRPr="00EB753E">
          <w:rPr>
            <w:rStyle w:val="StyleUnderline"/>
          </w:rPr>
          <w:t>force millions</w:t>
        </w:r>
      </w:hyperlink>
      <w:r w:rsidRPr="00EB753E">
        <w:rPr>
          <w:rStyle w:val="StyleUnderline"/>
        </w:rPr>
        <w:t xml:space="preserve"> of Latino and immigrant families to make painful tradeoffs and likely lead many of them to forego benefits. If the rule becomes final, will an individual with a pathway to permanent residency think twice about applying for SNAP or CHIP for their U.S.-citizen child, lest that cost them their shot at a green card? </w:t>
      </w:r>
      <w:r w:rsidRPr="00EB753E">
        <w:rPr>
          <w:sz w:val="16"/>
        </w:rPr>
        <w:t xml:space="preserve">Never mind that going without food or adequate health care is detrimental to their children’s well-being, and that compelling people to do so is inhumane. It’s worth remembering, Trump calls them “animals,” not people. Never mind that </w:t>
      </w:r>
      <w:hyperlink r:id="rId385" w:tgtFrame="_blank" w:history="1">
        <w:r w:rsidRPr="00EB753E">
          <w:rPr>
            <w:rStyle w:val="Hyperlink"/>
            <w:sz w:val="16"/>
          </w:rPr>
          <w:t>most public-assistance recipients are white and native-born</w:t>
        </w:r>
        <w:proofErr w:type="gramStart"/>
        <w:r w:rsidRPr="00EB753E">
          <w:rPr>
            <w:rStyle w:val="Hyperlink"/>
            <w:sz w:val="16"/>
          </w:rPr>
          <w:t>,</w:t>
        </w:r>
        <w:proofErr w:type="gramEnd"/>
      </w:hyperlink>
      <w:r w:rsidRPr="00EB753E">
        <w:rPr>
          <w:sz w:val="16"/>
        </w:rPr>
        <w:t xml:space="preserve">or that immigrants pay taxes because facts are often lost on this administration and its supporters. What is a horrifying realization about a sitting President of the United States is that Trump appears to </w:t>
      </w:r>
      <w:hyperlink r:id="rId386" w:tgtFrame="_blank" w:history="1">
        <w:r w:rsidRPr="00EB753E">
          <w:rPr>
            <w:rStyle w:val="Hyperlink"/>
            <w:sz w:val="16"/>
          </w:rPr>
          <w:t>loathe</w:t>
        </w:r>
      </w:hyperlink>
      <w:r w:rsidRPr="00EB753E">
        <w:rPr>
          <w:sz w:val="16"/>
        </w:rPr>
        <w:t xml:space="preserve"> Latinos and Blacks (and he seems to want others to loathe them, too, so he can exploit that hatred); he wants to punish immigrants of color by forcing them to choose between staying here with family and taking care of their own health and that of their kids. If allowed to stand, the proposed regulation change would give the Trump administration a powerful new weapon in its ongoing assault on immigrants, particularly those of color. In 2016 (the last year for which there was available data), nearly </w:t>
      </w:r>
      <w:hyperlink r:id="rId387" w:tgtFrame="_blank" w:history="1">
        <w:r w:rsidRPr="00EB753E">
          <w:rPr>
            <w:rStyle w:val="Hyperlink"/>
            <w:sz w:val="16"/>
          </w:rPr>
          <w:t>44 percent</w:t>
        </w:r>
      </w:hyperlink>
      <w:r w:rsidRPr="00EB753E">
        <w:rPr>
          <w:sz w:val="16"/>
        </w:rPr>
        <w:t xml:space="preserve"> of those who met the green-card eligibility requirements were from Latin American countries, and another 48 percent were from Asia and Africa. We need to dispense with the lie that the administration’s immigration agenda is intended to </w:t>
      </w:r>
      <w:hyperlink r:id="rId388" w:anchor="zSoyz" w:tgtFrame="_blank" w:history="1">
        <w:r w:rsidRPr="00EB753E">
          <w:rPr>
            <w:rStyle w:val="Hyperlink"/>
            <w:sz w:val="16"/>
          </w:rPr>
          <w:t>protect Americans</w:t>
        </w:r>
      </w:hyperlink>
      <w:r w:rsidRPr="00EB753E">
        <w:rPr>
          <w:sz w:val="16"/>
        </w:rPr>
        <w:t xml:space="preserve"> and </w:t>
      </w:r>
      <w:hyperlink r:id="rId389" w:tgtFrame="_blank" w:history="1">
        <w:r w:rsidRPr="00EB753E">
          <w:rPr>
            <w:rStyle w:val="Hyperlink"/>
            <w:sz w:val="16"/>
          </w:rPr>
          <w:t>American jobs</w:t>
        </w:r>
      </w:hyperlink>
      <w:r w:rsidRPr="00EB753E">
        <w:rPr>
          <w:sz w:val="16"/>
        </w:rPr>
        <w:t xml:space="preserve"> from invading immigrant hordes (they </w:t>
      </w:r>
      <w:hyperlink r:id="rId390" w:tgtFrame="_blank" w:history="1">
        <w:r w:rsidRPr="00EB753E">
          <w:rPr>
            <w:rStyle w:val="Hyperlink"/>
            <w:sz w:val="16"/>
          </w:rPr>
          <w:t>don’t exist</w:t>
        </w:r>
      </w:hyperlink>
      <w:r w:rsidRPr="00EB753E">
        <w:rPr>
          <w:sz w:val="16"/>
        </w:rPr>
        <w:t xml:space="preserve">). The Trump administration’s actual intent seems to be to inflict harm, and his administration is persecuting citizens, legal immigrants and peaceful migrants of color who are fleeing horrific violence; </w:t>
      </w:r>
      <w:proofErr w:type="gramStart"/>
      <w:r w:rsidRPr="00EB753E">
        <w:rPr>
          <w:sz w:val="16"/>
        </w:rPr>
        <w:t>it’s</w:t>
      </w:r>
      <w:proofErr w:type="gramEnd"/>
      <w:r w:rsidRPr="00EB753E">
        <w:rPr>
          <w:sz w:val="16"/>
        </w:rPr>
        <w:t xml:space="preserve"> terrorizing children and putting </w:t>
      </w:r>
      <w:hyperlink r:id="rId391" w:tgtFrame="_blank" w:history="1">
        <w:r w:rsidRPr="00EB753E">
          <w:rPr>
            <w:rStyle w:val="Hyperlink"/>
            <w:sz w:val="16"/>
          </w:rPr>
          <w:t>them in cages</w:t>
        </w:r>
      </w:hyperlink>
      <w:r w:rsidRPr="00EB753E">
        <w:rPr>
          <w:sz w:val="16"/>
        </w:rPr>
        <w:t xml:space="preserve"> and then lying about what they’ve done. And, the quiet assault on the legal immigration system happening at USCIS belies the cover story that it is only seeking to protect our borders from illegal immigration. As of this writing, the public-charge rule is still making its way through the agency review process. </w:t>
      </w:r>
      <w:r w:rsidRPr="00EB753E">
        <w:rPr>
          <w:rStyle w:val="StyleUnderline"/>
        </w:rPr>
        <w:t>While the rule has not been finalized, organizations like UnidosUS are already learning of eligible families avoiding critical health and nutrition-assistance programs based on misinformation about the rule being in place (it isn’t) and a fear that accessing benefits could jeopardize their ability to remain in the U.S. permanently. It’s hard not to wonder if that fear is exactly what the White House wanted all along.</w:t>
      </w:r>
    </w:p>
    <w:p w:rsidR="00D61738" w:rsidRDefault="00D61738" w:rsidP="00D61738"/>
    <w:p w:rsidR="00D61738" w:rsidRDefault="00D61738" w:rsidP="00D61738">
      <w:pPr>
        <w:pStyle w:val="Heading4"/>
      </w:pPr>
      <w:r>
        <w:t>Restricting immigrant health care and tightening eligibility fill in midterm leadership crisis</w:t>
      </w:r>
    </w:p>
    <w:p w:rsidR="00D61738" w:rsidRPr="005F1FB6" w:rsidRDefault="00D61738" w:rsidP="00D61738">
      <w:r w:rsidRPr="00E72623">
        <w:rPr>
          <w:rStyle w:val="Style13ptBold"/>
        </w:rPr>
        <w:t>NWA 4/11</w:t>
      </w:r>
      <w:r>
        <w:t xml:space="preserve"> (National WIC Association, WIC = Special Supplemental Nutritional Program for Women, Infants and Children, 4/11/18, “Washington Update: New Executive Order Pushes Work Requirements, Reviews Immigrant Eligibility”, </w:t>
      </w:r>
      <w:r w:rsidRPr="00E72623">
        <w:t>https://www.nwica.org/blog/washington-update-new-executive-order-pushes-work-requirements-reviews-immigrant-eligibility#.W0uzjtL0lPY</w:t>
      </w:r>
      <w:r>
        <w:t>)/CWB</w:t>
      </w:r>
    </w:p>
    <w:p w:rsidR="00D61738" w:rsidRPr="00E72623" w:rsidRDefault="00D61738" w:rsidP="00D61738">
      <w:pPr>
        <w:rPr>
          <w:sz w:val="16"/>
        </w:rPr>
      </w:pPr>
      <w:r w:rsidRPr="00E72623">
        <w:rPr>
          <w:rStyle w:val="StyleUnderline"/>
        </w:rPr>
        <w:t xml:space="preserve">Last night, President Trump issued an </w:t>
      </w:r>
      <w:hyperlink r:id="rId392" w:history="1">
        <w:r w:rsidRPr="00E72623">
          <w:rPr>
            <w:rStyle w:val="StyleUnderline"/>
          </w:rPr>
          <w:t>executive order</w:t>
        </w:r>
      </w:hyperlink>
      <w:r w:rsidRPr="00E72623">
        <w:rPr>
          <w:rStyle w:val="StyleUnderline"/>
        </w:rPr>
        <w:t xml:space="preserve"> targeting public benefit programs</w:t>
      </w:r>
      <w:r w:rsidRPr="00E72623">
        <w:rPr>
          <w:sz w:val="16"/>
        </w:rPr>
        <w:t xml:space="preserve">. The executive order requires relevant federal departments (including USDA) to review programmatic regulations and submit a report to the White House identifying opportunities to strengthen work requirements </w:t>
      </w:r>
      <w:r w:rsidRPr="00E72623">
        <w:rPr>
          <w:rStyle w:val="StyleUnderline"/>
        </w:rPr>
        <w:t xml:space="preserve">and tighten eligibility criteria, </w:t>
      </w:r>
      <w:r w:rsidRPr="00E72623">
        <w:rPr>
          <w:sz w:val="16"/>
        </w:rPr>
        <w:t>particularly</w:t>
      </w:r>
      <w:r w:rsidRPr="00E72623">
        <w:rPr>
          <w:rStyle w:val="StyleUnderline"/>
        </w:rPr>
        <w:t xml:space="preserve"> for immigrants</w:t>
      </w:r>
      <w:r w:rsidRPr="00E72623">
        <w:rPr>
          <w:sz w:val="16"/>
        </w:rPr>
        <w:t xml:space="preserve">. The executive order lays out a justification that is rooted in many misconceptions about poverty, taking aim at single mothers and declaring that public benefit programs create dependency on the federal government. USDA Secretary Sonny Perdue </w:t>
      </w:r>
      <w:hyperlink r:id="rId393" w:history="1">
        <w:r w:rsidRPr="00E72623">
          <w:rPr>
            <w:rStyle w:val="Hyperlink"/>
            <w:sz w:val="16"/>
          </w:rPr>
          <w:t>issued a statement</w:t>
        </w:r>
      </w:hyperlink>
      <w:r w:rsidRPr="00E72623">
        <w:rPr>
          <w:sz w:val="16"/>
        </w:rPr>
        <w:t xml:space="preserve"> echoing the White House’s language on dependency. The executive order follows a USDA </w:t>
      </w:r>
      <w:hyperlink r:id="rId394" w:history="1">
        <w:r w:rsidRPr="00E72623">
          <w:rPr>
            <w:rStyle w:val="Hyperlink"/>
            <w:sz w:val="16"/>
          </w:rPr>
          <w:t>comment period</w:t>
        </w:r>
      </w:hyperlink>
      <w:r w:rsidRPr="00E72623">
        <w:rPr>
          <w:sz w:val="16"/>
        </w:rPr>
        <w:t xml:space="preserve"> seeking public input on how to “promote work” in SNAP, as well as the Administration’s grant of a waiver permitting work requirements in </w:t>
      </w:r>
      <w:hyperlink r:id="rId395" w:history="1">
        <w:r w:rsidRPr="00E72623">
          <w:rPr>
            <w:rStyle w:val="Hyperlink"/>
            <w:sz w:val="16"/>
          </w:rPr>
          <w:t>Kentucky's Medicaid</w:t>
        </w:r>
      </w:hyperlink>
      <w:r w:rsidRPr="00E72623">
        <w:rPr>
          <w:sz w:val="16"/>
        </w:rPr>
        <w:t xml:space="preserve"> program. Although the Administration is already signaling that </w:t>
      </w:r>
      <w:hyperlink r:id="rId396" w:history="1">
        <w:r w:rsidRPr="00E72623">
          <w:rPr>
            <w:rStyle w:val="Hyperlink"/>
            <w:sz w:val="16"/>
          </w:rPr>
          <w:t>SNAP and Medicaid</w:t>
        </w:r>
      </w:hyperlink>
      <w:r w:rsidRPr="00E72623">
        <w:rPr>
          <w:sz w:val="16"/>
        </w:rPr>
        <w:t xml:space="preserve"> are the primary focus of this executive order, other programs like WIC must be included in the reports to the White House. Alarmingly, both</w:t>
      </w:r>
      <w:r w:rsidRPr="00E72623">
        <w:rPr>
          <w:rStyle w:val="StyleUnderline"/>
        </w:rPr>
        <w:t xml:space="preserve"> SNAP and Medicaid have stricter requirements on immigrant participation</w:t>
      </w:r>
      <w:r w:rsidRPr="00E72623">
        <w:rPr>
          <w:sz w:val="16"/>
        </w:rPr>
        <w:t xml:space="preserve"> than WIC, and NWA is deeply concerned that </w:t>
      </w:r>
      <w:r w:rsidRPr="00E72623">
        <w:rPr>
          <w:rStyle w:val="StyleUnderline"/>
        </w:rPr>
        <w:t xml:space="preserve">the Administration – in the midst of drafting its long-rumored </w:t>
      </w:r>
      <w:hyperlink r:id="rId397" w:history="1">
        <w:r w:rsidRPr="00E72623">
          <w:rPr>
            <w:rStyle w:val="StyleUnderline"/>
          </w:rPr>
          <w:t>public charge</w:t>
        </w:r>
      </w:hyperlink>
      <w:r w:rsidRPr="00E72623">
        <w:rPr>
          <w:rStyle w:val="StyleUnderline"/>
        </w:rPr>
        <w:t xml:space="preserve"> rule –</w:t>
      </w:r>
      <w:r w:rsidRPr="00E72623">
        <w:rPr>
          <w:sz w:val="16"/>
        </w:rPr>
        <w:t xml:space="preserve"> would </w:t>
      </w:r>
      <w:r w:rsidRPr="00E72623">
        <w:rPr>
          <w:rStyle w:val="StyleUnderline"/>
        </w:rPr>
        <w:t>seek new opportunities to limit immigrant eligibility</w:t>
      </w:r>
      <w:r w:rsidRPr="00E72623">
        <w:rPr>
          <w:sz w:val="16"/>
        </w:rPr>
        <w:t xml:space="preserve">. On the merits, WIC should not be implicated in future reforms given the program’s time-limited, efficient delivery of services to a targeted population, as well as innovative elements of WIC (like breastfeeding peer counselors) that promote self-sufficiency. NWA looks to USDA to highlight WIC’s successes in its report to the White House. NWA will raise concerns with this executive order in ongoing discussions with relevant stakeholders as we work to ensure that WIC services are available for all eligible families. NWA will continue to update members as USDA submits its recommendations and the Administration contemplates further action. Speaker Paul Ryan (R-WI) to Leave Office in January Speaker Paul Ryan (R-WI) announced this morning that he will not seek re-election and will therefore vacate his leadership of House Republicans in January 2019. His speakership lasted for just over three years. </w:t>
      </w:r>
      <w:r w:rsidRPr="00E72623">
        <w:rPr>
          <w:rStyle w:val="StyleUnderline"/>
        </w:rPr>
        <w:t xml:space="preserve">With the Republican majority at stake in the 2018 midterm elections, it is unclear who will assume leadership </w:t>
      </w:r>
      <w:r w:rsidRPr="00E72623">
        <w:rPr>
          <w:sz w:val="16"/>
        </w:rPr>
        <w:t xml:space="preserve">over House Republicans </w:t>
      </w:r>
      <w:r w:rsidRPr="00E72623">
        <w:rPr>
          <w:rStyle w:val="StyleUnderline"/>
        </w:rPr>
        <w:t>in the next Congress</w:t>
      </w:r>
      <w:r w:rsidRPr="00E72623">
        <w:rPr>
          <w:sz w:val="16"/>
        </w:rPr>
        <w:t>. Ryan’s two deputies – House Majority Leader Kevin McCarthy (R-CA) and House Majority Whip Steve Scalise (R-LA) – are both rumored to desire the post.</w:t>
      </w:r>
    </w:p>
    <w:p w:rsidR="00D61738" w:rsidRPr="00D61738" w:rsidRDefault="00D61738" w:rsidP="00D61738"/>
    <w:p w:rsidR="003D49E5" w:rsidRPr="00F933AF" w:rsidRDefault="002F5211" w:rsidP="003D49E5">
      <w:pPr>
        <w:pStyle w:val="Heading2"/>
        <w:rPr>
          <w:rFonts w:cs="Calibri"/>
        </w:rPr>
      </w:pPr>
      <w:r>
        <w:rPr>
          <w:rFonts w:cs="Calibri"/>
        </w:rPr>
        <w:t xml:space="preserve">Link - </w:t>
      </w:r>
      <w:r w:rsidR="003D49E5" w:rsidRPr="00F933AF">
        <w:rPr>
          <w:rFonts w:cs="Calibri"/>
        </w:rPr>
        <w:t>Politics</w:t>
      </w:r>
    </w:p>
    <w:p w:rsidR="003D49E5" w:rsidRPr="00F933AF" w:rsidRDefault="003D49E5" w:rsidP="003D49E5">
      <w:pPr>
        <w:pStyle w:val="Heading3"/>
        <w:rPr>
          <w:rFonts w:cs="Calibri"/>
        </w:rPr>
      </w:pPr>
      <w:r w:rsidRPr="00F933AF">
        <w:rPr>
          <w:rFonts w:cs="Calibri"/>
        </w:rPr>
        <w:t>Plan Unpopular</w:t>
      </w:r>
    </w:p>
    <w:p w:rsidR="003D49E5" w:rsidRPr="00F933AF" w:rsidRDefault="003D49E5" w:rsidP="003D49E5">
      <w:pPr>
        <w:pStyle w:val="Heading4"/>
        <w:rPr>
          <w:rFonts w:cs="Calibri"/>
        </w:rPr>
      </w:pPr>
      <w:r w:rsidRPr="00F933AF">
        <w:rPr>
          <w:rFonts w:cs="Calibri"/>
        </w:rPr>
        <w:t>Trump and republicans support public charge</w:t>
      </w:r>
    </w:p>
    <w:p w:rsidR="003D49E5" w:rsidRPr="00F933AF" w:rsidRDefault="003D49E5" w:rsidP="003D49E5">
      <w:pPr>
        <w:spacing w:after="0"/>
        <w:rPr>
          <w:rFonts w:cs="Calibri"/>
        </w:rPr>
      </w:pPr>
      <w:r w:rsidRPr="00F933AF">
        <w:rPr>
          <w:rStyle w:val="Style13ptBold"/>
          <w:rFonts w:cs="Calibri"/>
        </w:rPr>
        <w:t>Campbell 17</w:t>
      </w:r>
      <w:r w:rsidRPr="00F933AF">
        <w:rPr>
          <w:rFonts w:cs="Calibri"/>
        </w:rPr>
        <w:t xml:space="preserve"> (Alexia, reporter for Vox. Vox, 8-4-2017, “Poor immigrants are the least likely group to use welfare, despite Trump’s claims”) NREM/Lil’ GBN</w:t>
      </w:r>
    </w:p>
    <w:p w:rsidR="003D49E5" w:rsidRPr="00F933AF" w:rsidRDefault="003D49E5" w:rsidP="003D49E5">
      <w:pPr>
        <w:spacing w:after="0"/>
        <w:rPr>
          <w:rFonts w:cs="Calibri"/>
        </w:rPr>
      </w:pPr>
      <w:r w:rsidRPr="00F933AF">
        <w:rPr>
          <w:rFonts w:cs="Calibri"/>
        </w:rPr>
        <w:t>https://www.vox.com/policy-and-politics/2017/8/4/16094684/trump-immigrants-welfare</w:t>
      </w:r>
    </w:p>
    <w:p w:rsidR="003D49E5" w:rsidRPr="00F933AF" w:rsidRDefault="003D49E5" w:rsidP="003D49E5">
      <w:pPr>
        <w:spacing w:after="0"/>
        <w:rPr>
          <w:rFonts w:cs="Calibri"/>
          <w:sz w:val="16"/>
        </w:rPr>
      </w:pPr>
      <w:r w:rsidRPr="00F933AF">
        <w:rPr>
          <w:rFonts w:cs="Calibri"/>
          <w:sz w:val="16"/>
        </w:rPr>
        <w:t xml:space="preserve">The </w:t>
      </w:r>
      <w:r w:rsidRPr="00F933AF">
        <w:rPr>
          <w:rStyle w:val="StyleUnderline"/>
          <w:rFonts w:cs="Calibri"/>
        </w:rPr>
        <w:t>Trump</w:t>
      </w:r>
      <w:r w:rsidRPr="00F933AF">
        <w:rPr>
          <w:rFonts w:cs="Calibri"/>
          <w:sz w:val="16"/>
        </w:rPr>
        <w:t xml:space="preserve"> administration </w:t>
      </w:r>
      <w:r w:rsidRPr="00F933AF">
        <w:rPr>
          <w:rStyle w:val="StyleUnderline"/>
          <w:rFonts w:cs="Calibri"/>
        </w:rPr>
        <w:t>and</w:t>
      </w:r>
      <w:r w:rsidRPr="00F933AF">
        <w:rPr>
          <w:rFonts w:cs="Calibri"/>
          <w:sz w:val="16"/>
        </w:rPr>
        <w:t xml:space="preserve"> several House </w:t>
      </w:r>
      <w:r w:rsidRPr="00F933AF">
        <w:rPr>
          <w:rStyle w:val="Emphasis"/>
          <w:rFonts w:cs="Calibri"/>
        </w:rPr>
        <w:t>Republicans</w:t>
      </w:r>
      <w:r w:rsidRPr="00F933AF">
        <w:rPr>
          <w:rFonts w:cs="Calibri"/>
          <w:sz w:val="16"/>
        </w:rPr>
        <w:t xml:space="preserve"> have </w:t>
      </w:r>
      <w:r w:rsidRPr="00F933AF">
        <w:rPr>
          <w:rStyle w:val="StyleUnderline"/>
          <w:rFonts w:cs="Calibri"/>
        </w:rPr>
        <w:t>made it clear</w:t>
      </w:r>
      <w:r w:rsidRPr="00F933AF">
        <w:rPr>
          <w:rFonts w:cs="Calibri"/>
          <w:sz w:val="16"/>
        </w:rPr>
        <w:t xml:space="preserve"> that </w:t>
      </w:r>
      <w:r w:rsidRPr="00F933AF">
        <w:rPr>
          <w:rStyle w:val="StyleUnderline"/>
          <w:rFonts w:cs="Calibri"/>
        </w:rPr>
        <w:t>poor immigrants are not welcome</w:t>
      </w:r>
      <w:r w:rsidRPr="00F933AF">
        <w:rPr>
          <w:rFonts w:cs="Calibri"/>
          <w:sz w:val="16"/>
        </w:rPr>
        <w:t xml:space="preserve"> in the United States. </w:t>
      </w:r>
      <w:r w:rsidRPr="00F933AF">
        <w:rPr>
          <w:rStyle w:val="StyleUnderline"/>
          <w:rFonts w:cs="Calibri"/>
        </w:rPr>
        <w:t>They blame uneducated, unskilled newcomers for</w:t>
      </w:r>
      <w:r w:rsidRPr="00F933AF">
        <w:rPr>
          <w:rFonts w:cs="Calibri"/>
          <w:sz w:val="16"/>
        </w:rPr>
        <w:t xml:space="preserve"> a host of </w:t>
      </w:r>
      <w:r w:rsidRPr="00F933AF">
        <w:rPr>
          <w:rStyle w:val="StyleUnderline"/>
          <w:rFonts w:cs="Calibri"/>
        </w:rPr>
        <w:t>social and economic problems</w:t>
      </w:r>
      <w:r w:rsidRPr="00F933AF">
        <w:rPr>
          <w:rFonts w:cs="Calibri"/>
          <w:sz w:val="16"/>
        </w:rPr>
        <w:t xml:space="preserve"> — such as taking away blue-collar jobs from Americans and burdening taxpayers. </w:t>
      </w:r>
      <w:r w:rsidRPr="00F933AF">
        <w:rPr>
          <w:rStyle w:val="StyleUnderline"/>
          <w:rFonts w:cs="Calibri"/>
        </w:rPr>
        <w:t xml:space="preserve">And they accuse the current immigration system of letting in immigrants </w:t>
      </w:r>
      <w:r w:rsidRPr="00F933AF">
        <w:rPr>
          <w:rStyle w:val="Emphasis"/>
          <w:rFonts w:cs="Calibri"/>
        </w:rPr>
        <w:t>who mooch off the welfare state</w:t>
      </w:r>
      <w:r w:rsidRPr="00F933AF">
        <w:rPr>
          <w:rFonts w:cs="Calibri"/>
          <w:sz w:val="16"/>
        </w:rPr>
        <w:t xml:space="preserve">. "They're not going to come in and just immediately go and collect welfare," Trump said during a press conference this week. But the idea that immigrants come to America to live off the government is wrong. The vast majority of new immigrants are not eligible for welfare. Even green card holders must wait for years to get most benefits. </w:t>
      </w:r>
      <w:r w:rsidRPr="00F933AF">
        <w:rPr>
          <w:rStyle w:val="StyleUnderline"/>
          <w:rFonts w:cs="Calibri"/>
        </w:rPr>
        <w:t>The United States already rejects applications from potential immigrants who could end up on government assistance</w:t>
      </w:r>
      <w:r w:rsidRPr="00F933AF">
        <w:rPr>
          <w:rFonts w:cs="Calibri"/>
          <w:sz w:val="16"/>
        </w:rPr>
        <w:t xml:space="preserve"> — </w:t>
      </w:r>
      <w:r w:rsidRPr="00F933AF">
        <w:rPr>
          <w:rStyle w:val="StyleUnderline"/>
          <w:rFonts w:cs="Calibri"/>
        </w:rPr>
        <w:t>people who aren't financially stable can't even get tourist visas</w:t>
      </w:r>
      <w:r w:rsidRPr="00F933AF">
        <w:rPr>
          <w:rFonts w:cs="Calibri"/>
          <w:sz w:val="16"/>
        </w:rPr>
        <w:t xml:space="preserve">. And research shows that poor, uneducated immigrants are the least likely group to use welfare. Still, </w:t>
      </w:r>
      <w:r w:rsidRPr="00F933AF">
        <w:rPr>
          <w:rStyle w:val="StyleUnderline"/>
          <w:rFonts w:cs="Calibri"/>
        </w:rPr>
        <w:t>the RAISE Act, introduced</w:t>
      </w:r>
      <w:r w:rsidRPr="00F933AF">
        <w:rPr>
          <w:rFonts w:cs="Calibri"/>
          <w:sz w:val="16"/>
        </w:rPr>
        <w:t xml:space="preserve"> this week </w:t>
      </w:r>
      <w:r w:rsidRPr="00F933AF">
        <w:rPr>
          <w:rStyle w:val="StyleUnderline"/>
          <w:rFonts w:cs="Calibri"/>
        </w:rPr>
        <w:t>by</w:t>
      </w:r>
      <w:r w:rsidRPr="00F933AF">
        <w:rPr>
          <w:rFonts w:cs="Calibri"/>
          <w:sz w:val="16"/>
        </w:rPr>
        <w:t xml:space="preserve"> two House </w:t>
      </w:r>
      <w:r w:rsidRPr="00F933AF">
        <w:rPr>
          <w:rStyle w:val="StyleUnderline"/>
          <w:rFonts w:cs="Calibri"/>
        </w:rPr>
        <w:t>Republicans, would</w:t>
      </w:r>
      <w:r w:rsidRPr="00F933AF">
        <w:rPr>
          <w:rFonts w:cs="Calibri"/>
          <w:sz w:val="16"/>
        </w:rPr>
        <w:t xml:space="preserve"> slash the flow of legal immigration and </w:t>
      </w:r>
      <w:r w:rsidRPr="00F933AF">
        <w:rPr>
          <w:rStyle w:val="StyleUnderline"/>
          <w:rFonts w:cs="Calibri"/>
        </w:rPr>
        <w:t xml:space="preserve">favor those who can "stand on their own two feet, and pay taxes, and </w:t>
      </w:r>
      <w:r w:rsidRPr="00F933AF">
        <w:rPr>
          <w:rStyle w:val="Emphasis"/>
          <w:rFonts w:cs="Calibri"/>
        </w:rPr>
        <w:t>not receive welfare</w:t>
      </w:r>
      <w:r w:rsidRPr="00F933AF">
        <w:rPr>
          <w:rFonts w:cs="Calibri"/>
          <w:sz w:val="16"/>
        </w:rPr>
        <w:t xml:space="preserve">." It would also cap the number of refugees allowed into the country, and would prioritize high-skilled, affluent immigrants who speak English. To garner support for such a measure, the White House made several false claims about immigrants and their impact on the welfare system: "The RAISE Act </w:t>
      </w:r>
      <w:r w:rsidRPr="00F933AF">
        <w:rPr>
          <w:rStyle w:val="StyleUnderline"/>
          <w:rFonts w:cs="Calibri"/>
        </w:rPr>
        <w:t>prevents new migrants and new immigrants from collecting welfare</w:t>
      </w:r>
      <w:r w:rsidRPr="00F933AF">
        <w:rPr>
          <w:rFonts w:cs="Calibri"/>
          <w:sz w:val="16"/>
        </w:rPr>
        <w:t xml:space="preserve"> … they're not going to come in and just immediately go and collect welfare." —President Donald Trump The new bill doesn't do much more than current laws do to prevent immigrants from collecting welfare — in large part because it's actually quite hard for immigrants to get public assistance. Depending on the state, undocumented immigrants, DACA immigrants (a.k.a. DREAMers), H-1B workers, and other temporary workers can immediately apply for food assistance available for pregnant women, and in most states, free or reduced-price lunches for kids in school are provided regardless of immigration status. But these </w:t>
      </w:r>
      <w:r w:rsidRPr="00F933AF">
        <w:rPr>
          <w:rStyle w:val="StyleUnderline"/>
          <w:rFonts w:cs="Calibri"/>
        </w:rPr>
        <w:t>immigrants do not qualify for the vast majority of public benefits</w:t>
      </w:r>
      <w:r w:rsidRPr="00F933AF">
        <w:rPr>
          <w:rFonts w:cs="Calibri"/>
          <w:sz w:val="16"/>
        </w:rPr>
        <w:t xml:space="preserve"> — </w:t>
      </w:r>
      <w:r w:rsidRPr="00F933AF">
        <w:rPr>
          <w:rStyle w:val="StyleUnderline"/>
          <w:rFonts w:cs="Calibri"/>
        </w:rPr>
        <w:t>including food stamps, Social Security, Medicaid, and Medicare.</w:t>
      </w:r>
      <w:r w:rsidRPr="00F933AF">
        <w:rPr>
          <w:rFonts w:cs="Calibri"/>
          <w:sz w:val="16"/>
        </w:rPr>
        <w:t xml:space="preserve"> That’s true even though undocumented immigrants contribute billions of dollars to these programs. Even green card holders, who are </w:t>
      </w:r>
      <w:r w:rsidRPr="00F933AF">
        <w:rPr>
          <w:rStyle w:val="StyleUnderline"/>
          <w:rFonts w:cs="Calibri"/>
        </w:rPr>
        <w:t xml:space="preserve">permanent residents of the US, have to wait five years to qualify for nearly all social welfare programs. </w:t>
      </w:r>
      <w:r w:rsidRPr="00F933AF">
        <w:rPr>
          <w:rFonts w:cs="Calibri"/>
          <w:sz w:val="16"/>
        </w:rPr>
        <w:t xml:space="preserve">There are a few exceptions, including immigrants who served in the US military or are disabled. The only groups of newcomers who can enter the United States and immediately receive social assistance are refugees and asylum seekers. Even then, some benefits —like cash assistance — require refugees to work to continue receiving the benefit. "Every year we issue a million green cards to foreign nationals from all the countries of the world, but we do so without regard to … whether they can pay their own way or be reliant on welfare." — Stephen Miller, senior adviser to the president </w:t>
      </w:r>
      <w:proofErr w:type="gramStart"/>
      <w:r w:rsidRPr="00F933AF">
        <w:rPr>
          <w:rFonts w:cs="Calibri"/>
          <w:sz w:val="16"/>
        </w:rPr>
        <w:t>This</w:t>
      </w:r>
      <w:proofErr w:type="gramEnd"/>
      <w:r w:rsidRPr="00F933AF">
        <w:rPr>
          <w:rFonts w:cs="Calibri"/>
          <w:sz w:val="16"/>
        </w:rPr>
        <w:t xml:space="preserve"> is blatantly false. Financial stability is a key factor when US Citizenship and Immigration Services makes decisions about awarding green cards. As part of the process, </w:t>
      </w:r>
      <w:r w:rsidRPr="00F933AF">
        <w:rPr>
          <w:rStyle w:val="StyleUnderline"/>
          <w:rFonts w:cs="Calibri"/>
        </w:rPr>
        <w:t>USCIS staff must determine</w:t>
      </w:r>
      <w:r w:rsidRPr="00F933AF">
        <w:rPr>
          <w:rFonts w:cs="Calibri"/>
          <w:sz w:val="16"/>
        </w:rPr>
        <w:t xml:space="preserve"> whether or not a green card applicant will become a </w:t>
      </w:r>
      <w:r w:rsidRPr="00F933AF">
        <w:rPr>
          <w:rStyle w:val="StyleUnderline"/>
          <w:rFonts w:cs="Calibri"/>
        </w:rPr>
        <w:t>public charge</w:t>
      </w:r>
      <w:r w:rsidRPr="00F933AF">
        <w:rPr>
          <w:rFonts w:cs="Calibri"/>
          <w:sz w:val="16"/>
        </w:rPr>
        <w:t xml:space="preserve"> — someone who is primarily dependent on the government to survive. If </w:t>
      </w:r>
      <w:r w:rsidRPr="00F933AF">
        <w:rPr>
          <w:rStyle w:val="StyleUnderline"/>
          <w:rFonts w:cs="Calibri"/>
        </w:rPr>
        <w:t>they are considered likely to become a public charge, they will be denied a green card</w:t>
      </w:r>
      <w:r w:rsidRPr="00F933AF">
        <w:rPr>
          <w:rFonts w:cs="Calibri"/>
          <w:sz w:val="16"/>
        </w:rPr>
        <w:t xml:space="preserve">. The </w:t>
      </w:r>
      <w:r w:rsidRPr="00F933AF">
        <w:rPr>
          <w:rStyle w:val="StyleUnderline"/>
          <w:rFonts w:cs="Calibri"/>
        </w:rPr>
        <w:t>Trump</w:t>
      </w:r>
      <w:r w:rsidRPr="00F933AF">
        <w:rPr>
          <w:rFonts w:cs="Calibri"/>
          <w:sz w:val="16"/>
        </w:rPr>
        <w:t xml:space="preserve"> administration also </w:t>
      </w:r>
      <w:r w:rsidRPr="00F933AF">
        <w:rPr>
          <w:rStyle w:val="Emphasis"/>
          <w:rFonts w:cs="Calibri"/>
        </w:rPr>
        <w:t>blasted the current system</w:t>
      </w:r>
      <w:r w:rsidRPr="00F933AF">
        <w:rPr>
          <w:rFonts w:cs="Calibri"/>
          <w:sz w:val="16"/>
        </w:rPr>
        <w:t xml:space="preserve"> for giving a majority of green cards to people based on their family ties to the United States, instead of focusing on their skill level. Trump implied that letting in relatives is a burden to American taxpayers who may have to support them. But they are not. As part of the petition to get a relative a green card, the US-based immigrants must show that they will be financially responsible for their family member. It's a pretty strict requirement. Whoever petitions for the visa has to report their own income and assets. If the amount isn't enough to keep the family out of poverty, the petition will be rejected. </w:t>
      </w:r>
    </w:p>
    <w:p w:rsidR="003D49E5" w:rsidRPr="00F933AF" w:rsidRDefault="003D49E5" w:rsidP="003D49E5">
      <w:pPr>
        <w:spacing w:after="0"/>
        <w:rPr>
          <w:rFonts w:cs="Calibri"/>
          <w:sz w:val="16"/>
        </w:rPr>
      </w:pPr>
    </w:p>
    <w:p w:rsidR="003D49E5" w:rsidRPr="00F933AF" w:rsidRDefault="003D49E5" w:rsidP="003D49E5">
      <w:pPr>
        <w:spacing w:after="0"/>
        <w:rPr>
          <w:rFonts w:cs="Calibri"/>
          <w:sz w:val="16"/>
        </w:rPr>
      </w:pPr>
    </w:p>
    <w:p w:rsidR="003D49E5" w:rsidRPr="00F933AF" w:rsidRDefault="003D49E5" w:rsidP="003D49E5">
      <w:pPr>
        <w:pStyle w:val="Heading4"/>
        <w:rPr>
          <w:rFonts w:cs="Calibri"/>
        </w:rPr>
      </w:pPr>
      <w:r w:rsidRPr="00F933AF">
        <w:rPr>
          <w:rFonts w:cs="Calibri"/>
        </w:rPr>
        <w:t>Republicans empirically support it</w:t>
      </w:r>
    </w:p>
    <w:p w:rsidR="003D49E5" w:rsidRPr="00F933AF" w:rsidRDefault="003D49E5" w:rsidP="003D49E5">
      <w:pPr>
        <w:spacing w:after="0"/>
        <w:rPr>
          <w:rFonts w:cs="Calibri"/>
        </w:rPr>
      </w:pPr>
      <w:r w:rsidRPr="00F933AF">
        <w:rPr>
          <w:rStyle w:val="Style13ptBold"/>
          <w:rFonts w:cs="Calibri"/>
        </w:rPr>
        <w:t>Green 17</w:t>
      </w:r>
      <w:r w:rsidRPr="00F933AF">
        <w:rPr>
          <w:rFonts w:cs="Calibri"/>
        </w:rPr>
        <w:t xml:space="preserve"> (Emma, staff writer </w:t>
      </w:r>
      <w:proofErr w:type="gramStart"/>
      <w:r w:rsidRPr="00F933AF">
        <w:rPr>
          <w:rFonts w:cs="Calibri"/>
        </w:rPr>
        <w:t>at ​The</w:t>
      </w:r>
      <w:proofErr w:type="gramEnd"/>
      <w:r w:rsidRPr="00F933AF">
        <w:rPr>
          <w:rFonts w:cs="Calibri"/>
        </w:rPr>
        <w:t xml:space="preserve"> Atlantic. The Atlantic, 2-2-2017. “First, They Excluded the Irish”) NREM/Lil’ GBN</w:t>
      </w:r>
    </w:p>
    <w:p w:rsidR="003D49E5" w:rsidRPr="00F933AF" w:rsidRDefault="003D49E5" w:rsidP="003D49E5">
      <w:pPr>
        <w:spacing w:after="0"/>
        <w:rPr>
          <w:rFonts w:cs="Calibri"/>
        </w:rPr>
      </w:pPr>
      <w:r w:rsidRPr="00F933AF">
        <w:rPr>
          <w:rFonts w:cs="Calibri"/>
        </w:rPr>
        <w:t>https://www.theatlantic.com/politics/archive/2017/02/trump-poor-immigrants-public-charge/515397/</w:t>
      </w:r>
    </w:p>
    <w:p w:rsidR="003D49E5" w:rsidRPr="00F933AF" w:rsidRDefault="003D49E5" w:rsidP="003D49E5">
      <w:pPr>
        <w:spacing w:after="0"/>
        <w:rPr>
          <w:rFonts w:cs="Calibri"/>
          <w:sz w:val="16"/>
        </w:rPr>
      </w:pPr>
      <w:r w:rsidRPr="00F933AF">
        <w:rPr>
          <w:rFonts w:cs="Calibri"/>
          <w:sz w:val="16"/>
        </w:rPr>
        <w:t xml:space="preserve">A new </w:t>
      </w:r>
      <w:r w:rsidRPr="00F933AF">
        <w:rPr>
          <w:rStyle w:val="StyleUnderline"/>
          <w:rFonts w:cs="Calibri"/>
        </w:rPr>
        <w:t>draft executive order is floating around</w:t>
      </w:r>
      <w:r w:rsidRPr="00F933AF">
        <w:rPr>
          <w:rFonts w:cs="Calibri"/>
          <w:sz w:val="16"/>
        </w:rPr>
        <w:t xml:space="preserve"> Washington. On Tuesday, The Washington Post reported that the </w:t>
      </w:r>
      <w:r w:rsidRPr="00F933AF">
        <w:rPr>
          <w:rStyle w:val="StyleUnderline"/>
          <w:rFonts w:cs="Calibri"/>
        </w:rPr>
        <w:t>Trump</w:t>
      </w:r>
      <w:r w:rsidRPr="00F933AF">
        <w:rPr>
          <w:rFonts w:cs="Calibri"/>
          <w:sz w:val="16"/>
        </w:rPr>
        <w:t xml:space="preserve"> administration may be </w:t>
      </w:r>
      <w:r w:rsidRPr="00F933AF">
        <w:rPr>
          <w:rStyle w:val="StyleUnderline"/>
          <w:rFonts w:cs="Calibri"/>
        </w:rPr>
        <w:t>considering a measure that would “deny admission to any alien who is likely to become a public charge</w:t>
      </w:r>
      <w:r w:rsidRPr="00F933AF">
        <w:rPr>
          <w:rFonts w:cs="Calibri"/>
          <w:sz w:val="16"/>
        </w:rPr>
        <w:t xml:space="preserve">,” meaning they would need benefits like food stamps, housing assistance, or Medicaid. Current law already allows immigration officers to deny people admission if they may become dependent on these programs, but in 1999, the government issued a guidance narrowing the scope and applicability of this clause. In recent years, </w:t>
      </w:r>
      <w:r w:rsidRPr="00F933AF">
        <w:rPr>
          <w:rStyle w:val="Emphasis"/>
          <w:rFonts w:cs="Calibri"/>
        </w:rPr>
        <w:t>Republican</w:t>
      </w:r>
      <w:r w:rsidRPr="00F933AF">
        <w:rPr>
          <w:rFonts w:cs="Calibri"/>
          <w:sz w:val="16"/>
        </w:rPr>
        <w:t xml:space="preserve"> </w:t>
      </w:r>
      <w:r w:rsidRPr="00F933AF">
        <w:rPr>
          <w:rStyle w:val="Emphasis"/>
          <w:rFonts w:cs="Calibri"/>
        </w:rPr>
        <w:t>politicians</w:t>
      </w:r>
      <w:r w:rsidRPr="00F933AF">
        <w:rPr>
          <w:rFonts w:cs="Calibri"/>
          <w:sz w:val="16"/>
        </w:rPr>
        <w:t xml:space="preserve"> </w:t>
      </w:r>
      <w:r w:rsidRPr="00F933AF">
        <w:rPr>
          <w:rStyle w:val="StyleUnderline"/>
          <w:rFonts w:cs="Calibri"/>
        </w:rPr>
        <w:t>have</w:t>
      </w:r>
      <w:r w:rsidRPr="00F933AF">
        <w:rPr>
          <w:rFonts w:cs="Calibri"/>
          <w:sz w:val="16"/>
        </w:rPr>
        <w:t xml:space="preserve"> frequently </w:t>
      </w:r>
      <w:r w:rsidRPr="00F933AF">
        <w:rPr>
          <w:rStyle w:val="StyleUnderline"/>
          <w:rFonts w:cs="Calibri"/>
        </w:rPr>
        <w:t>accused</w:t>
      </w:r>
      <w:r w:rsidRPr="00F933AF">
        <w:rPr>
          <w:rFonts w:cs="Calibri"/>
          <w:sz w:val="16"/>
        </w:rPr>
        <w:t xml:space="preserve"> the </w:t>
      </w:r>
      <w:r w:rsidRPr="00F933AF">
        <w:rPr>
          <w:rStyle w:val="StyleUnderline"/>
          <w:rFonts w:cs="Calibri"/>
        </w:rPr>
        <w:t>Obama</w:t>
      </w:r>
      <w:r w:rsidRPr="00F933AF">
        <w:rPr>
          <w:rFonts w:cs="Calibri"/>
          <w:sz w:val="16"/>
        </w:rPr>
        <w:t xml:space="preserve"> administration </w:t>
      </w:r>
      <w:r w:rsidRPr="00F933AF">
        <w:rPr>
          <w:rStyle w:val="StyleUnderline"/>
          <w:rFonts w:cs="Calibri"/>
        </w:rPr>
        <w:t>of not enforcing the measure</w:t>
      </w:r>
      <w:r w:rsidRPr="00F933AF">
        <w:rPr>
          <w:rFonts w:cs="Calibri"/>
          <w:sz w:val="16"/>
        </w:rPr>
        <w:t xml:space="preserve"> at all.</w:t>
      </w:r>
    </w:p>
    <w:p w:rsidR="003D49E5" w:rsidRPr="00F933AF" w:rsidRDefault="003D49E5" w:rsidP="003D49E5">
      <w:pPr>
        <w:spacing w:after="0"/>
        <w:rPr>
          <w:rFonts w:cs="Calibri"/>
          <w:sz w:val="16"/>
        </w:rPr>
      </w:pPr>
    </w:p>
    <w:p w:rsidR="003D49E5" w:rsidRPr="00F933AF" w:rsidRDefault="003D49E5" w:rsidP="003D49E5">
      <w:pPr>
        <w:spacing w:after="0"/>
        <w:rPr>
          <w:rStyle w:val="StyleUnderline"/>
          <w:rFonts w:cs="Calibri"/>
        </w:rPr>
      </w:pPr>
    </w:p>
    <w:p w:rsidR="003D49E5" w:rsidRPr="00F933AF" w:rsidRDefault="003D49E5" w:rsidP="003D49E5">
      <w:pPr>
        <w:pStyle w:val="Heading4"/>
        <w:rPr>
          <w:rStyle w:val="StyleUnderline"/>
          <w:rFonts w:cs="Calibri"/>
          <w:sz w:val="26"/>
          <w:u w:val="none"/>
        </w:rPr>
      </w:pPr>
      <w:r w:rsidRPr="00F933AF">
        <w:rPr>
          <w:rStyle w:val="StyleUnderline"/>
          <w:rFonts w:cs="Calibri"/>
          <w:sz w:val="26"/>
          <w:u w:val="none"/>
        </w:rPr>
        <w:t>Immigration makes hyper-partisanship inevitable</w:t>
      </w:r>
    </w:p>
    <w:p w:rsidR="003D49E5" w:rsidRPr="00F933AF" w:rsidRDefault="003D49E5" w:rsidP="003D49E5">
      <w:pPr>
        <w:spacing w:after="0"/>
        <w:rPr>
          <w:rFonts w:cs="Calibri"/>
        </w:rPr>
      </w:pPr>
      <w:r w:rsidRPr="00F933AF">
        <w:rPr>
          <w:rStyle w:val="Style13ptBold"/>
          <w:rFonts w:cs="Calibri"/>
        </w:rPr>
        <w:t>PIL 1-31</w:t>
      </w:r>
      <w:r w:rsidRPr="00F933AF">
        <w:rPr>
          <w:rFonts w:cs="Calibri"/>
        </w:rPr>
        <w:t xml:space="preserve"> (Powell Immigration Law, award winning law firm focused on immigration. 1-31-2018, “The White House Immigration Framework and its Implications”) NREM/Lil’ GBN</w:t>
      </w:r>
    </w:p>
    <w:p w:rsidR="003D49E5" w:rsidRPr="00F933AF" w:rsidRDefault="003D49E5" w:rsidP="003D49E5">
      <w:pPr>
        <w:spacing w:after="0"/>
        <w:rPr>
          <w:rFonts w:cs="Calibri"/>
        </w:rPr>
      </w:pPr>
      <w:r w:rsidRPr="00F933AF">
        <w:rPr>
          <w:rFonts w:cs="Calibri"/>
        </w:rPr>
        <w:t>https://www.calivisa.com/immigration-law-blog/white-house-immigration-framework-daca-implications</w:t>
      </w:r>
    </w:p>
    <w:p w:rsidR="003D49E5" w:rsidRPr="00F933AF" w:rsidRDefault="003D49E5" w:rsidP="003D49E5">
      <w:pPr>
        <w:spacing w:after="0"/>
        <w:rPr>
          <w:rStyle w:val="StyleUnderline"/>
          <w:rFonts w:cs="Calibri"/>
        </w:rPr>
      </w:pPr>
      <w:r w:rsidRPr="00F933AF">
        <w:rPr>
          <w:rStyle w:val="StyleUnderline"/>
          <w:rFonts w:cs="Calibri"/>
        </w:rPr>
        <w:t>The framework asserts</w:t>
      </w:r>
      <w:r w:rsidRPr="00F933AF">
        <w:rPr>
          <w:rFonts w:cs="Calibri"/>
          <w:sz w:val="16"/>
        </w:rPr>
        <w:t xml:space="preserve"> such </w:t>
      </w:r>
      <w:r w:rsidRPr="00F933AF">
        <w:rPr>
          <w:rStyle w:val="StyleUnderline"/>
          <w:rFonts w:cs="Calibri"/>
        </w:rPr>
        <w:t>caveats as</w:t>
      </w:r>
      <w:r w:rsidRPr="00F933AF">
        <w:rPr>
          <w:rFonts w:cs="Calibri"/>
          <w:sz w:val="16"/>
        </w:rPr>
        <w:t xml:space="preserve"> "requirements for work, education and good moral character", "eligibility requirements to mitigate fraud" and that the proffered status is "subject to revocation for criminal conduct or public safety and national security concerns, </w:t>
      </w:r>
      <w:r w:rsidRPr="00F933AF">
        <w:rPr>
          <w:rStyle w:val="Emphasis"/>
          <w:rFonts w:cs="Calibri"/>
        </w:rPr>
        <w:t>public charge</w:t>
      </w:r>
      <w:r w:rsidRPr="00F933AF">
        <w:rPr>
          <w:rFonts w:cs="Calibri"/>
          <w:sz w:val="16"/>
        </w:rPr>
        <w:t xml:space="preserve">, fraud, etc", but it remains that this would be a definitive win for Dreamers as a whole. However, </w:t>
      </w:r>
      <w:r w:rsidRPr="00F933AF">
        <w:rPr>
          <w:rStyle w:val="StyleUnderline"/>
          <w:rFonts w:cs="Calibri"/>
        </w:rPr>
        <w:t>the framework designates the majority of the documents space to demands anathema to most Democrats and immigration supporters, making it highly unlikely that any bill of this kind will ever clear the Senate floor</w:t>
      </w:r>
      <w:r w:rsidRPr="00F933AF">
        <w:rPr>
          <w:rFonts w:cs="Calibri"/>
          <w:sz w:val="16"/>
        </w:rPr>
        <w:t xml:space="preserve">. DEAD ON ARRIVAL: A GRAB BAG FOR IMMIGRATION HARDLINERS President Trump's Wall and Measures for Clamping Down on Illegal Immigration The substantive majority of the document and the first item broadly addressed in it is increased border security. While Democrats have long insisted that additional measures to bolster the effectiveness of the nation's border security are certainly on the table, </w:t>
      </w:r>
      <w:r w:rsidRPr="00F933AF">
        <w:rPr>
          <w:rStyle w:val="StyleUnderline"/>
          <w:rFonts w:cs="Calibri"/>
        </w:rPr>
        <w:t>what follows in the document is far too outrageous for the average Democrat to possibly stomach</w:t>
      </w:r>
      <w:r w:rsidRPr="00F933AF">
        <w:rPr>
          <w:rFonts w:cs="Calibri"/>
          <w:sz w:val="16"/>
        </w:rPr>
        <w:t xml:space="preserve">. In stating its believed necessity that the Department of Homeland Security (DHS) be given the means to effectively curb and deter illegal immigration, the framework offers an extensive list of concessions required for any immigration deal to be accepted by the administration. These include: A $25 billion fund for a U.S.-Mexico border wall as well as improvements for northern border security. Appropriations for hiring additional DHS personnel, Immigration and Customs Enforcement (ICE) attorneys, immigration judges, prosecutors and other such law enforcement. Reforms to the hiring and pay of immigration enforcement personnel to attract and retain higher-skilled individuals. The ending of the catch-and-release policy as well as the closure of legal loopholes. Ensuring the prompt removal of those crossing the border illegally in addition to undocumented criminals and gang members. Utilize expedited removal procedures to deter visa overstays. Prevent synthetic drugs such as fentanyl from entering the U.S. Immigration court reforms for the improvement of efficiency and prevention of fraud and abuse. Many of these items (though the means of effectively addressing some remain unclear) would be acceptable to Democrats at large in exchange for a DACA fix, but as a whole it is virtually inconceivable that Republicans could pull away enough of the opposing party to secure a majority in the face of such extravagant demands. It is also interesting that instead of focusing on measures proven to increase border security such as investment in more sophisticated border monitoring technology, it instead focuses on personnel and the procedures for dealing with undocumented immigrants already being detained. Most outlandish is that this long list should include Trump's border wall, as it was already deeply shocking to many that Senate Minority Leader Schumer ever offered it at all even as he was approaching the precipice of a government shutdown, the offer now supposedly being off the table. Coupling such a substantial amount of funds for what many consider an ineffective as well as offensive means of confronting undocumented migrants with an additional immigration enforcement package of such magnitude is sheer lunacy if one actually expects any achievable deal to be reached in Congress. </w:t>
      </w:r>
      <w:r w:rsidRPr="00F933AF">
        <w:rPr>
          <w:rStyle w:val="Emphasis"/>
          <w:rFonts w:cs="Calibri"/>
        </w:rPr>
        <w:t>Cuts to Legal Immigration</w:t>
      </w:r>
      <w:r w:rsidRPr="00F933AF">
        <w:rPr>
          <w:rFonts w:cs="Calibri"/>
          <w:sz w:val="16"/>
        </w:rPr>
        <w:t xml:space="preserve">: "Chain Migration" and the Diversity Visa Lottery </w:t>
      </w:r>
      <w:proofErr w:type="gramStart"/>
      <w:r w:rsidRPr="00F933AF">
        <w:rPr>
          <w:rFonts w:cs="Calibri"/>
          <w:sz w:val="16"/>
        </w:rPr>
        <w:t>The</w:t>
      </w:r>
      <w:proofErr w:type="gramEnd"/>
      <w:r w:rsidRPr="00F933AF">
        <w:rPr>
          <w:rFonts w:cs="Calibri"/>
          <w:sz w:val="16"/>
        </w:rPr>
        <w:t xml:space="preserve"> current </w:t>
      </w:r>
      <w:r w:rsidRPr="00F933AF">
        <w:rPr>
          <w:rStyle w:val="StyleUnderline"/>
          <w:rFonts w:cs="Calibri"/>
        </w:rPr>
        <w:t>administration has never been shy about its opposition to certain programs allowing for prospective immigrants to legally come to the U.S., and it is unsurprisingly seizing upon the current predicament in an attempt to obtain some long exhorted policy goals</w:t>
      </w:r>
      <w:r w:rsidRPr="00F933AF">
        <w:rPr>
          <w:rFonts w:cs="Calibri"/>
          <w:sz w:val="16"/>
        </w:rPr>
        <w:t xml:space="preserve">. First the framework explains its intention to "protect the nuclear family," something it seeks to accomplish through the limiting of family sponsored visas to spouses and minor children of U.S. citizens and lawful permanent residents (LPRs). This would bring an end to the so-called "chain-migration" issue that has often been a target of the administration's derision, though the chain-migration theory has been been consistently debunked as a myth in practice. It results that meeting the criteria would attack the American value of family reunification by eliminating visa categories for adult children, siblings and parents, in addition to hampering the U.S. economic growth that these immigrant demonstrably provide. Second, the framework seeks another policy goal in the elimination of the diversity visa lottery, a program that annually allots 50 thousand visas at random to prospective foreign nationals of countries with low rates of immigration to the U.S. Stating that the program is "riddled with fraud and abuse" and that it doesn't bring into consideration the benefits of more focused visa selection through merit and assurance of public safety, the framework intends that the visas instead be reallocated to reduce the current family-based and high-skilled employment backlogs. How this would be pursued and effectively realized remains obscure. If these above demands were to be met, it is estimated that there would be a 50% decrease in annually issued green cards, a draconian cut to legal immigration as we know it. The Legislative Turmoil Continues It comes as no shock that, </w:t>
      </w:r>
      <w:r w:rsidRPr="00F933AF">
        <w:rPr>
          <w:rStyle w:val="StyleUnderline"/>
          <w:rFonts w:cs="Calibri"/>
        </w:rPr>
        <w:t xml:space="preserve">save for a few Republicans that see such a comprehensive DACA fix as well worth the plethora of gains in satisfying hardliner anti-immigration policy goals, the framework is an immediate </w:t>
      </w:r>
      <w:r w:rsidRPr="00F933AF">
        <w:rPr>
          <w:rStyle w:val="Emphasis"/>
          <w:rFonts w:cs="Calibri"/>
        </w:rPr>
        <w:t>nonstarter for Democrats as well as Republicans</w:t>
      </w:r>
      <w:r w:rsidRPr="00F933AF">
        <w:rPr>
          <w:rStyle w:val="StyleUnderline"/>
          <w:rFonts w:cs="Calibri"/>
        </w:rPr>
        <w:t xml:space="preserve"> that decry any form of supposed amnesty</w:t>
      </w:r>
      <w:r w:rsidRPr="00F933AF">
        <w:rPr>
          <w:rFonts w:cs="Calibri"/>
          <w:sz w:val="16"/>
        </w:rPr>
        <w:t xml:space="preserve"> for illegals. The White House's framework only comprising a single page, much of the language and procedures are nebulously vague. However, it does appear that the provisions desired would result in a notable increase in officers' authority to detain immigrant adults and children for longer time periods. Furthermore, it may also lead to a greater difficulty for asylum seekers pursuing protection due to higher standards, an increased number of detainees awaiting the procession of their cases or as a result of the need for immigration judges to process an exacerbated caseload too quickly. Simply put, this is a set of demands whose implications are proving unpalatable for the majority of Democrats needed for any government breakthrough. With the next government funding deadline swiftly approaching, more gridlock awaits. </w:t>
      </w:r>
      <w:r w:rsidRPr="00F933AF">
        <w:rPr>
          <w:rStyle w:val="StyleUnderline"/>
          <w:rFonts w:cs="Calibri"/>
        </w:rPr>
        <w:t xml:space="preserve">Consequently, the future security of Dreamers remains distressingly bogged in the </w:t>
      </w:r>
      <w:r w:rsidRPr="00F933AF">
        <w:rPr>
          <w:rStyle w:val="Emphasis"/>
          <w:rFonts w:cs="Calibri"/>
        </w:rPr>
        <w:t>hyper-partisanship</w:t>
      </w:r>
      <w:r w:rsidRPr="00F933AF">
        <w:rPr>
          <w:rStyle w:val="StyleUnderline"/>
          <w:rFonts w:cs="Calibri"/>
        </w:rPr>
        <w:t xml:space="preserve"> we have grown so unfortunately accustomed to. </w:t>
      </w:r>
    </w:p>
    <w:p w:rsidR="003D49E5" w:rsidRPr="00F933AF" w:rsidRDefault="003D49E5" w:rsidP="003D49E5">
      <w:pPr>
        <w:spacing w:after="0"/>
        <w:rPr>
          <w:rStyle w:val="StyleUnderline"/>
          <w:rFonts w:cs="Calibri"/>
        </w:rPr>
      </w:pPr>
    </w:p>
    <w:p w:rsidR="003D49E5" w:rsidRPr="00F933AF" w:rsidRDefault="003D49E5" w:rsidP="003D49E5">
      <w:pPr>
        <w:pStyle w:val="Heading4"/>
        <w:rPr>
          <w:rStyle w:val="StyleUnderline"/>
          <w:rFonts w:cs="Calibri"/>
          <w:sz w:val="26"/>
          <w:u w:val="none"/>
        </w:rPr>
      </w:pPr>
      <w:r w:rsidRPr="00F933AF">
        <w:rPr>
          <w:rStyle w:val="StyleUnderline"/>
          <w:rFonts w:cs="Calibri"/>
          <w:sz w:val="26"/>
          <w:u w:val="none"/>
        </w:rPr>
        <w:t>Congress wants to know immigrants are “independent”</w:t>
      </w:r>
    </w:p>
    <w:p w:rsidR="003D49E5" w:rsidRPr="00F933AF" w:rsidRDefault="003D49E5" w:rsidP="003D49E5">
      <w:pPr>
        <w:spacing w:after="0"/>
        <w:rPr>
          <w:rFonts w:cs="Calibri"/>
        </w:rPr>
      </w:pPr>
      <w:r w:rsidRPr="00F933AF">
        <w:rPr>
          <w:rStyle w:val="Style13ptBold"/>
          <w:rFonts w:cs="Calibri"/>
        </w:rPr>
        <w:t>CRS 17</w:t>
      </w:r>
      <w:r w:rsidRPr="00F933AF">
        <w:rPr>
          <w:rFonts w:cs="Calibri"/>
        </w:rPr>
        <w:t xml:space="preserve"> (Congressional Research Service, congress’s super dope and qualified think tank that provides information on highly controversial debates. 2-6-2017, EveryCRSReport, “Public Charge Grounds of Inadmissibility and Deportability: Legal Overview”) NREM/Lil’ GBN</w:t>
      </w:r>
    </w:p>
    <w:p w:rsidR="003D49E5" w:rsidRPr="00F933AF" w:rsidRDefault="003D49E5" w:rsidP="003D49E5">
      <w:pPr>
        <w:spacing w:after="0"/>
        <w:rPr>
          <w:rFonts w:cs="Calibri"/>
        </w:rPr>
      </w:pPr>
      <w:r w:rsidRPr="00F933AF">
        <w:rPr>
          <w:rFonts w:cs="Calibri"/>
        </w:rPr>
        <w:t>https://www.everycrsreport.com/reports/R43220.html</w:t>
      </w:r>
    </w:p>
    <w:p w:rsidR="003D49E5" w:rsidRPr="00F933AF" w:rsidRDefault="003D49E5" w:rsidP="003D49E5">
      <w:pPr>
        <w:rPr>
          <w:rStyle w:val="StyleUnderline"/>
          <w:rFonts w:cs="Calibri"/>
        </w:rPr>
      </w:pPr>
      <w:r w:rsidRPr="00F933AF">
        <w:rPr>
          <w:rStyle w:val="StyleUnderline"/>
          <w:rFonts w:cs="Calibri"/>
        </w:rPr>
        <w:t>Congress</w:t>
      </w:r>
      <w:r w:rsidRPr="00F933AF">
        <w:rPr>
          <w:rFonts w:cs="Calibri"/>
          <w:sz w:val="16"/>
        </w:rPr>
        <w:t xml:space="preserve"> has long sought to </w:t>
      </w:r>
      <w:r w:rsidRPr="00F933AF">
        <w:rPr>
          <w:rStyle w:val="StyleUnderline"/>
          <w:rFonts w:cs="Calibri"/>
        </w:rPr>
        <w:t>ensure that aliens immigrating to the United States are able to support themselves</w:t>
      </w:r>
      <w:r w:rsidRPr="00F933AF">
        <w:rPr>
          <w:rFonts w:cs="Calibri"/>
          <w:sz w:val="16"/>
        </w:rPr>
        <w:t xml:space="preserve">. The country’s first general immigration law, enacted in 1882, excluded aliens who were deemed “likely to become a public charge” after they came to the United States.1 A little over 20 years later, in 1903, </w:t>
      </w:r>
      <w:r w:rsidRPr="00F933AF">
        <w:rPr>
          <w:rStyle w:val="StyleUnderline"/>
          <w:rFonts w:cs="Calibri"/>
        </w:rPr>
        <w:t>Congress made aliens</w:t>
      </w:r>
      <w:r w:rsidRPr="00F933AF">
        <w:rPr>
          <w:rFonts w:cs="Calibri"/>
          <w:sz w:val="16"/>
        </w:rPr>
        <w:t xml:space="preserve"> who had </w:t>
      </w:r>
      <w:r w:rsidRPr="00F933AF">
        <w:rPr>
          <w:rStyle w:val="StyleUnderline"/>
          <w:rFonts w:cs="Calibri"/>
        </w:rPr>
        <w:t>migrated to the United States deportable if they became public charges within two years after entry</w:t>
      </w:r>
      <w:r w:rsidRPr="00F933AF">
        <w:rPr>
          <w:rFonts w:cs="Calibri"/>
          <w:sz w:val="16"/>
        </w:rPr>
        <w:t xml:space="preserve"> (subsequently increased to five years).2 </w:t>
      </w:r>
      <w:r w:rsidRPr="00F933AF">
        <w:rPr>
          <w:rStyle w:val="StyleUnderline"/>
          <w:rFonts w:cs="Calibri"/>
        </w:rPr>
        <w:t>Both provisions</w:t>
      </w:r>
      <w:r w:rsidRPr="00F933AF">
        <w:rPr>
          <w:rFonts w:cs="Calibri"/>
          <w:sz w:val="16"/>
        </w:rPr>
        <w:t xml:space="preserve"> have been modified somewhat over the years, but </w:t>
      </w:r>
      <w:r w:rsidRPr="00F933AF">
        <w:rPr>
          <w:rStyle w:val="Emphasis"/>
          <w:rFonts w:cs="Calibri"/>
        </w:rPr>
        <w:t>remain</w:t>
      </w:r>
      <w:r w:rsidRPr="00F933AF">
        <w:rPr>
          <w:rFonts w:cs="Calibri"/>
          <w:sz w:val="16"/>
        </w:rPr>
        <w:t xml:space="preserve"> </w:t>
      </w:r>
      <w:r w:rsidRPr="00F933AF">
        <w:rPr>
          <w:rStyle w:val="StyleUnderline"/>
          <w:rFonts w:cs="Calibri"/>
        </w:rPr>
        <w:t>part of the Immigration and Nationality Act (INA).</w:t>
      </w:r>
      <w:r w:rsidRPr="00F933AF">
        <w:rPr>
          <w:rFonts w:cs="Calibri"/>
          <w:sz w:val="16"/>
        </w:rPr>
        <w:t xml:space="preserve"> </w:t>
      </w:r>
      <w:r w:rsidRPr="00F933AF">
        <w:rPr>
          <w:rStyle w:val="StyleUnderline"/>
          <w:rFonts w:cs="Calibri"/>
        </w:rPr>
        <w:t>Congress</w:t>
      </w:r>
      <w:r w:rsidRPr="00F933AF">
        <w:rPr>
          <w:rFonts w:cs="Calibri"/>
          <w:sz w:val="16"/>
        </w:rPr>
        <w:t xml:space="preserve"> has also </w:t>
      </w:r>
      <w:r w:rsidRPr="00F933AF">
        <w:rPr>
          <w:rStyle w:val="StyleUnderline"/>
          <w:rFonts w:cs="Calibri"/>
        </w:rPr>
        <w:t>enacted</w:t>
      </w:r>
      <w:r w:rsidRPr="00F933AF">
        <w:rPr>
          <w:rFonts w:cs="Calibri"/>
          <w:sz w:val="16"/>
        </w:rPr>
        <w:t xml:space="preserve"> </w:t>
      </w:r>
      <w:r w:rsidRPr="00F933AF">
        <w:rPr>
          <w:rStyle w:val="StyleUnderline"/>
          <w:rFonts w:cs="Calibri"/>
        </w:rPr>
        <w:t>other provisions designed to promote the “national policy” that “aliens within the Nation’s borders not depend on public resources to meet their needs, but rather rely on their own capabilities and the resources of their families, their sponsors, and private organizations</w:t>
      </w:r>
      <w:r w:rsidRPr="00F933AF">
        <w:rPr>
          <w:rFonts w:cs="Calibri"/>
          <w:sz w:val="16"/>
        </w:rPr>
        <w:t xml:space="preserve">.”3 Key among these provisions is the Personal Responsibility and Work Opportunity Reconciliation Act (PRWORA) of 1996, which generally restricts noncitizens’ eligibility for public benefits.4 </w:t>
      </w:r>
      <w:proofErr w:type="gramStart"/>
      <w:r w:rsidRPr="00F933AF">
        <w:rPr>
          <w:rFonts w:cs="Calibri"/>
          <w:sz w:val="16"/>
        </w:rPr>
        <w:t>The</w:t>
      </w:r>
      <w:proofErr w:type="gramEnd"/>
      <w:r w:rsidRPr="00F933AF">
        <w:rPr>
          <w:rFonts w:cs="Calibri"/>
          <w:sz w:val="16"/>
        </w:rPr>
        <w:t xml:space="preserve"> </w:t>
      </w:r>
      <w:r w:rsidRPr="00F933AF">
        <w:rPr>
          <w:rStyle w:val="Emphasis"/>
          <w:rFonts w:cs="Calibri"/>
        </w:rPr>
        <w:t>public charge grounds</w:t>
      </w:r>
      <w:r w:rsidRPr="00F933AF">
        <w:rPr>
          <w:rFonts w:cs="Calibri"/>
          <w:sz w:val="16"/>
        </w:rPr>
        <w:t xml:space="preserve"> </w:t>
      </w:r>
      <w:r w:rsidRPr="00F933AF">
        <w:rPr>
          <w:rStyle w:val="Emphasis"/>
          <w:rFonts w:cs="Calibri"/>
        </w:rPr>
        <w:t>are of recurring interest to Members of Congress</w:t>
      </w:r>
      <w:r w:rsidRPr="00F933AF">
        <w:rPr>
          <w:rFonts w:cs="Calibri"/>
          <w:sz w:val="16"/>
        </w:rPr>
        <w:t xml:space="preserve"> because of </w:t>
      </w:r>
      <w:r w:rsidRPr="00F933AF">
        <w:rPr>
          <w:rStyle w:val="StyleUnderline"/>
          <w:rFonts w:cs="Calibri"/>
        </w:rPr>
        <w:t>questions about whether aliens who receive various forms of public assistance are inadmissible or deportable on public charge grounds.</w:t>
      </w:r>
    </w:p>
    <w:p w:rsidR="003D49E5" w:rsidRPr="00F933AF" w:rsidRDefault="003D49E5" w:rsidP="003D49E5">
      <w:pPr>
        <w:pStyle w:val="Heading4"/>
        <w:rPr>
          <w:rFonts w:cs="Calibri"/>
        </w:rPr>
      </w:pPr>
      <w:r w:rsidRPr="00F933AF">
        <w:rPr>
          <w:rFonts w:cs="Calibri"/>
        </w:rPr>
        <w:t>The plan is controversial</w:t>
      </w:r>
    </w:p>
    <w:p w:rsidR="003D49E5" w:rsidRPr="00F933AF" w:rsidRDefault="003D49E5" w:rsidP="003D49E5">
      <w:pPr>
        <w:spacing w:after="0"/>
        <w:rPr>
          <w:rFonts w:cs="Calibri"/>
        </w:rPr>
      </w:pPr>
      <w:r w:rsidRPr="00F933AF">
        <w:rPr>
          <w:rStyle w:val="Style13ptBold"/>
          <w:rFonts w:cs="Calibri"/>
        </w:rPr>
        <w:t>CRS 17</w:t>
      </w:r>
      <w:r w:rsidRPr="00F933AF">
        <w:rPr>
          <w:rFonts w:cs="Calibri"/>
        </w:rPr>
        <w:t xml:space="preserve"> (Congressional Research Service, congress’s super dope and qualified think tank that provides information on highly controversial debates. 2-6-2017, EveryCRSReport, “Public Charge Grounds of Inadmissibility and Deportability: Legal Overview”) NREM/Lil’ GBN</w:t>
      </w:r>
    </w:p>
    <w:p w:rsidR="003D49E5" w:rsidRPr="00F933AF" w:rsidRDefault="003D49E5" w:rsidP="003D49E5">
      <w:pPr>
        <w:spacing w:after="0"/>
        <w:rPr>
          <w:rFonts w:cs="Calibri"/>
        </w:rPr>
      </w:pPr>
      <w:r w:rsidRPr="00F933AF">
        <w:rPr>
          <w:rFonts w:cs="Calibri"/>
        </w:rPr>
        <w:t>https://www.everycrsreport.com/reports/R43220.html</w:t>
      </w:r>
    </w:p>
    <w:p w:rsidR="003D49E5" w:rsidRPr="00F933AF" w:rsidRDefault="003D49E5" w:rsidP="003D49E5">
      <w:pPr>
        <w:rPr>
          <w:rFonts w:cs="Calibri"/>
          <w:sz w:val="16"/>
        </w:rPr>
      </w:pPr>
      <w:r w:rsidRPr="00F933AF">
        <w:rPr>
          <w:rStyle w:val="Emphasis"/>
          <w:rFonts w:cs="Calibri"/>
        </w:rPr>
        <w:t>Congressional interest</w:t>
      </w:r>
      <w:r w:rsidRPr="00F933AF">
        <w:rPr>
          <w:rFonts w:cs="Calibri"/>
          <w:sz w:val="16"/>
        </w:rPr>
        <w:t xml:space="preserve"> </w:t>
      </w:r>
      <w:r w:rsidRPr="00F933AF">
        <w:rPr>
          <w:rStyle w:val="StyleUnderline"/>
          <w:rFonts w:cs="Calibri"/>
        </w:rPr>
        <w:t>in the public charge grounds of inadmissibility and deportability seems likely to persist</w:t>
      </w:r>
      <w:r w:rsidRPr="00F933AF">
        <w:rPr>
          <w:rFonts w:cs="Calibri"/>
          <w:sz w:val="16"/>
        </w:rPr>
        <w:t xml:space="preserve">, in part, </w:t>
      </w:r>
      <w:r w:rsidRPr="00F933AF">
        <w:rPr>
          <w:rStyle w:val="StyleUnderline"/>
          <w:rFonts w:cs="Calibri"/>
        </w:rPr>
        <w:t>because of the interplay between the provisions of the INA providing for aliens’ removability on public charge grounds and other provisions of immigration law that permit noncitizens to receive certain benefits</w:t>
      </w:r>
      <w:r w:rsidRPr="00F933AF">
        <w:rPr>
          <w:rFonts w:cs="Calibri"/>
          <w:sz w:val="16"/>
        </w:rPr>
        <w:t xml:space="preserve">. On the one hand, </w:t>
      </w:r>
      <w:r w:rsidRPr="00F933AF">
        <w:rPr>
          <w:rStyle w:val="StyleUnderline"/>
          <w:rFonts w:cs="Calibri"/>
        </w:rPr>
        <w:t>Congress has provided that aliens may be excluded or deported if they are</w:t>
      </w:r>
      <w:r w:rsidRPr="00F933AF">
        <w:rPr>
          <w:rFonts w:cs="Calibri"/>
          <w:sz w:val="16"/>
        </w:rPr>
        <w:t xml:space="preserve"> likely to become, or have become, </w:t>
      </w:r>
      <w:r w:rsidRPr="00F933AF">
        <w:rPr>
          <w:rStyle w:val="StyleUnderline"/>
          <w:rFonts w:cs="Calibri"/>
        </w:rPr>
        <w:t>a public charge</w:t>
      </w:r>
      <w:r w:rsidRPr="00F933AF">
        <w:rPr>
          <w:rFonts w:cs="Calibri"/>
          <w:sz w:val="16"/>
        </w:rPr>
        <w:t xml:space="preserve">, a term which the executive branch has construed to mean that they are primarily dependent on the government for subsistence. </w:t>
      </w:r>
      <w:r w:rsidRPr="00F933AF">
        <w:rPr>
          <w:rStyle w:val="StyleUnderline"/>
          <w:rFonts w:cs="Calibri"/>
        </w:rPr>
        <w:t>On the other hand, Congress has</w:t>
      </w:r>
      <w:r w:rsidRPr="00F933AF">
        <w:rPr>
          <w:rFonts w:cs="Calibri"/>
          <w:sz w:val="16"/>
        </w:rPr>
        <w:t xml:space="preserve"> also </w:t>
      </w:r>
      <w:r w:rsidRPr="00F933AF">
        <w:rPr>
          <w:rStyle w:val="StyleUnderline"/>
          <w:rFonts w:cs="Calibri"/>
        </w:rPr>
        <w:t>provided</w:t>
      </w:r>
      <w:r w:rsidRPr="00F933AF">
        <w:rPr>
          <w:rFonts w:cs="Calibri"/>
          <w:sz w:val="16"/>
        </w:rPr>
        <w:t xml:space="preserve"> that </w:t>
      </w:r>
      <w:r w:rsidRPr="00F933AF">
        <w:rPr>
          <w:rStyle w:val="StyleUnderline"/>
          <w:rFonts w:cs="Calibri"/>
        </w:rPr>
        <w:t>certain public benefits</w:t>
      </w:r>
      <w:r w:rsidRPr="00F933AF">
        <w:rPr>
          <w:rFonts w:cs="Calibri"/>
          <w:sz w:val="16"/>
        </w:rPr>
        <w:t xml:space="preserve"> (e.g., certain disaster relief) </w:t>
      </w:r>
      <w:r w:rsidRPr="00F933AF">
        <w:rPr>
          <w:rStyle w:val="StyleUnderline"/>
          <w:rFonts w:cs="Calibri"/>
        </w:rPr>
        <w:t>are exempt</w:t>
      </w:r>
      <w:r w:rsidRPr="00F933AF">
        <w:rPr>
          <w:rFonts w:cs="Calibri"/>
          <w:sz w:val="16"/>
        </w:rPr>
        <w:t xml:space="preserve"> from PRWORA’s restrictions upon the provision of federal, state, or local public benefits to aliens who are not qualified aliens. These two provisions could be seen to be reconcilable, especially if one focuses upon whether specific programs “count” as public benefits, or for purposes of public charge determinations. However, </w:t>
      </w:r>
      <w:r w:rsidRPr="00F933AF">
        <w:rPr>
          <w:rStyle w:val="StyleUnderline"/>
          <w:rFonts w:cs="Calibri"/>
        </w:rPr>
        <w:t xml:space="preserve">the overall picture </w:t>
      </w:r>
      <w:r w:rsidRPr="00F933AF">
        <w:rPr>
          <w:rStyle w:val="Emphasis"/>
          <w:rFonts w:cs="Calibri"/>
        </w:rPr>
        <w:t>may raise questions</w:t>
      </w:r>
      <w:r w:rsidRPr="00F933AF">
        <w:rPr>
          <w:rStyle w:val="StyleUnderline"/>
          <w:rFonts w:cs="Calibri"/>
        </w:rPr>
        <w:t xml:space="preserve"> about how and why noncitizens can receive benefits without being subject to removal</w:t>
      </w:r>
      <w:r w:rsidRPr="00F933AF">
        <w:rPr>
          <w:rFonts w:cs="Calibri"/>
          <w:sz w:val="16"/>
        </w:rPr>
        <w:t xml:space="preserve">. </w:t>
      </w:r>
    </w:p>
    <w:p w:rsidR="003D49E5" w:rsidRPr="00F933AF" w:rsidRDefault="003D49E5" w:rsidP="003D49E5">
      <w:pPr>
        <w:rPr>
          <w:rFonts w:cs="Calibri"/>
        </w:rPr>
      </w:pPr>
    </w:p>
    <w:p w:rsidR="00E5343F" w:rsidRPr="00F933AF" w:rsidRDefault="00E5343F" w:rsidP="00D71D53">
      <w:pPr>
        <w:pStyle w:val="Heading1"/>
      </w:pPr>
      <w:r w:rsidRPr="00F933AF">
        <w:t>Ks</w:t>
      </w:r>
    </w:p>
    <w:p w:rsidR="00D71D53" w:rsidRDefault="00D71D53" w:rsidP="00D71D53">
      <w:pPr>
        <w:pStyle w:val="Heading2"/>
      </w:pPr>
      <w:r>
        <w:t>FW</w:t>
      </w:r>
    </w:p>
    <w:p w:rsidR="00CE6D10" w:rsidRPr="00F933AF" w:rsidRDefault="00D71D53" w:rsidP="00CE6D10">
      <w:pPr>
        <w:pStyle w:val="Heading3"/>
        <w:rPr>
          <w:rFonts w:cs="Calibri"/>
        </w:rPr>
      </w:pPr>
      <w:r>
        <w:rPr>
          <w:rFonts w:cs="Calibri"/>
        </w:rPr>
        <w:t>General</w:t>
      </w:r>
    </w:p>
    <w:p w:rsidR="00F703ED" w:rsidRDefault="00F703ED" w:rsidP="00F703ED">
      <w:pPr>
        <w:pStyle w:val="Heading4"/>
      </w:pPr>
      <w:r>
        <w:t>The aff’s call for state reform strips people with disabilities of their agency and obscures their lived-in experiences</w:t>
      </w:r>
    </w:p>
    <w:p w:rsidR="00F703ED" w:rsidRPr="0061426C" w:rsidRDefault="00F703ED" w:rsidP="00F703ED">
      <w:pPr>
        <w:rPr>
          <w:sz w:val="18"/>
          <w:szCs w:val="18"/>
        </w:rPr>
      </w:pPr>
      <w:r>
        <w:rPr>
          <w:b/>
        </w:rPr>
        <w:t xml:space="preserve">Dowse 9 </w:t>
      </w:r>
      <w:r w:rsidRPr="009C5716">
        <w:rPr>
          <w:sz w:val="18"/>
          <w:szCs w:val="18"/>
        </w:rPr>
        <w:t>(Leanne Dowse, “’Some people are never going to be able to do that.’ Challenges for people with intellectual disability in the 21</w:t>
      </w:r>
      <w:r w:rsidRPr="009C5716">
        <w:rPr>
          <w:sz w:val="18"/>
          <w:szCs w:val="18"/>
          <w:vertAlign w:val="superscript"/>
        </w:rPr>
        <w:t>st</w:t>
      </w:r>
      <w:r w:rsidRPr="009C5716">
        <w:rPr>
          <w:sz w:val="18"/>
          <w:szCs w:val="18"/>
        </w:rPr>
        <w:t xml:space="preserve"> century,” Disability &amp; Society, 7/22/9, pg. </w:t>
      </w:r>
      <w:r>
        <w:rPr>
          <w:sz w:val="18"/>
          <w:szCs w:val="18"/>
        </w:rPr>
        <w:t>577-578</w:t>
      </w:r>
      <w:r w:rsidRPr="009C5716">
        <w:rPr>
          <w:sz w:val="18"/>
          <w:szCs w:val="18"/>
        </w:rPr>
        <w:t>)//jy</w:t>
      </w:r>
    </w:p>
    <w:p w:rsidR="00F703ED" w:rsidRDefault="00F703ED" w:rsidP="00F703ED">
      <w:pPr>
        <w:rPr>
          <w:sz w:val="14"/>
        </w:rPr>
      </w:pPr>
      <w:r w:rsidRPr="00C65965">
        <w:rPr>
          <w:sz w:val="14"/>
        </w:rPr>
        <w:t xml:space="preserve">In general these subsections of the population, which include, for instance, single mothers, indigenous people, those with drug and alcohol dependency, </w:t>
      </w:r>
      <w:r w:rsidRPr="003462D1">
        <w:rPr>
          <w:u w:val="single"/>
        </w:rPr>
        <w:t>those with mental illness and people with intellectual disability, have been</w:t>
      </w:r>
      <w:r w:rsidRPr="00C65965">
        <w:rPr>
          <w:sz w:val="14"/>
        </w:rPr>
        <w:t xml:space="preserve"> referred to as ‘disadvantaged groups’</w:t>
      </w:r>
      <w:r w:rsidRPr="003462D1">
        <w:rPr>
          <w:u w:val="single"/>
        </w:rPr>
        <w:t>, deemed to be ‘at risk’ and for whom new and particular forms of government must also be devised.</w:t>
      </w:r>
      <w:r w:rsidRPr="00C65965">
        <w:rPr>
          <w:sz w:val="14"/>
        </w:rPr>
        <w:t xml:space="preserve"> Since this ‘risk discourse’ is applied across a range of policies and programmes in health, human services and criminal justice, it has the potential to have a significant impact on people with intellectual disability who are likely to be high frequency users of accommodation, income support, and other advocacy and support services in the health and human services sectors. </w:t>
      </w:r>
      <w:r w:rsidRPr="003462D1">
        <w:rPr>
          <w:u w:val="single"/>
        </w:rPr>
        <w:t>The risk approach defines people with intellectual disability in relation to the goals of independence, self-determination and self-sufficiency. Those whose intellectual impairment is deemed by bio-medico-psychological assessment to be so significant that no technology of agency or citizenship will effectively equip them for productivity are relegated as the ‘burden’ of carers</w:t>
      </w:r>
      <w:r w:rsidRPr="00C65965">
        <w:rPr>
          <w:sz w:val="14"/>
        </w:rPr>
        <w:t xml:space="preserve">, including families and service providers. For those people with intellectual disability who are considered to have some potential for the achievement of independence although they are ‘at risk’, technologies of neoliberal governance are directed in two differing ways: firstly ‘technologies of agency’ (Dean 1999) or ‘technologies of citizenship’ (Cruikshank 1993, 1999) and ‘technologies of performance’ (Dean 1999). </w:t>
      </w:r>
      <w:r w:rsidRPr="00D1682F">
        <w:rPr>
          <w:u w:val="single"/>
        </w:rPr>
        <w:t>Technologies of agency or citizenship seek to enhance and improve the individual’s capacities for participation and action and thereby assist them in becoming actors capable of managing risk. Specifically, they are produced in</w:t>
      </w:r>
      <w:r w:rsidRPr="00C65965">
        <w:rPr>
          <w:sz w:val="14"/>
        </w:rPr>
        <w:t xml:space="preserve"> particular ways in </w:t>
      </w:r>
      <w:r w:rsidRPr="00D1682F">
        <w:rPr>
          <w:u w:val="single"/>
        </w:rPr>
        <w:t>the context of contractualism whereby ‘at risk’ groups are required to</w:t>
      </w:r>
      <w:r w:rsidRPr="00C65965">
        <w:rPr>
          <w:sz w:val="14"/>
        </w:rPr>
        <w:t xml:space="preserve"> subject themselves to technologies of citizenship through which they </w:t>
      </w:r>
      <w:r w:rsidRPr="00D1682F">
        <w:rPr>
          <w:u w:val="single"/>
        </w:rPr>
        <w:t>agree to</w:t>
      </w:r>
      <w:r w:rsidRPr="00C65965">
        <w:rPr>
          <w:sz w:val="14"/>
        </w:rPr>
        <w:t xml:space="preserve"> a range </w:t>
      </w:r>
      <w:r w:rsidRPr="00D1682F">
        <w:rPr>
          <w:u w:val="single"/>
        </w:rPr>
        <w:t>of normalising, therapeutic and training measures designed to empower them, enhance their self-esteem, optimise their skills and entrepreneurship</w:t>
      </w:r>
      <w:r w:rsidRPr="00C65965">
        <w:rPr>
          <w:sz w:val="14"/>
        </w:rPr>
        <w:t xml:space="preserve"> and so on (Dean 1999, 168). One such technique is ‘</w:t>
      </w:r>
      <w:r w:rsidRPr="00D1682F">
        <w:rPr>
          <w:u w:val="single"/>
        </w:rPr>
        <w:t>empowerment</w:t>
      </w:r>
      <w:r w:rsidRPr="00C65965">
        <w:rPr>
          <w:sz w:val="14"/>
        </w:rPr>
        <w:t xml:space="preserve">’, which I argue </w:t>
      </w:r>
      <w:r w:rsidRPr="00D1682F">
        <w:rPr>
          <w:u w:val="single"/>
        </w:rPr>
        <w:t>is a problematic and paradoxical concept</w:t>
      </w:r>
      <w:r w:rsidRPr="00C65965">
        <w:rPr>
          <w:sz w:val="14"/>
        </w:rPr>
        <w:t xml:space="preserve"> in the way it is currently applied to people with intellectual disability. The logic of empowerment argues that as consumers of services people with intellectual disability should be able to exercise choice or rights as new forms of participation. </w:t>
      </w:r>
      <w:r w:rsidRPr="00D1682F">
        <w:rPr>
          <w:u w:val="single"/>
        </w:rPr>
        <w:t>There is an assumption that such people are lacking in the competence and confidence to take action on their own behalf or to exert control over their own destinies, either personally or collectively</w:t>
      </w:r>
      <w:r w:rsidRPr="00C65965">
        <w:rPr>
          <w:sz w:val="14"/>
        </w:rPr>
        <w:t xml:space="preserve"> (Baistow 1995, 36). </w:t>
      </w:r>
      <w:r w:rsidRPr="00D1682F">
        <w:rPr>
          <w:u w:val="single"/>
        </w:rPr>
        <w:t>Their powerlessness and lack of participation is considered to be responsive to particular types of intervention</w:t>
      </w:r>
      <w:r w:rsidRPr="00C65965">
        <w:rPr>
          <w:sz w:val="14"/>
        </w:rPr>
        <w:t xml:space="preserve">. By their own assessment, people with intellectual disability have argued that empowerment contains the promise of resistance through enabling the expression and valuing of the unique ways in which they inhabit their social context (Martin 2003). On the other hand, professional approaches emphasise individual responsibility, greater control and transfer of power. The process by which skills are acquired is primarily perceived as a matter of technical and procedural competence. </w:t>
      </w:r>
      <w:r w:rsidRPr="00D1682F">
        <w:rPr>
          <w:u w:val="single"/>
        </w:rPr>
        <w:t>Empowerment in this sense focuses on acquiring skills and accessing resources and is in danger of becoming just another part of the service provider’s toolkit</w:t>
      </w:r>
      <w:r w:rsidRPr="00C65965">
        <w:rPr>
          <w:sz w:val="14"/>
        </w:rPr>
        <w:t xml:space="preserve"> (Aspis 1997). </w:t>
      </w:r>
      <w:r w:rsidRPr="00D1682F">
        <w:rPr>
          <w:u w:val="single"/>
        </w:rPr>
        <w:t>This conceptualisation obscures the dynamic interplay of the social, material, cultural, emotional and interpersonal context of lived experience</w:t>
      </w:r>
      <w:r w:rsidRPr="00C65965">
        <w:rPr>
          <w:sz w:val="14"/>
        </w:rPr>
        <w:t xml:space="preserve">. In this way the exercise of empowerment in the pursuit of autonomy and selfdetermination has paradoxically coalesced and merged with its application to the neoliberal drive for rationality and competence. What has emerged is a shift from the notion of an emancipated self sought by political and cultural movements to the virtuous, disciplined and responsible autonomy of the neo-liberal citizenry (Dean 1999, 155). </w:t>
      </w:r>
      <w:r w:rsidRPr="00C65965">
        <w:rPr>
          <w:u w:val="single"/>
        </w:rPr>
        <w:t>The idea of empowerment as it is currently applied is itself a power relation – inspired simultaneously by the market and by the promise of self-government and autonomy</w:t>
      </w:r>
      <w:r w:rsidRPr="00C65965">
        <w:rPr>
          <w:sz w:val="14"/>
        </w:rPr>
        <w:t>. As such it holds the ambivalent promises of both freedom and constraint.</w:t>
      </w:r>
    </w:p>
    <w:p w:rsidR="00F703ED" w:rsidRDefault="00F703ED" w:rsidP="00F703ED"/>
    <w:p w:rsidR="00F933AF" w:rsidRPr="00F933AF" w:rsidRDefault="00F933AF" w:rsidP="00F933AF">
      <w:pPr>
        <w:pStyle w:val="Heading4"/>
        <w:rPr>
          <w:rFonts w:cs="Calibri"/>
        </w:rPr>
      </w:pPr>
      <w:r w:rsidRPr="00F933AF">
        <w:rPr>
          <w:rFonts w:cs="Calibri"/>
        </w:rPr>
        <w:t>Reexamining disability rhetoric with focus on touch is prerequisite to activism</w:t>
      </w:r>
    </w:p>
    <w:p w:rsidR="00F933AF" w:rsidRPr="00F933AF" w:rsidRDefault="00F933AF" w:rsidP="00F933AF">
      <w:pPr>
        <w:rPr>
          <w:rFonts w:cs="Calibri"/>
        </w:rPr>
      </w:pPr>
      <w:r w:rsidRPr="00F933AF">
        <w:rPr>
          <w:rStyle w:val="Style13ptBold"/>
          <w:rFonts w:cs="Calibri"/>
        </w:rPr>
        <w:t>Vidali 16</w:t>
      </w:r>
      <w:r w:rsidRPr="00F933AF">
        <w:rPr>
          <w:rFonts w:cs="Calibri"/>
        </w:rPr>
        <w:t xml:space="preserve"> (Amy Vidali, professor of English at the University of Colorado-Denver, PhD in English from the University of Washington, Summer 2016, Review of Rhetorical Touch: Disability, Identification, Haptics by Shannon Walters, PhD in English and Women’s Studies from Penn State, professor of English at </w:t>
      </w:r>
      <w:hyperlink r:id="rId398" w:history="1">
        <w:r w:rsidRPr="00F933AF">
          <w:rPr>
            <w:rStyle w:val="Hyperlink"/>
            <w:rFonts w:cs="Calibri"/>
          </w:rPr>
          <w:t>Rhetoric &amp; Public Affairs</w:t>
        </w:r>
      </w:hyperlink>
      <w:r w:rsidRPr="00F933AF">
        <w:rPr>
          <w:rFonts w:cs="Calibri"/>
        </w:rPr>
        <w:t xml:space="preserve">, professor of English and disability studies at Temple University, </w:t>
      </w:r>
      <w:hyperlink r:id="rId399" w:history="1">
        <w:r w:rsidRPr="00F933AF">
          <w:rPr>
            <w:rStyle w:val="Hyperlink"/>
            <w:rFonts w:cs="Calibri"/>
          </w:rPr>
          <w:t>Volume 19, Number 2, </w:t>
        </w:r>
      </w:hyperlink>
      <w:r w:rsidRPr="00F933AF">
        <w:rPr>
          <w:rFonts w:cs="Calibri"/>
        </w:rPr>
        <w:t xml:space="preserve"> </w:t>
      </w:r>
      <w:hyperlink r:id="rId400" w:history="1">
        <w:r w:rsidRPr="00F933AF">
          <w:rPr>
            <w:rStyle w:val="Hyperlink"/>
            <w:rFonts w:cs="Calibri"/>
          </w:rPr>
          <w:t>Michigan State University Press</w:t>
        </w:r>
      </w:hyperlink>
      <w:r w:rsidRPr="00F933AF">
        <w:rPr>
          <w:rFonts w:cs="Calibri"/>
        </w:rPr>
        <w:t>, Project Muse)/CWB</w:t>
      </w:r>
    </w:p>
    <w:p w:rsidR="00F933AF" w:rsidRPr="00F933AF" w:rsidRDefault="00F933AF" w:rsidP="00F933AF">
      <w:pPr>
        <w:rPr>
          <w:rStyle w:val="StyleUnderline"/>
          <w:rFonts w:cs="Calibri"/>
        </w:rPr>
      </w:pPr>
      <w:r w:rsidRPr="00F933AF">
        <w:rPr>
          <w:rFonts w:cs="Calibri"/>
          <w:sz w:val="16"/>
        </w:rPr>
        <w:t xml:space="preserve">In Rhetorical Touch, Shannon Walters asks and answers a difficult question: “How might understanding touch as rhetorical and rhetoric as tactile change how we think of rhetoric, especially regarding what kinds of bodies and minds have access to rhetorical production and its elements, purposes, and possibilities?” (2). </w:t>
      </w:r>
      <w:proofErr w:type="gramStart"/>
      <w:r w:rsidRPr="00F933AF">
        <w:rPr>
          <w:rFonts w:cs="Calibri"/>
          <w:sz w:val="16"/>
        </w:rPr>
        <w:t>In</w:t>
      </w:r>
      <w:proofErr w:type="gramEnd"/>
      <w:r w:rsidRPr="00F933AF">
        <w:rPr>
          <w:rFonts w:cs="Calibri"/>
          <w:sz w:val="16"/>
        </w:rPr>
        <w:t xml:space="preserve"> response, Walters </w:t>
      </w:r>
      <w:r w:rsidRPr="00F933AF">
        <w:rPr>
          <w:rStyle w:val="StyleUnderline"/>
          <w:rFonts w:cs="Calibri"/>
        </w:rPr>
        <w:t>reexamine</w:t>
      </w:r>
      <w:r w:rsidRPr="00F933AF">
        <w:rPr>
          <w:rFonts w:cs="Calibri"/>
          <w:sz w:val="16"/>
        </w:rPr>
        <w:t xml:space="preserve">s </w:t>
      </w:r>
      <w:r w:rsidRPr="00F933AF">
        <w:rPr>
          <w:rStyle w:val="StyleUnderline"/>
          <w:rFonts w:cs="Calibri"/>
        </w:rPr>
        <w:t>rhetorical histories through the lens of disability studies, focusing on touch-based communication modes</w:t>
      </w:r>
      <w:r w:rsidRPr="00F933AF">
        <w:rPr>
          <w:rFonts w:cs="Calibri"/>
          <w:sz w:val="16"/>
        </w:rPr>
        <w:t>. Building on the scholarship of Cynthia Lewiecki-Wilson, Jay Dolmage, Margaret Price, Brenda Brueggemann, and others, she “</w:t>
      </w:r>
      <w:r w:rsidRPr="00F933AF">
        <w:rPr>
          <w:rStyle w:val="StyleUnderline"/>
          <w:rFonts w:cs="Calibri"/>
        </w:rPr>
        <w:t>question</w:t>
      </w:r>
      <w:r w:rsidRPr="00F933AF">
        <w:rPr>
          <w:rFonts w:cs="Calibri"/>
          <w:sz w:val="16"/>
        </w:rPr>
        <w:t xml:space="preserve">s </w:t>
      </w:r>
      <w:r w:rsidRPr="00F933AF">
        <w:rPr>
          <w:rStyle w:val="StyleUnderline"/>
          <w:rFonts w:cs="Calibri"/>
        </w:rPr>
        <w:t>the accepted model of the able, autonomous, independent rhetor and disturbs the boundaries and bodies of rhetoric</w:t>
      </w:r>
      <w:r w:rsidRPr="00F933AF">
        <w:rPr>
          <w:rFonts w:cs="Calibri"/>
          <w:sz w:val="16"/>
        </w:rPr>
        <w:t xml:space="preserve">” (19). The book is rigorous and focused, as Walters is a serious and traditional academic writer. But it is also </w:t>
      </w:r>
      <w:r w:rsidRPr="00F933AF">
        <w:rPr>
          <w:rStyle w:val="StyleUnderline"/>
          <w:rFonts w:cs="Calibri"/>
        </w:rPr>
        <w:t>activist in spirit and scope,</w:t>
      </w:r>
      <w:r w:rsidRPr="00F933AF">
        <w:rPr>
          <w:rFonts w:cs="Calibri"/>
          <w:sz w:val="16"/>
        </w:rPr>
        <w:t xml:space="preserve"> as the book is clearly situated in disability studies. Walters defines rhetorical touch “as a </w:t>
      </w:r>
      <w:r w:rsidRPr="00F933AF">
        <w:rPr>
          <w:rStyle w:val="StyleUnderline"/>
          <w:rFonts w:cs="Calibri"/>
        </w:rPr>
        <w:t>potential for identification among bodies of diverse abilities that takes place in physical, proximal and/or emotional contact</w:t>
      </w:r>
      <w:r w:rsidRPr="00F933AF">
        <w:rPr>
          <w:rFonts w:cs="Calibri"/>
          <w:sz w:val="16"/>
        </w:rPr>
        <w:t xml:space="preserve">” (3). Walters articulates her theory of touch through (re-)reading many rhetorical scholars, particularly Empedocles, Aristotle, and Burke, though she also consider a diverse range of other rhetorical thinkers, including Peitho, Gorgias, Demosthenes, Cicero, Quintilian, and others. In engaging classical rhetoric, she consistently interprets the original texts. Concurrent with her analysis of rhetoric’s all-stars, she analyzes disability studies scholars and artists, such as Harriet McBryde Johnson, Sue Rubin, John Hockenberry, and Section 504 protesters. Indeed, she considers the poetry of Cheryl Marie Wade on the heels of analyzing Isocrates. While those doing work in disability and rhetoric will clearly be interested in this book, </w:t>
      </w:r>
      <w:r w:rsidRPr="00F933AF">
        <w:rPr>
          <w:rStyle w:val="StyleUnderline"/>
          <w:rFonts w:cs="Calibri"/>
        </w:rPr>
        <w:t>Walters also emphasizes how we all communicate by touch. She refers to “contingencies” that are often “enacted by touch,” such as being fed, bathed, and changed, which all require “close physical contact, interdependency, and trust” (3). By grounding her theory in disability</w:t>
      </w:r>
      <w:r w:rsidRPr="00F933AF">
        <w:rPr>
          <w:rFonts w:cs="Calibri"/>
          <w:sz w:val="16"/>
        </w:rPr>
        <w:t xml:space="preserve"> [End Page 350] </w:t>
      </w:r>
      <w:r w:rsidRPr="00F933AF">
        <w:rPr>
          <w:rStyle w:val="StyleUnderline"/>
          <w:rFonts w:cs="Calibri"/>
        </w:rPr>
        <w:t>experience and articulating how touch functions for everyone, Walters makes her haptic theories relevant for all scholars and body types</w:t>
      </w:r>
      <w:r w:rsidRPr="00F933AF">
        <w:rPr>
          <w:rFonts w:cs="Calibri"/>
          <w:sz w:val="16"/>
        </w:rPr>
        <w:t xml:space="preserve">. In reading disability in and through classical rhetoric, her book is similar to Jay Dolmage’s Disability Rhetoric (which came out the same year), though Walters’s audience is more exclusively rhetorical scholars. Chapter 1 reads rhetorical touch by examining Helen Keller’s touch-based communication strategies in the context of a meaty theoretical interrogation. Walters posits that Aristotle’s rhetorical appeals should be read as “a dynamis [that] emphasizes capability, potentiality, and connection” (34) and considers “Burkean identification as explicitly and implicitly tactile” (39), particularly consubstantiation. Chapter 2 similarly balances </w:t>
      </w:r>
      <w:r w:rsidRPr="00F933AF">
        <w:rPr>
          <w:rStyle w:val="StyleUnderline"/>
          <w:rFonts w:cs="Calibri"/>
        </w:rPr>
        <w:t>theoretical interrogation and analysis of</w:t>
      </w:r>
      <w:r w:rsidRPr="00F933AF">
        <w:rPr>
          <w:rFonts w:cs="Calibri"/>
          <w:sz w:val="16"/>
        </w:rPr>
        <w:t xml:space="preserve"> a</w:t>
      </w:r>
      <w:r w:rsidRPr="00F933AF">
        <w:rPr>
          <w:rStyle w:val="StyleUnderline"/>
          <w:rFonts w:cs="Calibri"/>
        </w:rPr>
        <w:t xml:space="preserve"> disability</w:t>
      </w:r>
      <w:r w:rsidRPr="00F933AF">
        <w:rPr>
          <w:rFonts w:cs="Calibri"/>
          <w:sz w:val="16"/>
        </w:rPr>
        <w:t xml:space="preserve">-related example and </w:t>
      </w:r>
      <w:r w:rsidRPr="00F933AF">
        <w:rPr>
          <w:rStyle w:val="StyleUnderline"/>
          <w:rFonts w:cs="Calibri"/>
        </w:rPr>
        <w:t>offers a dedicated,</w:t>
      </w:r>
      <w:r w:rsidRPr="00F933AF">
        <w:rPr>
          <w:rFonts w:cs="Calibri"/>
          <w:sz w:val="16"/>
        </w:rPr>
        <w:t xml:space="preserve"> if dense, </w:t>
      </w:r>
      <w:r w:rsidRPr="00F933AF">
        <w:rPr>
          <w:rStyle w:val="StyleUnderline"/>
          <w:rFonts w:cs="Calibri"/>
        </w:rPr>
        <w:t>articulation of identification as a rhetoric of touch through</w:t>
      </w:r>
      <w:r w:rsidRPr="00F933AF">
        <w:rPr>
          <w:rFonts w:cs="Calibri"/>
          <w:sz w:val="16"/>
        </w:rPr>
        <w:t xml:space="preserve"> Burke, Merleau-Ponty, Nancy, and </w:t>
      </w:r>
      <w:r w:rsidRPr="00F933AF">
        <w:rPr>
          <w:rStyle w:val="StyleUnderline"/>
          <w:rFonts w:cs="Calibri"/>
        </w:rPr>
        <w:t>Deleuze. She maps this understanding onto the Section 504 protests, which are read as “a victory for identification, as many people with diverse disabilities identified their interests with each other and even with a larger nondisabled public” (58). For me, her rereading of these protests, particularly Joan Tollifson’s story, is particularly successful in connecting disability activism and rhetorical touch.</w:t>
      </w:r>
    </w:p>
    <w:p w:rsidR="00F933AF" w:rsidRPr="00F933AF" w:rsidRDefault="00F933AF" w:rsidP="00F933AF">
      <w:pPr>
        <w:rPr>
          <w:rFonts w:cs="Calibri"/>
        </w:rPr>
      </w:pPr>
    </w:p>
    <w:p w:rsidR="00F933AF" w:rsidRPr="00F933AF" w:rsidRDefault="00F933AF" w:rsidP="00F933AF">
      <w:pPr>
        <w:pStyle w:val="Heading4"/>
        <w:rPr>
          <w:rFonts w:cs="Calibri"/>
        </w:rPr>
      </w:pPr>
      <w:r w:rsidRPr="00F933AF">
        <w:rPr>
          <w:rFonts w:cs="Calibri"/>
        </w:rPr>
        <w:t>Critique of health policy must challenge underlying assumptions of rhetoric</w:t>
      </w:r>
      <w:r w:rsidRPr="00F933AF">
        <w:rPr>
          <w:rFonts w:cs="Calibri"/>
          <w:b w:val="0"/>
        </w:rPr>
        <w:t>- Lewiecki-Wilson agrees</w:t>
      </w:r>
    </w:p>
    <w:p w:rsidR="00F933AF" w:rsidRPr="00F933AF" w:rsidRDefault="00F933AF" w:rsidP="00F933AF">
      <w:pPr>
        <w:rPr>
          <w:rFonts w:cs="Calibri"/>
        </w:rPr>
      </w:pPr>
      <w:r w:rsidRPr="00F933AF">
        <w:rPr>
          <w:rStyle w:val="Style13ptBold"/>
          <w:rFonts w:cs="Calibri"/>
        </w:rPr>
        <w:t>Dunn 11</w:t>
      </w:r>
      <w:r w:rsidRPr="00F933AF">
        <w:rPr>
          <w:rFonts w:cs="Calibri"/>
        </w:rPr>
        <w:t xml:space="preserve"> (Patricia A. Dunn, professor of English and disabilities studies at Stony Brook University, member of the Society for Disability Studies, 2011, “What Is "Normal"? Defining Terms and Questioning Commonplaces in Public Policy Debates”, JAC, Vol. 31, No. 3/4, JSTOR)/CWB</w:t>
      </w:r>
    </w:p>
    <w:p w:rsidR="00F933AF" w:rsidRPr="00F933AF" w:rsidRDefault="00F933AF" w:rsidP="00F933AF">
      <w:pPr>
        <w:rPr>
          <w:rStyle w:val="StyleUnderline"/>
          <w:rFonts w:cs="Calibri"/>
        </w:rPr>
      </w:pPr>
      <w:r w:rsidRPr="00F933AF">
        <w:rPr>
          <w:rStyle w:val="StyleUnderline"/>
          <w:rFonts w:cs="Calibri"/>
        </w:rPr>
        <w:t>Lewiecki-Wilson argues that</w:t>
      </w:r>
      <w:r w:rsidRPr="00F933AF">
        <w:rPr>
          <w:rFonts w:cs="Calibri"/>
          <w:sz w:val="16"/>
        </w:rPr>
        <w:t xml:space="preserve"> although Singer and Nussbaum hold sometimes conflicting, sometimes similar or overlapping views on disability, </w:t>
      </w:r>
      <w:r w:rsidRPr="00F933AF">
        <w:rPr>
          <w:rStyle w:val="StyleUnderline"/>
          <w:rFonts w:cs="Calibri"/>
        </w:rPr>
        <w:t>the rhetorics used by both Singer and Nussbaum ultimately reveal harmful assumptions on both their parts: "For both philosophers, the disabled occupy a position between the category of human and non-human, precariously close to the non-human"</w:t>
      </w:r>
      <w:r w:rsidRPr="00F933AF">
        <w:rPr>
          <w:rFonts w:cs="Calibri"/>
          <w:sz w:val="16"/>
        </w:rPr>
        <w:t xml:space="preserve"> (93). Her analysis also questions common assumptions regarding "independence," as well as how "</w:t>
      </w:r>
      <w:r w:rsidRPr="00F933AF">
        <w:rPr>
          <w:rStyle w:val="StyleUnderline"/>
          <w:rFonts w:cs="Calibri"/>
        </w:rPr>
        <w:t>normal" is conventionally defined</w:t>
      </w:r>
      <w:r w:rsidRPr="00F933AF">
        <w:rPr>
          <w:rFonts w:cs="Calibri"/>
          <w:sz w:val="16"/>
        </w:rPr>
        <w:t xml:space="preserve">. She argues that </w:t>
      </w:r>
      <w:r w:rsidRPr="00F933AF">
        <w:rPr>
          <w:rStyle w:val="StyleUnderline"/>
          <w:rFonts w:cs="Calibri"/>
        </w:rPr>
        <w:t>if these assumptions and definitions are left unchallenged, they help sustain an unjust status quo regarding equal access, especially to health care, and they can impede human progress. Therefore, the issues these philosophers discuss and the metaphors they employ to frame their discussions should be important to everyone. These terms, "independence," and "normal," and the hidden assumptions that go along with them, also affect public policy regarding support for care givers.</w:t>
      </w:r>
      <w:r w:rsidRPr="00F933AF">
        <w:rPr>
          <w:rFonts w:cs="Calibri"/>
          <w:sz w:val="16"/>
        </w:rPr>
        <w:t xml:space="preserve"> In her analysis, Lewiecki-Wilson contrasts Nussbaum's views with those of another philosopher, Eva Feder Kittay, who challenges conventional definitions of "normal." Lewiecki-Wilson summarizes </w:t>
      </w:r>
      <w:r w:rsidRPr="00F933AF">
        <w:rPr>
          <w:rStyle w:val="StyleUnderline"/>
          <w:rFonts w:cs="Calibri"/>
        </w:rPr>
        <w:t xml:space="preserve">Kittay's critique of current health policies because they do not adequately support family members who are also care givers: "[Dependency needs are considered an aberration from the 'normal' state of abstract and autonomous individualism" (90). Kittay points out, </w:t>
      </w:r>
      <w:r w:rsidRPr="00F933AF">
        <w:rPr>
          <w:rFonts w:cs="Calibri"/>
          <w:sz w:val="16"/>
        </w:rPr>
        <w:t>says Lewiecki-Wilson</w:t>
      </w:r>
      <w:r w:rsidRPr="00F933AF">
        <w:rPr>
          <w:rStyle w:val="StyleUnderline"/>
          <w:rFonts w:cs="Calibri"/>
        </w:rPr>
        <w:t>, that "at the beginning, middle, and end of life, all humans experience dependency, and so dependency is not an exception, but a common condition" (90)</w:t>
      </w:r>
    </w:p>
    <w:p w:rsidR="008C5803" w:rsidRPr="008C5803" w:rsidRDefault="008C5803" w:rsidP="008C5803">
      <w:pPr>
        <w:pStyle w:val="Heading3"/>
      </w:pPr>
      <w:r>
        <w:t>AT: Cede the Political</w:t>
      </w:r>
    </w:p>
    <w:p w:rsidR="008C5803" w:rsidRDefault="008C5803" w:rsidP="008C5803">
      <w:pPr>
        <w:pStyle w:val="Heading4"/>
      </w:pPr>
      <w:r>
        <w:t>The political has already been ceded - Trump makes progress in disability politics impossible—his ableist rhetoric legitimizes the stigmatization of people with disabilities and limits opportunities for support and care</w:t>
      </w:r>
    </w:p>
    <w:p w:rsidR="008C5803" w:rsidRPr="00187E35" w:rsidRDefault="008C5803" w:rsidP="008C5803">
      <w:r>
        <w:rPr>
          <w:b/>
        </w:rPr>
        <w:t xml:space="preserve">Harnish 17 </w:t>
      </w:r>
      <w:r w:rsidRPr="0034497D">
        <w:rPr>
          <w:sz w:val="18"/>
          <w:szCs w:val="18"/>
        </w:rPr>
        <w:t>(Andrew Harnish, Disability &amp; Society, 2/15/17, “Ableism and the Trump phenomenon,” p. 423-424, https://www.tandfonline.com/doi/pdf/10.1080/09687599.2017.1288684?needAccess=true)</w:t>
      </w:r>
      <w:r>
        <w:rPr>
          <w:sz w:val="18"/>
          <w:szCs w:val="18"/>
        </w:rPr>
        <w:t>//jy</w:t>
      </w:r>
    </w:p>
    <w:p w:rsidR="008C5803" w:rsidRDefault="008C5803" w:rsidP="008C5803">
      <w:pPr>
        <w:rPr>
          <w:sz w:val="12"/>
        </w:rPr>
      </w:pPr>
      <w:r w:rsidRPr="00967E40">
        <w:rPr>
          <w:sz w:val="12"/>
        </w:rPr>
        <w:t xml:space="preserve">The rural, white working class offered Donald Trump unprecedented support in the 2016 US presidential campaign (Collingwood 2016). Some analysts have pointed to the power of Trump’s racist rhetoric in winning these voters (Matthews 2016; Yglesias 2016). Others have noted the pull of his populist economic promises (Guo 2016; Casselman 2017). Yet </w:t>
      </w:r>
      <w:r w:rsidRPr="00C35428">
        <w:rPr>
          <w:u w:val="single"/>
        </w:rPr>
        <w:t xml:space="preserve">Trump </w:t>
      </w:r>
      <w:r w:rsidRPr="00967E40">
        <w:rPr>
          <w:sz w:val="12"/>
        </w:rPr>
        <w:t xml:space="preserve">also </w:t>
      </w:r>
      <w:r w:rsidRPr="00C35428">
        <w:rPr>
          <w:u w:val="single"/>
        </w:rPr>
        <w:t>used ableist rhetoric to court rural, working-class whites; his repeated use of metaphors equating bodily difference with weakness and failure played to a fear of disability that is deeply embedded in rural, white working-class culture. This fear has been magnified</w:t>
      </w:r>
      <w:r w:rsidRPr="00967E40">
        <w:rPr>
          <w:sz w:val="12"/>
        </w:rPr>
        <w:t xml:space="preserve"> by the damage to working-class communities </w:t>
      </w:r>
      <w:r w:rsidRPr="001537AE">
        <w:rPr>
          <w:u w:val="single"/>
        </w:rPr>
        <w:t>wrought by technological change and the neoliberal policies of deregulation, entitlement ‘reform,’ and disinvestment in the welfare state.</w:t>
      </w:r>
      <w:r w:rsidRPr="00967E40">
        <w:rPr>
          <w:sz w:val="12"/>
        </w:rPr>
        <w:t xml:space="preserve"> Trump’s own bodily difference is also important in any understanding of his popularity with rural, working-class whites. </w:t>
      </w:r>
      <w:r w:rsidRPr="001537AE">
        <w:rPr>
          <w:u w:val="single"/>
        </w:rPr>
        <w:t>His</w:t>
      </w:r>
      <w:r w:rsidRPr="00967E40">
        <w:rPr>
          <w:sz w:val="12"/>
        </w:rPr>
        <w:t xml:space="preserve"> spectacular and even, at times, debilitated-seeming </w:t>
      </w:r>
      <w:r w:rsidRPr="001537AE">
        <w:rPr>
          <w:u w:val="single"/>
        </w:rPr>
        <w:t xml:space="preserve">embodiment mirrors </w:t>
      </w:r>
      <w:r w:rsidRPr="00967E40">
        <w:rPr>
          <w:sz w:val="12"/>
        </w:rPr>
        <w:t xml:space="preserve">the often debilitated state of many </w:t>
      </w:r>
      <w:r w:rsidRPr="001537AE">
        <w:rPr>
          <w:u w:val="single"/>
        </w:rPr>
        <w:t>rural, white working-class Americans, whose lack of appreciation for the values of thoroughgoing diversity too often primes them to endorse exclusive definitions of ‘normativity’ that do violence to those who are not ‘like’ them.</w:t>
      </w:r>
      <w:r w:rsidRPr="00967E40">
        <w:rPr>
          <w:sz w:val="12"/>
        </w:rPr>
        <w:t xml:space="preserve"> The work of crip theorist Robert McRuer is essential to understanding the relationship between ableism, neoliberalism, and white working-class communities. His theory of ‘compulsory able-bodiedness’ (McRuer 2006) explains why disability is so often pathologized and why the prospect of bodily difference can seem terrifying in neoliberal environments. According to McRuer (2006, 2</w:t>
      </w:r>
      <w:r w:rsidRPr="001537AE">
        <w:rPr>
          <w:u w:val="single"/>
        </w:rPr>
        <w:t>), compulsory able-bodiedness elevates ‘normative’ bodily performances and stigmatizes every performance that fails to conform to this standard.</w:t>
      </w:r>
      <w:r w:rsidRPr="00967E40">
        <w:rPr>
          <w:sz w:val="12"/>
        </w:rPr>
        <w:t xml:space="preserve"> For McRuer, </w:t>
      </w:r>
      <w:r w:rsidRPr="001537AE">
        <w:rPr>
          <w:u w:val="single"/>
        </w:rPr>
        <w:t>compulsory able-bodiedness is enforced by corporations, policy-makers, and citizens, and because neoliberal values dominate government in the U</w:t>
      </w:r>
      <w:r w:rsidRPr="00967E40">
        <w:rPr>
          <w:sz w:val="12"/>
        </w:rPr>
        <w:t xml:space="preserve">nited </w:t>
      </w:r>
      <w:r w:rsidRPr="001537AE">
        <w:rPr>
          <w:u w:val="single"/>
        </w:rPr>
        <w:t>S</w:t>
      </w:r>
      <w:r w:rsidRPr="00967E40">
        <w:rPr>
          <w:sz w:val="12"/>
        </w:rPr>
        <w:t xml:space="preserve">tates, those </w:t>
      </w:r>
      <w:r w:rsidRPr="001537AE">
        <w:rPr>
          <w:u w:val="single"/>
        </w:rPr>
        <w:t>Americans who find themselves in need of assistance</w:t>
      </w:r>
      <w:r w:rsidRPr="00967E40">
        <w:rPr>
          <w:sz w:val="12"/>
        </w:rPr>
        <w:t xml:space="preserve"> – whether economic or bodily, or some combination of the two – </w:t>
      </w:r>
      <w:r w:rsidRPr="001537AE">
        <w:rPr>
          <w:u w:val="single"/>
        </w:rPr>
        <w:t>are not just stigmatized, but also offered quite limited opportunities for support and care due to the curtailment and/or privatization of government-provided social services</w:t>
      </w:r>
      <w:r w:rsidRPr="00967E40">
        <w:rPr>
          <w:sz w:val="12"/>
        </w:rPr>
        <w:t xml:space="preserve">. During the campaign, </w:t>
      </w:r>
      <w:r w:rsidRPr="001537AE">
        <w:rPr>
          <w:u w:val="single"/>
        </w:rPr>
        <w:t>Trump</w:t>
      </w:r>
      <w:r w:rsidRPr="00967E40">
        <w:rPr>
          <w:sz w:val="12"/>
        </w:rPr>
        <w:t xml:space="preserve"> alluded to the harm done by these neoliberal policies, but his Cabinet choices suggest that his </w:t>
      </w:r>
      <w:r w:rsidRPr="0086572A">
        <w:rPr>
          <w:u w:val="single"/>
        </w:rPr>
        <w:t>legislative agenda will draw on his arch-capitalist roots</w:t>
      </w:r>
      <w:r w:rsidRPr="00967E40">
        <w:rPr>
          <w:i/>
          <w:sz w:val="12"/>
        </w:rPr>
        <w:t xml:space="preserve">. </w:t>
      </w:r>
      <w:r w:rsidRPr="00967E40">
        <w:rPr>
          <w:sz w:val="12"/>
        </w:rPr>
        <w:t>This agenda is liable to be even more toxic than his rhetoric for people with disabilities—</w:t>
      </w:r>
      <w:r w:rsidRPr="006C5214">
        <w:rPr>
          <w:u w:val="single"/>
        </w:rPr>
        <w:t>and Trump’s rhetoric is toxic</w:t>
      </w:r>
      <w:r w:rsidRPr="00967E40">
        <w:rPr>
          <w:sz w:val="12"/>
        </w:rPr>
        <w:t xml:space="preserve">. The title of his policy guidebook, Crippled America: How to Make America Great Again (Trump 2015), offers the ugliest example of what became a pattern of ableist language over the course of his campaign. The text makes no reference to actual people with disabilities, and offers no explanation as to how the US economic predicament corresponds to authentic crip experience. Instead, throughout, </w:t>
      </w:r>
      <w:r w:rsidRPr="006C5214">
        <w:rPr>
          <w:u w:val="single"/>
        </w:rPr>
        <w:t>Trump gleefully pathologizes disability by using the title as a metaphor for economic stagnation</w:t>
      </w:r>
      <w:r w:rsidRPr="00967E40">
        <w:rPr>
          <w:sz w:val="12"/>
        </w:rPr>
        <w:t xml:space="preserve">. For Trump, ‘crippled’ means not being ‘great’ (Trump 2015, ix), not being excellent (2015, xi), and not winning (2015, 1). In Trump’s vision, </w:t>
      </w:r>
      <w:r w:rsidRPr="006C5214">
        <w:rPr>
          <w:u w:val="single"/>
        </w:rPr>
        <w:t>being ‘crippled’ is equivalent to being ‘a mess</w:t>
      </w:r>
      <w:r w:rsidRPr="00967E40">
        <w:rPr>
          <w:sz w:val="12"/>
        </w:rPr>
        <w:t xml:space="preserve">’ (2015, 8), </w:t>
      </w:r>
      <w:r w:rsidRPr="006C5214">
        <w:rPr>
          <w:u w:val="single"/>
        </w:rPr>
        <w:t>getting ‘killed’</w:t>
      </w:r>
      <w:r w:rsidRPr="00967E40">
        <w:rPr>
          <w:sz w:val="12"/>
        </w:rPr>
        <w:t xml:space="preserve"> (2015, 20), </w:t>
      </w:r>
      <w:r w:rsidRPr="006C5214">
        <w:rPr>
          <w:u w:val="single"/>
        </w:rPr>
        <w:t>and being weak and submitting</w:t>
      </w:r>
      <w:r w:rsidRPr="00967E40">
        <w:rPr>
          <w:sz w:val="12"/>
        </w:rPr>
        <w:t xml:space="preserve"> (2015, 43). </w:t>
      </w:r>
      <w:r w:rsidRPr="00967E40">
        <w:rPr>
          <w:u w:val="single"/>
        </w:rPr>
        <w:t>The pattern of Trump’s ableist rhetoric extends to his mockery of</w:t>
      </w:r>
      <w:r w:rsidRPr="00967E40">
        <w:rPr>
          <w:sz w:val="12"/>
        </w:rPr>
        <w:t xml:space="preserve"> the New York Times reporter Serge </w:t>
      </w:r>
      <w:r w:rsidRPr="00967E40">
        <w:rPr>
          <w:u w:val="single"/>
        </w:rPr>
        <w:t>Kovaleski,</w:t>
      </w:r>
      <w:r w:rsidRPr="00967E40">
        <w:rPr>
          <w:sz w:val="12"/>
        </w:rPr>
        <w:t xml:space="preserve"> his denigration of the conservative pundit </w:t>
      </w:r>
      <w:r w:rsidRPr="00967E40">
        <w:rPr>
          <w:u w:val="single"/>
        </w:rPr>
        <w:t xml:space="preserve">and </w:t>
      </w:r>
      <w:r w:rsidRPr="00967E40">
        <w:rPr>
          <w:sz w:val="12"/>
        </w:rPr>
        <w:t xml:space="preserve">wheelchair user Charles </w:t>
      </w:r>
      <w:r w:rsidRPr="00967E40">
        <w:rPr>
          <w:u w:val="single"/>
        </w:rPr>
        <w:t>Krauthammer – Trump called him ‘a “loser” who “just sits there”</w:t>
      </w:r>
      <w:r w:rsidRPr="00967E40">
        <w:rPr>
          <w:sz w:val="12"/>
        </w:rPr>
        <w:t>’ (Mizrahi 2015) – and his routine belittling of his opponents’ mental difference.</w:t>
      </w:r>
    </w:p>
    <w:p w:rsidR="008C5803" w:rsidRDefault="008C5803" w:rsidP="008C5803">
      <w:pPr>
        <w:pStyle w:val="Heading4"/>
      </w:pPr>
      <w:r>
        <w:t>Trump legitimizes neoliberal normativity and the medicalization of difference—the aff’s leftwing politics fail to usurp Trump and only solidifies support from his base</w:t>
      </w:r>
    </w:p>
    <w:p w:rsidR="008C5803" w:rsidRPr="00CE1993" w:rsidRDefault="008C5803" w:rsidP="008C5803">
      <w:r>
        <w:rPr>
          <w:b/>
        </w:rPr>
        <w:t xml:space="preserve">Harnish 17 </w:t>
      </w:r>
      <w:r w:rsidRPr="0034497D">
        <w:rPr>
          <w:sz w:val="18"/>
          <w:szCs w:val="18"/>
        </w:rPr>
        <w:t>(Andrew Harnish, Disability &amp; Society, 2/15/17, “Ableism and the Trump phenomenon,” p. 42</w:t>
      </w:r>
      <w:r>
        <w:rPr>
          <w:sz w:val="18"/>
          <w:szCs w:val="18"/>
        </w:rPr>
        <w:t>5-426</w:t>
      </w:r>
      <w:r w:rsidRPr="0034497D">
        <w:rPr>
          <w:sz w:val="18"/>
          <w:szCs w:val="18"/>
        </w:rPr>
        <w:t>, https://www.tandfonline.com/doi/pdf/10.1080/09687599.2017.1288684?needAccess=true)</w:t>
      </w:r>
      <w:r>
        <w:rPr>
          <w:sz w:val="18"/>
          <w:szCs w:val="18"/>
        </w:rPr>
        <w:t>//jy</w:t>
      </w:r>
    </w:p>
    <w:p w:rsidR="008C5803" w:rsidRDefault="008C5803" w:rsidP="008C5803">
      <w:pPr>
        <w:rPr>
          <w:sz w:val="14"/>
        </w:rPr>
      </w:pPr>
      <w:r w:rsidRPr="00042313">
        <w:rPr>
          <w:sz w:val="14"/>
        </w:rPr>
        <w:t xml:space="preserve"> But Trump did more than appeal to the rural, white working class rhetorically. He also connected with them through his embodiment. His bodily difference mirrors that of many rural, white working-class Americans. Lennard Davis’ (1995) account of the ‘hegemony of normalcy’ is essential to understanding both the left’s mockery of Trump’s embodiment and Trump’s own policing of his bodily difference, a tactic that mirrors the guarded and ableist attitudes of many of his supporters. Davis argues that the term ‘normalcy’ arose out of ‘progressive’ colonial and eugenic initiatives to ‘perfect’ populations by eliminating bodily differences, an impulse shared by scholars with ideologies as diverse as Marx and Darwin, the French statistician Adolphe Quetelet – who posited the ‘average man’ (1995, 5) as ‘exemplar of the middle way of life,’ or the normal – and the eugenicist, Sir Francis Galton, who used the notion of the ‘the normal’ in crafting statistical distributions of ‘normal, ‘ideal,’ and ‘deviant,’ which is to say, disabled, bodies (1995, 8). Davis’ account of normalcy resembles McRuer’s ‘compulsory able-bodiedness,’ but while McRuer argues that neoliberal economies reward performances of able-bodiedness, and stigmatize performances that do not conform, Davis is more concerned with how normalcy is policed culturally. </w:t>
      </w:r>
      <w:r w:rsidRPr="00A87063">
        <w:rPr>
          <w:u w:val="single"/>
        </w:rPr>
        <w:t xml:space="preserve">In ‘public venues,’ the normal is defended every time the abnormal is shown to be a threat to ‘a notion of progress, of industrialization, and of ideological consolidation of the power of the bourgeoisie’ </w:t>
      </w:r>
      <w:r w:rsidRPr="00042313">
        <w:rPr>
          <w:sz w:val="14"/>
        </w:rPr>
        <w:t xml:space="preserve">(Davis 1995, 15). Davis’ analysis is situated in the nineteenth century, during the ‘consolidation’ of the idea of the normal, and yet his claims about the enforcement of normalcy ring true </w:t>
      </w:r>
      <w:r w:rsidRPr="00A87063">
        <w:rPr>
          <w:u w:val="single"/>
        </w:rPr>
        <w:t>in the contemporary United States,</w:t>
      </w:r>
      <w:r w:rsidRPr="00042313">
        <w:rPr>
          <w:sz w:val="14"/>
        </w:rPr>
        <w:t xml:space="preserve"> where </w:t>
      </w:r>
      <w:r w:rsidRPr="00A87063">
        <w:rPr>
          <w:u w:val="single"/>
        </w:rPr>
        <w:t>notions of ‘wellness’ and the medicalization of difference are widespread</w:t>
      </w:r>
      <w:r w:rsidRPr="00042313">
        <w:rPr>
          <w:sz w:val="14"/>
        </w:rPr>
        <w:t xml:space="preserve">. Within this culture, Trump’s body does seem different; he has a heavily tanned face, (presumably) dyed orange hair, mincing arm movements, and a face that flushes easily. His nostrils are prone to ‘whistling.’ On one hand, Trump’s insistence that he is perfectly healthy (Hamblin 2016), along with his boasts about his virility (Carpentier 2016), would seem to suggest that he is comfortable with his body, but while Trump insists on his own greatness in spite of his difference, he also denounces and polices bodily difference as weakness in others – notably, Jeb Bush, whom he derided as ‘low energy,’ and Hillary Clinton, whose ‘mental and physical stamina’ he challenged (Stanage 2016). </w:t>
      </w:r>
      <w:r w:rsidRPr="00A87063">
        <w:rPr>
          <w:u w:val="single"/>
        </w:rPr>
        <w:t>Given Trump’s rhetoric, his policing of normativity is unsurprising, but the ableist mockery of Trump’s bodily difference by much of the left remains startling</w:t>
      </w:r>
      <w:r w:rsidRPr="005A595A">
        <w:rPr>
          <w:u w:val="single"/>
        </w:rPr>
        <w:t>. Throughout the campaign, memes mocking Trump’s differences circulated widely.</w:t>
      </w:r>
      <w:r w:rsidRPr="00042313">
        <w:rPr>
          <w:sz w:val="14"/>
        </w:rPr>
        <w:t xml:space="preserve"> Given how often the left attacked Trump for his racist rhetoric, its willingness to traffic in ableism is troubling. </w:t>
      </w:r>
      <w:r w:rsidRPr="00812D3D">
        <w:rPr>
          <w:u w:val="single"/>
        </w:rPr>
        <w:t>It was also destructive to the cause of defeating Trump, because these same memes – and the mockery of Trump for his famous ‘Make America Great Again’ trucker hat</w:t>
      </w:r>
      <w:r w:rsidRPr="00042313">
        <w:rPr>
          <w:sz w:val="14"/>
        </w:rPr>
        <w:t xml:space="preserve">, a sartorial choice that does not seem out of place in rural communities – </w:t>
      </w:r>
      <w:r w:rsidRPr="00812D3D">
        <w:rPr>
          <w:u w:val="single"/>
        </w:rPr>
        <w:t>only served to solidify Trump’s appeal to much of his white working-class base. Many white working-class Americans also feel nonnormative</w:t>
      </w:r>
      <w:r w:rsidRPr="00042313">
        <w:rPr>
          <w:sz w:val="14"/>
        </w:rPr>
        <w:t xml:space="preserve">, either </w:t>
      </w:r>
      <w:r w:rsidRPr="00812D3D">
        <w:rPr>
          <w:u w:val="single"/>
        </w:rPr>
        <w:t>because of economic anxiety</w:t>
      </w:r>
      <w:r w:rsidRPr="00042313">
        <w:rPr>
          <w:sz w:val="14"/>
        </w:rPr>
        <w:t xml:space="preserve"> or shame </w:t>
      </w:r>
      <w:r w:rsidRPr="00812D3D">
        <w:rPr>
          <w:u w:val="single"/>
        </w:rPr>
        <w:t>or</w:t>
      </w:r>
      <w:r w:rsidRPr="00042313">
        <w:rPr>
          <w:sz w:val="14"/>
        </w:rPr>
        <w:t xml:space="preserve">, even more troublingly, </w:t>
      </w:r>
      <w:r w:rsidRPr="00812D3D">
        <w:rPr>
          <w:u w:val="single"/>
        </w:rPr>
        <w:t>because their tolerance of racial prejudice defies the norms of ‘polite’ societ</w:t>
      </w:r>
      <w:r w:rsidRPr="00042313">
        <w:rPr>
          <w:sz w:val="14"/>
        </w:rPr>
        <w:t>y. Because conservative, ‘independent’ rural culture offers few narratives that treat non-normativity and difference as values to be welcomed and fostered</w:t>
      </w:r>
      <w:r w:rsidRPr="00812D3D">
        <w:rPr>
          <w:u w:val="single"/>
        </w:rPr>
        <w:t>, Trump’s aggressive claims of his own greatness and denigration of others allow many of his rural, white working-class supporters to assert a new</w:t>
      </w:r>
      <w:r w:rsidRPr="00042313">
        <w:rPr>
          <w:sz w:val="14"/>
        </w:rPr>
        <w:t xml:space="preserve"> (yet retrograde) </w:t>
      </w:r>
      <w:r w:rsidRPr="00812D3D">
        <w:rPr>
          <w:u w:val="single"/>
        </w:rPr>
        <w:t>form of normativity.</w:t>
      </w:r>
      <w:r w:rsidRPr="00042313">
        <w:rPr>
          <w:sz w:val="14"/>
        </w:rPr>
        <w:t xml:space="preserve"> This is Trump’s form of normativity, in which everyone who endorses him is great, and everyone who objects to him – or to whom he objects – is worthy of derision, ableist mockery, and even outright violence. Again, Trump’s assertions of his personal greatness could function as affirming of difference if he did not pair that rhetoric with the ableist denigration of bodily difference in others, if his campaign was not premised on ableist rhetoric, and if he did not promise to upend much of the regulatory and social service infrastructure that people with disabilities depend on.</w:t>
      </w:r>
    </w:p>
    <w:p w:rsidR="008C5803" w:rsidRPr="008C5803" w:rsidRDefault="008C5803" w:rsidP="008C5803"/>
    <w:p w:rsidR="00CE6D10" w:rsidRPr="00F933AF" w:rsidRDefault="00CE6D10" w:rsidP="00CE6D10">
      <w:pPr>
        <w:pStyle w:val="Heading4"/>
        <w:rPr>
          <w:rFonts w:cs="Calibri"/>
        </w:rPr>
      </w:pPr>
      <w:r w:rsidRPr="00F933AF">
        <w:rPr>
          <w:rFonts w:cs="Calibri"/>
        </w:rPr>
        <w:t>The political has already been ceded—Trump is mutually exclusive with disability rights—the only alternative is to interrogate ableist assumptions and recognize larger historical structures which continue relegate those with disabilities to the periphery</w:t>
      </w:r>
    </w:p>
    <w:p w:rsidR="00CE6D10" w:rsidRPr="00F933AF" w:rsidRDefault="00CE6D10" w:rsidP="00CE6D10">
      <w:pPr>
        <w:rPr>
          <w:rFonts w:cs="Calibri"/>
        </w:rPr>
      </w:pPr>
      <w:r w:rsidRPr="00F933AF">
        <w:rPr>
          <w:rFonts w:cs="Calibri"/>
          <w:b/>
        </w:rPr>
        <w:t xml:space="preserve">Zaikowski 16 </w:t>
      </w:r>
      <w:r w:rsidRPr="00F933AF">
        <w:rPr>
          <w:rFonts w:cs="Calibri"/>
          <w:sz w:val="18"/>
          <w:szCs w:val="18"/>
        </w:rPr>
        <w:t xml:space="preserve">(Carolyn Zaikowski, writer who focuses on veganism, feminism, trauma, and language, Medium, 11/18/16, “Disabled People Will Die </w:t>
      </w:r>
      <w:proofErr w:type="gramStart"/>
      <w:r w:rsidRPr="00F933AF">
        <w:rPr>
          <w:rFonts w:cs="Calibri"/>
          <w:sz w:val="18"/>
          <w:szCs w:val="18"/>
        </w:rPr>
        <w:t>Under</w:t>
      </w:r>
      <w:proofErr w:type="gramEnd"/>
      <w:r w:rsidRPr="00F933AF">
        <w:rPr>
          <w:rFonts w:cs="Calibri"/>
          <w:sz w:val="18"/>
          <w:szCs w:val="18"/>
        </w:rPr>
        <w:t xml:space="preserve"> Trump: An Emergency Plea to Allies,” https://medium.com/@carolynzaikowski/disabled-people-will-die-under-trump-an-emergency-plea-to-allies-7014382adf33)jy</w:t>
      </w:r>
    </w:p>
    <w:p w:rsidR="00CE6D10" w:rsidRPr="00F933AF" w:rsidRDefault="00CE6D10" w:rsidP="00CE6D10">
      <w:pPr>
        <w:rPr>
          <w:rFonts w:cs="Calibri"/>
          <w:sz w:val="12"/>
        </w:rPr>
      </w:pPr>
      <w:r w:rsidRPr="00F933AF">
        <w:rPr>
          <w:rFonts w:cs="Calibri"/>
          <w:sz w:val="12"/>
        </w:rPr>
        <w:t xml:space="preserve">This is an emergency plea to those upset about a pending Trump presidency. I’d like to especially address intersectional feminists, radicals, anarchists, socialists, and others in the USA who are able-bodied and drawn towards systems-level analysis and organizing for radical change. </w:t>
      </w:r>
      <w:r w:rsidRPr="00F933AF">
        <w:rPr>
          <w:rFonts w:cs="Calibri"/>
          <w:u w:val="single"/>
        </w:rPr>
        <w:t xml:space="preserve">People with </w:t>
      </w:r>
      <w:hyperlink r:id="rId401" w:tgtFrame="_blank" w:history="1">
        <w:r w:rsidRPr="00F933AF">
          <w:rPr>
            <w:rStyle w:val="Hyperlink"/>
            <w:rFonts w:cs="Calibri"/>
            <w:u w:val="single"/>
          </w:rPr>
          <w:t>disabilities</w:t>
        </w:r>
      </w:hyperlink>
      <w:r w:rsidRPr="00F933AF">
        <w:rPr>
          <w:rFonts w:cs="Calibri"/>
          <w:u w:val="single"/>
        </w:rPr>
        <w:t xml:space="preserve"> and chronic illnesses will die under a Trump presidency</w:t>
      </w:r>
      <w:r w:rsidRPr="00F933AF">
        <w:rPr>
          <w:rFonts w:cs="Calibri"/>
          <w:sz w:val="12"/>
        </w:rPr>
        <w:t xml:space="preserve">. Full stop. We will die because of him. This is an emergency situation and we need emergency solidarity, immediately, from every single one of you. Right now, many of us feel like you do not understand the horror of this situation. Social justice activists, </w:t>
      </w:r>
      <w:r w:rsidRPr="00F933AF">
        <w:rPr>
          <w:rFonts w:cs="Calibri"/>
          <w:u w:val="single"/>
        </w:rPr>
        <w:t>why is ableism so often relegated to the periphery of your analysis</w:t>
      </w:r>
      <w:r w:rsidRPr="00F933AF">
        <w:rPr>
          <w:rFonts w:cs="Calibri"/>
          <w:sz w:val="12"/>
        </w:rPr>
        <w:t xml:space="preserve">? Many disabled people feel right now that they desperately need you and can’t find you. Maybe it’s </w:t>
      </w:r>
      <w:r w:rsidRPr="00F933AF">
        <w:rPr>
          <w:rFonts w:cs="Calibri"/>
          <w:i/>
          <w:sz w:val="12"/>
        </w:rPr>
        <w:t>the cultural lineage of eugenics and Social Darwinism</w:t>
      </w:r>
      <w:r w:rsidRPr="00F933AF">
        <w:rPr>
          <w:rFonts w:cs="Calibri"/>
          <w:sz w:val="12"/>
        </w:rPr>
        <w:t xml:space="preserve"> which </w:t>
      </w:r>
      <w:r w:rsidRPr="00F933AF">
        <w:rPr>
          <w:rFonts w:cs="Calibri"/>
          <w:u w:val="single"/>
        </w:rPr>
        <w:t>has created an ableist norm, a veil of neutrality over what is actually a system of domination.</w:t>
      </w:r>
      <w:r w:rsidRPr="00F933AF">
        <w:rPr>
          <w:rFonts w:cs="Calibri"/>
          <w:sz w:val="12"/>
        </w:rPr>
        <w:t xml:space="preserve"> Maybe it has to do with an association between disability awareness campaigns and a vague sense of apolitical softness or even conservatism, as if caring about disability is not the job of radicals, but the job of celebrity doctors, colored ribbon campaigns, and concerned suburban moms. Or maybe it has something to do with a sense of not being personally affected by disability. You shouldn’t have to be personally affected by something to care about it, but if helps, here’s a reminder: Every single one of you could become disabled or chronically ill at the drop of a hat, and you’re going to be living under Trump, too. </w:t>
      </w:r>
      <w:r w:rsidRPr="00F933AF">
        <w:rPr>
          <w:rFonts w:cs="Calibri"/>
          <w:u w:val="single"/>
        </w:rPr>
        <w:t>Donald Trump,</w:t>
      </w:r>
      <w:r w:rsidRPr="00F933AF">
        <w:rPr>
          <w:rFonts w:cs="Calibri"/>
          <w:sz w:val="12"/>
        </w:rPr>
        <w:t xml:space="preserve"> in addition to being one of the most racist, sexist, xenophobic, homophobic, transphobic, Islamophobic, anti-Semitic, classist, capitalist, all-around hateful and terrifying US presidents in history</w:t>
      </w:r>
      <w:r w:rsidRPr="00F933AF">
        <w:rPr>
          <w:rFonts w:cs="Calibri"/>
          <w:u w:val="single"/>
        </w:rPr>
        <w:t>, is</w:t>
      </w:r>
      <w:r w:rsidRPr="00F933AF">
        <w:rPr>
          <w:rFonts w:cs="Calibri"/>
          <w:sz w:val="12"/>
        </w:rPr>
        <w:t xml:space="preserve"> also </w:t>
      </w:r>
      <w:r w:rsidRPr="00F933AF">
        <w:rPr>
          <w:rFonts w:cs="Calibri"/>
          <w:u w:val="single"/>
        </w:rPr>
        <w:t>on track to be the most ableist president. His oft-stated goal of virtually dismantling Medicaid and Obamacare is perhaps the most brazen way in which he will boot-stomp and kill disabled and sick folks</w:t>
      </w:r>
      <w:r w:rsidRPr="00F933AF">
        <w:rPr>
          <w:rFonts w:cs="Calibri"/>
          <w:sz w:val="12"/>
        </w:rPr>
        <w:t xml:space="preserve">. (And this is not to mention other healthcare-related questions: What is going to happen to reproductive rights? What is going to happen to transfolk who use hormones?) </w:t>
      </w:r>
      <w:r w:rsidRPr="00F933AF">
        <w:rPr>
          <w:rFonts w:cs="Calibri"/>
          <w:u w:val="single"/>
        </w:rPr>
        <w:t xml:space="preserve">But Trump’s nasty ableist ideology doesn’t end at healthcare. Trump has contributed to an ableist cultural psychology by openly </w:t>
      </w:r>
      <w:hyperlink r:id="rId402" w:tgtFrame="_blank" w:history="1">
        <w:r w:rsidRPr="00F933AF">
          <w:rPr>
            <w:rStyle w:val="Hyperlink"/>
            <w:rFonts w:cs="Calibri"/>
            <w:u w:val="single"/>
          </w:rPr>
          <w:t>mocking disabled people</w:t>
        </w:r>
      </w:hyperlink>
      <w:r w:rsidRPr="00F933AF">
        <w:rPr>
          <w:rFonts w:cs="Calibri"/>
          <w:u w:val="single"/>
        </w:rPr>
        <w:t xml:space="preserve"> and he has been charged with consistent ADA violations in his business ventures.</w:t>
      </w:r>
      <w:r w:rsidRPr="00F933AF">
        <w:rPr>
          <w:rFonts w:cs="Calibri"/>
          <w:sz w:val="12"/>
        </w:rPr>
        <w:t xml:space="preserve"> This includes cases so egregious that the Department of Justice had to </w:t>
      </w:r>
      <w:hyperlink r:id="rId403" w:tgtFrame="_blank" w:history="1">
        <w:r w:rsidRPr="00F933AF">
          <w:rPr>
            <w:rStyle w:val="Hyperlink"/>
            <w:rFonts w:cs="Calibri"/>
            <w:sz w:val="12"/>
          </w:rPr>
          <w:t xml:space="preserve">get </w:t>
        </w:r>
        <w:proofErr w:type="gramStart"/>
        <w:r w:rsidRPr="00F933AF">
          <w:rPr>
            <w:rStyle w:val="Hyperlink"/>
            <w:rFonts w:cs="Calibri"/>
            <w:sz w:val="12"/>
          </w:rPr>
          <w:t xml:space="preserve">involved </w:t>
        </w:r>
        <w:proofErr w:type="gramEnd"/>
      </w:hyperlink>
      <w:r w:rsidRPr="00F933AF">
        <w:rPr>
          <w:rFonts w:cs="Calibri"/>
          <w:sz w:val="12"/>
        </w:rPr>
        <w:t xml:space="preserve">. </w:t>
      </w:r>
      <w:r w:rsidRPr="00F933AF">
        <w:rPr>
          <w:rFonts w:cs="Calibri"/>
          <w:u w:val="single"/>
        </w:rPr>
        <w:t xml:space="preserve">Trump believes capitalists are “oppressed” by the imposition of the Americans with Disabilities Act and has repeatedly spoken of </w:t>
      </w:r>
      <w:hyperlink r:id="rId404" w:tgtFrame="_blank" w:history="1">
        <w:r w:rsidRPr="00F933AF">
          <w:rPr>
            <w:rStyle w:val="Hyperlink"/>
            <w:rFonts w:cs="Calibri"/>
            <w:u w:val="single"/>
          </w:rPr>
          <w:t>supporting legislation</w:t>
        </w:r>
      </w:hyperlink>
      <w:r w:rsidRPr="00F933AF">
        <w:rPr>
          <w:rFonts w:cs="Calibri"/>
          <w:u w:val="single"/>
        </w:rPr>
        <w:t xml:space="preserve"> that would seriously limit the seminal act’s powers. Immediately addressing this emergency also requires immediately addressing ableism’s intersection with other oppressive systems. </w:t>
      </w:r>
      <w:r w:rsidRPr="00F933AF">
        <w:rPr>
          <w:rFonts w:cs="Calibri"/>
          <w:sz w:val="12"/>
        </w:rPr>
        <w:t xml:space="preserve">For example, Black folks are </w:t>
      </w:r>
      <w:hyperlink r:id="rId405" w:tgtFrame="_blank" w:history="1">
        <w:r w:rsidRPr="00F933AF">
          <w:rPr>
            <w:rStyle w:val="Hyperlink"/>
            <w:rFonts w:cs="Calibri"/>
            <w:sz w:val="12"/>
          </w:rPr>
          <w:t>2.5 times more likely</w:t>
        </w:r>
      </w:hyperlink>
      <w:r w:rsidRPr="00F933AF">
        <w:rPr>
          <w:rFonts w:cs="Calibri"/>
          <w:sz w:val="12"/>
        </w:rPr>
        <w:t xml:space="preserve"> to be killed by police than whites and </w:t>
      </w:r>
      <w:hyperlink r:id="rId406" w:tgtFrame="_blank" w:history="1">
        <w:r w:rsidRPr="00F933AF">
          <w:rPr>
            <w:rStyle w:val="Hyperlink"/>
            <w:rFonts w:cs="Calibri"/>
            <w:sz w:val="12"/>
          </w:rPr>
          <w:t>a full half</w:t>
        </w:r>
      </w:hyperlink>
      <w:r w:rsidRPr="00F933AF">
        <w:rPr>
          <w:rFonts w:cs="Calibri"/>
          <w:sz w:val="12"/>
        </w:rPr>
        <w:t xml:space="preserve"> of people killed by police are disabled. </w:t>
      </w:r>
      <w:r w:rsidRPr="00F933AF">
        <w:rPr>
          <w:rFonts w:cs="Calibri"/>
          <w:u w:val="single"/>
        </w:rPr>
        <w:t xml:space="preserve">This means that Trump’s potential Department of Justice policies, which will leave police even more unaccountable and militarized than already are, will have </w:t>
      </w:r>
      <w:hyperlink r:id="rId407" w:tgtFrame="_blank" w:history="1">
        <w:r w:rsidRPr="00F933AF">
          <w:rPr>
            <w:rStyle w:val="Hyperlink"/>
            <w:rFonts w:cs="Calibri"/>
            <w:u w:val="single"/>
          </w:rPr>
          <w:t>drastic effects</w:t>
        </w:r>
      </w:hyperlink>
      <w:r w:rsidRPr="00F933AF">
        <w:rPr>
          <w:rFonts w:cs="Calibri"/>
          <w:u w:val="single"/>
        </w:rPr>
        <w:t xml:space="preserve"> on disabled people in general, and disabled people of color in particular</w:t>
      </w:r>
      <w:r w:rsidRPr="00F933AF">
        <w:rPr>
          <w:rFonts w:cs="Calibri"/>
          <w:sz w:val="12"/>
        </w:rPr>
        <w:t xml:space="preserve">. Indeed, </w:t>
      </w:r>
      <w:r w:rsidRPr="00F933AF">
        <w:rPr>
          <w:rFonts w:cs="Calibri"/>
          <w:u w:val="single"/>
        </w:rPr>
        <w:t>the disabled people who are most at risk for harm and death will be those already suffering other injustices</w:t>
      </w:r>
      <w:r w:rsidRPr="00F933AF">
        <w:rPr>
          <w:rFonts w:cs="Calibri"/>
          <w:sz w:val="12"/>
        </w:rPr>
        <w:t xml:space="preserve">. Many will be </w:t>
      </w:r>
      <w:hyperlink r:id="rId408" w:tgtFrame="_blank" w:history="1">
        <w:r w:rsidRPr="00F933AF">
          <w:rPr>
            <w:rStyle w:val="Hyperlink"/>
            <w:rFonts w:cs="Calibri"/>
            <w:sz w:val="12"/>
          </w:rPr>
          <w:t>people of color</w:t>
        </w:r>
      </w:hyperlink>
      <w:r w:rsidRPr="00F933AF">
        <w:rPr>
          <w:rFonts w:cs="Calibri"/>
          <w:sz w:val="12"/>
        </w:rPr>
        <w:t xml:space="preserve"> </w:t>
      </w:r>
      <w:hyperlink r:id="rId409" w:tgtFrame="_blank" w:history="1">
        <w:r w:rsidRPr="00F933AF">
          <w:rPr>
            <w:rStyle w:val="Hyperlink"/>
            <w:rFonts w:cs="Calibri"/>
            <w:sz w:val="12"/>
          </w:rPr>
          <w:t>and</w:t>
        </w:r>
      </w:hyperlink>
      <w:r w:rsidRPr="00F933AF">
        <w:rPr>
          <w:rFonts w:cs="Calibri"/>
          <w:sz w:val="12"/>
        </w:rPr>
        <w:t xml:space="preserve"> </w:t>
      </w:r>
      <w:hyperlink r:id="rId410" w:tgtFrame="_blank" w:history="1">
        <w:r w:rsidRPr="00F933AF">
          <w:rPr>
            <w:rStyle w:val="Hyperlink"/>
            <w:rFonts w:cs="Calibri"/>
            <w:sz w:val="12"/>
          </w:rPr>
          <w:t>women</w:t>
        </w:r>
      </w:hyperlink>
      <w:r w:rsidRPr="00F933AF">
        <w:rPr>
          <w:rFonts w:cs="Calibri"/>
          <w:sz w:val="12"/>
        </w:rPr>
        <w:t xml:space="preserve"> who are already discriminated against in emergency rooms. </w:t>
      </w:r>
      <w:r w:rsidRPr="00F933AF">
        <w:rPr>
          <w:rFonts w:cs="Calibri"/>
          <w:u w:val="single"/>
        </w:rPr>
        <w:t>Many will be immigrants and migrant workers</w:t>
      </w:r>
      <w:r w:rsidRPr="00F933AF">
        <w:rPr>
          <w:rFonts w:cs="Calibri"/>
          <w:sz w:val="12"/>
        </w:rPr>
        <w:t xml:space="preserve">. Many will be single mothers. Many will be LGBTQ folks. Many will be people who do not speak English, the US’s dominant language. Many will be Native Americans. Many will be severely disabled people needing total care and living in group homes, which are at risk of losing funding. Many will be disabled children in underfunded schools who risk losing their already minimal accommodations. Many will be people who are isolated, without friends or family. Almost all will be working class and poor. I care about the difference between radical and liberal US politics, between politics as usual and actual systemic change. I care about the similarities between Republicans and Democrats and how capitalism, imperialism, sexism, racism, police states, and war have been fostered by both parties. I was even stubborn about supporting Bernie, a lesser of three evils candidate whose </w:t>
      </w:r>
      <w:hyperlink r:id="rId411" w:tgtFrame="_blank" w:history="1">
        <w:r w:rsidRPr="00F933AF">
          <w:rPr>
            <w:rStyle w:val="Hyperlink"/>
            <w:rFonts w:cs="Calibri"/>
            <w:sz w:val="12"/>
          </w:rPr>
          <w:t>seriously problematic</w:t>
        </w:r>
      </w:hyperlink>
      <w:r w:rsidRPr="00F933AF">
        <w:rPr>
          <w:rFonts w:cs="Calibri"/>
          <w:sz w:val="12"/>
        </w:rPr>
        <w:t xml:space="preserve"> pro-war </w:t>
      </w:r>
      <w:hyperlink r:id="rId412" w:anchor=".WCnlWS0rLIU" w:tgtFrame="_blank" w:history="1">
        <w:r w:rsidRPr="00F933AF">
          <w:rPr>
            <w:rStyle w:val="Hyperlink"/>
            <w:rFonts w:cs="Calibri"/>
            <w:sz w:val="12"/>
          </w:rPr>
          <w:t>voting record</w:t>
        </w:r>
      </w:hyperlink>
      <w:r w:rsidRPr="00F933AF">
        <w:rPr>
          <w:rFonts w:cs="Calibri"/>
          <w:sz w:val="12"/>
        </w:rPr>
        <w:t xml:space="preserve"> left me deeply conflicted. </w:t>
      </w:r>
      <w:r w:rsidRPr="00F933AF">
        <w:rPr>
          <w:rFonts w:cs="Calibri"/>
          <w:u w:val="single"/>
        </w:rPr>
        <w:t>But there is nothing more privileged than being able to comfortably intellectualize and debate about a utopian future without having to worry about your physical or emotional survival in the present.</w:t>
      </w:r>
      <w:r w:rsidRPr="00F933AF">
        <w:rPr>
          <w:rFonts w:cs="Calibri"/>
          <w:sz w:val="12"/>
        </w:rPr>
        <w:t xml:space="preserve"> Without having to wade through the resultant muck after systems of oppression pit your survival against your ethical purity. This is the first time in my life I have not voted third party. Significantly reduced risk to disabled people in the United States is but one way in which a Clinton presidency would have had immediate, physical, survival-level differences from a Trump one. And always, always, always the complications of ableism get exacerbated by elements like gender, race, class, immigration status, being a member of a persecuted religion, age, veteran status, and being LGBTQ. With Clinton and all of her profound flaws, we could have at least maintained a status quo and kept fighting from there. We could have at least minimized deaths of, and harm against, disabled people. Now we’re moving backwards and </w:t>
      </w:r>
      <w:r w:rsidRPr="00F933AF">
        <w:rPr>
          <w:rFonts w:cs="Calibri"/>
          <w:u w:val="single"/>
        </w:rPr>
        <w:t xml:space="preserve">many disabled people are going to die. </w:t>
      </w:r>
      <w:r w:rsidRPr="00F933AF">
        <w:rPr>
          <w:rFonts w:cs="Calibri"/>
          <w:sz w:val="12"/>
        </w:rPr>
        <w:t xml:space="preserve">Full stop. So here we are. </w:t>
      </w:r>
      <w:r w:rsidRPr="00F933AF">
        <w:rPr>
          <w:rFonts w:cs="Calibri"/>
          <w:u w:val="single"/>
        </w:rPr>
        <w:t>We have elected a textbook authoritarian.</w:t>
      </w:r>
      <w:r w:rsidRPr="00F933AF">
        <w:rPr>
          <w:rFonts w:cs="Calibri"/>
          <w:sz w:val="12"/>
        </w:rPr>
        <w:t xml:space="preserve"> We are in uncharted waters, even for the USA. And right now, more than ever, if you are an ally, then you need to say the word “ableism.” Look at the reality of what Trump might do and say “that is ableist and horrifying.” Say “ableism” in the lists of oppressive “isms” you’ve been making lately in your articles, Tweets, posts, lesson plans, protest signs, and conversations</w:t>
      </w:r>
      <w:r w:rsidRPr="00F933AF">
        <w:rPr>
          <w:rFonts w:cs="Calibri"/>
          <w:u w:val="single"/>
        </w:rPr>
        <w:t>. Look at the terrifying history of what other authoritarians have done to disabled people,</w:t>
      </w:r>
      <w:r w:rsidRPr="00F933AF">
        <w:rPr>
          <w:rFonts w:cs="Calibri"/>
          <w:sz w:val="12"/>
        </w:rPr>
        <w:t xml:space="preserve"> then say “ableism” loudly, forcefully, whenever necessary, and mean it with all of your heart and mind. </w:t>
      </w:r>
      <w:r w:rsidRPr="00F933AF">
        <w:rPr>
          <w:rFonts w:cs="Calibri"/>
          <w:u w:val="single"/>
        </w:rPr>
        <w:t>If you want to be an ally, if you want to stand in solidarity in any manner that could be considered feminist, intersectional, radical, or otherwise enlightened, it is required that you develop a sense of passionate injustice about ableism</w:t>
      </w:r>
      <w:r w:rsidRPr="00F933AF">
        <w:rPr>
          <w:rFonts w:cs="Calibri"/>
          <w:sz w:val="12"/>
        </w:rPr>
        <w:t xml:space="preserve">. Able-bodied people, I don’t know how to say it more clearly. This is a literal emergency, as in: </w:t>
      </w:r>
      <w:r w:rsidRPr="00F933AF">
        <w:rPr>
          <w:rFonts w:cs="Calibri"/>
          <w:u w:val="single"/>
        </w:rPr>
        <w:t>Actual emergency rooms will be overflowing. As in: Death and levels of physical and psychological suffering you cannot comprehend.</w:t>
      </w:r>
      <w:r w:rsidRPr="00F933AF">
        <w:rPr>
          <w:rFonts w:cs="Calibri"/>
          <w:sz w:val="12"/>
        </w:rPr>
        <w:t xml:space="preserve"> As in: </w:t>
      </w:r>
      <w:r w:rsidRPr="00F933AF">
        <w:rPr>
          <w:rFonts w:cs="Calibri"/>
          <w:u w:val="single"/>
        </w:rPr>
        <w:t>Disabled people don’t historically fare well under authoritarian governments. You need to use whatever platforms you can access to raise awareness, organize, and make constant connections between ableism and its intersections with other injustices and political cruelties</w:t>
      </w:r>
      <w:r w:rsidRPr="00F933AF">
        <w:rPr>
          <w:rFonts w:cs="Calibri"/>
          <w:sz w:val="12"/>
        </w:rPr>
        <w:t xml:space="preserve">. If you have money, you need to donate to disability rights organizations, as well as organizations like the ACLU and Planned Parenthood. You need to write these articles so disabled and sick people don’t have to. </w:t>
      </w:r>
      <w:r w:rsidRPr="00F933AF">
        <w:rPr>
          <w:rFonts w:cs="Calibri"/>
          <w:u w:val="single"/>
        </w:rPr>
        <w:t>You need to learn about issues like rampant physical, sexual, emotional, and economic abuse of disabled people. You need to learn about things like invisible disabilities, the obstacles that keep disabled folks from voting, the internalized ableism that makes disabled people hate themselves, and disabled people’s remarkable resistance movements. You need to teach yourself and others about the horrifying history, both in the US and abroad, of human societies’ various attempts to kill and stomp disabled people into the ground.</w:t>
      </w:r>
      <w:r w:rsidRPr="00F933AF">
        <w:rPr>
          <w:rFonts w:cs="Calibri"/>
          <w:sz w:val="12"/>
        </w:rPr>
        <w:t xml:space="preserve"> You need to do all kinds of things I can’t think of right now because I have Ehlers-Danlos Syndrome and PTSD and the stress of this election is making me physically ill. The bottom line: You need to act and be sneaky and crafty and smart and do the work. None of us can be free until all of us are free. So say “ableism” and mean it. We really, really need you.</w:t>
      </w:r>
    </w:p>
    <w:p w:rsidR="008C5803" w:rsidRDefault="008C5803" w:rsidP="008C5803">
      <w:pPr>
        <w:pStyle w:val="Heading3"/>
      </w:pPr>
      <w:r>
        <w:t>Subjectivity DA</w:t>
      </w:r>
    </w:p>
    <w:p w:rsidR="008C5803" w:rsidRDefault="008C5803" w:rsidP="008C5803">
      <w:pPr>
        <w:pStyle w:val="Heading4"/>
      </w:pPr>
      <w:r>
        <w:t>The aff’s policy proposal produces the same alienation of rural America which allowed for Trump to be elected—the only alternative is to reformulate our subjectivities to include values of bodily difference and the crip experience</w:t>
      </w:r>
    </w:p>
    <w:p w:rsidR="008C5803" w:rsidRPr="00BE5569" w:rsidRDefault="008C5803" w:rsidP="008C5803">
      <w:r>
        <w:rPr>
          <w:b/>
        </w:rPr>
        <w:t xml:space="preserve">Harnish 17 </w:t>
      </w:r>
      <w:r w:rsidRPr="0034497D">
        <w:rPr>
          <w:sz w:val="18"/>
          <w:szCs w:val="18"/>
        </w:rPr>
        <w:t>(Andrew Harnish, Disability &amp; Society, 2/15/17, “Ableism and the Trump phenomenon,” p. 42</w:t>
      </w:r>
      <w:r>
        <w:rPr>
          <w:sz w:val="18"/>
          <w:szCs w:val="18"/>
        </w:rPr>
        <w:t>6-427</w:t>
      </w:r>
      <w:r w:rsidRPr="0034497D">
        <w:rPr>
          <w:sz w:val="18"/>
          <w:szCs w:val="18"/>
        </w:rPr>
        <w:t>, https://www.tandfonline.com/doi/pdf/10.1080/09687599.2017.1288684?needAccess=true)</w:t>
      </w:r>
      <w:r>
        <w:rPr>
          <w:sz w:val="18"/>
          <w:szCs w:val="18"/>
        </w:rPr>
        <w:t>//jy</w:t>
      </w:r>
    </w:p>
    <w:p w:rsidR="008C5803" w:rsidRDefault="008C5803" w:rsidP="008C5803">
      <w:pPr>
        <w:rPr>
          <w:u w:val="single"/>
        </w:rPr>
      </w:pPr>
      <w:r w:rsidRPr="0068551B">
        <w:rPr>
          <w:u w:val="single"/>
        </w:rPr>
        <w:t>The success of Trump’s toxic rhetoric</w:t>
      </w:r>
      <w:r w:rsidRPr="006E05E2">
        <w:rPr>
          <w:sz w:val="14"/>
        </w:rPr>
        <w:t xml:space="preserve"> and various misdirections </w:t>
      </w:r>
      <w:r w:rsidRPr="0068551B">
        <w:rPr>
          <w:u w:val="single"/>
        </w:rPr>
        <w:t>means that people with disabilities and other minorities will bear the brunt of his policies. While those of us on the left have rightly denounced Trump’s rhetoric and policies, we have not offered a set of policy alternatives that are attractive to rural, working-class communities.</w:t>
      </w:r>
      <w:r w:rsidRPr="006E05E2">
        <w:rPr>
          <w:sz w:val="14"/>
        </w:rPr>
        <w:t xml:space="preserve"> So the question for those who oppose Trump in the United States and around the world should be not just ‘How do we constrain Donald Trump’s ableist and racist neoliberalism?,’ but also ‘How do we find common cause with those whose particular mix of suffering, privilege, and isolation has caused them to fear their difference and embrace communities that discourage their thriving?’ In answering these questions, </w:t>
      </w:r>
      <w:r w:rsidRPr="006E05E2">
        <w:rPr>
          <w:u w:val="single"/>
        </w:rPr>
        <w:t>we must find ways to counter the ableist and racist rhetoric that</w:t>
      </w:r>
      <w:r w:rsidRPr="006E05E2">
        <w:rPr>
          <w:sz w:val="14"/>
        </w:rPr>
        <w:t xml:space="preserve"> seems likely to </w:t>
      </w:r>
      <w:r w:rsidRPr="006E05E2">
        <w:rPr>
          <w:u w:val="single"/>
        </w:rPr>
        <w:t>continue to be deployed by the Trump administration. We must argue all the more forcefully for the value of bodily difference, for the value of diverse perspectives and experiences, and find ways to relate an inclusive vision to those who have felt for too long that the only way to cope with bodily difference and economic pain is to deny them and denounce others.</w:t>
      </w:r>
    </w:p>
    <w:p w:rsidR="001902FF" w:rsidRPr="001902FF" w:rsidRDefault="001902FF" w:rsidP="001902FF">
      <w:pPr>
        <w:pStyle w:val="Heading3"/>
        <w:rPr>
          <w:rStyle w:val="StyleUnderline"/>
          <w:sz w:val="32"/>
        </w:rPr>
      </w:pPr>
      <w:r w:rsidRPr="001902FF">
        <w:rPr>
          <w:rStyle w:val="StyleUnderline"/>
          <w:sz w:val="32"/>
        </w:rPr>
        <w:t>Reps First</w:t>
      </w:r>
    </w:p>
    <w:p w:rsidR="001902FF" w:rsidRDefault="001902FF" w:rsidP="001902FF">
      <w:pPr>
        <w:pStyle w:val="Heading4"/>
      </w:pPr>
      <w:r>
        <w:t>Incorporating disability representations into debate is a prerequisite to the aff</w:t>
      </w:r>
    </w:p>
    <w:p w:rsidR="001902FF" w:rsidRPr="00AD2F25" w:rsidRDefault="001902FF" w:rsidP="001902FF">
      <w:r w:rsidRPr="00AD2F25">
        <w:rPr>
          <w:rStyle w:val="Style13ptBold"/>
        </w:rPr>
        <w:t>EL-LAHIB 15</w:t>
      </w:r>
      <w:r>
        <w:t xml:space="preserve"> </w:t>
      </w:r>
      <w:r w:rsidRPr="00AD2F25">
        <w:t>(YAHYA EL-LAHIB, Faculty of Social Work, University of Calgary, Alberta, Canada</w:t>
      </w:r>
      <w:r>
        <w:t>, "</w:t>
      </w:r>
      <w:r w:rsidRPr="00AD2F25">
        <w:t xml:space="preserve"> </w:t>
      </w:r>
      <w:r>
        <w:t>The Inadmissible “Other”: Discourses of Ableism and Colonialism in Canadian Immigration", 7-13-15,</w:t>
      </w:r>
      <w:r w:rsidRPr="00AD2F25">
        <w:t xml:space="preserve"> Journal of Progressive Human Services, https://www-tandfonline-com.proxy.lib.umich.edu/doi/pdf/10.1080/10428232.2015.1063355?needAccess=true)</w:t>
      </w:r>
      <w:r>
        <w:t>//AO</w:t>
      </w:r>
    </w:p>
    <w:p w:rsidR="001902FF" w:rsidRPr="00AD2F25" w:rsidRDefault="001902FF" w:rsidP="001902FF">
      <w:pPr>
        <w:rPr>
          <w:u w:val="single"/>
        </w:rPr>
      </w:pPr>
      <w:r w:rsidRPr="00AD2F25">
        <w:rPr>
          <w:sz w:val="16"/>
        </w:rPr>
        <w:t xml:space="preserve">Considering the above-noted gaps in the scholarship, I propose the importance of </w:t>
      </w:r>
      <w:r w:rsidRPr="00AD2F25">
        <w:rPr>
          <w:u w:val="single"/>
        </w:rPr>
        <w:t>using theoretical lenses that bring together critical understandings of</w:t>
      </w:r>
      <w:r>
        <w:rPr>
          <w:u w:val="single"/>
        </w:rPr>
        <w:t xml:space="preserve"> </w:t>
      </w:r>
      <w:r w:rsidRPr="00AD2F25">
        <w:rPr>
          <w:u w:val="single"/>
        </w:rPr>
        <w:t>ableism, racism, and the history of colonialism as well as neocolonial practices</w:t>
      </w:r>
      <w:r w:rsidRPr="00AD2F25">
        <w:rPr>
          <w:sz w:val="16"/>
        </w:rPr>
        <w:t xml:space="preserve">. Consequently, the study utilized a critical understanding of disability, anticolonialism, and postcolonialism as theoretical frameworks to </w:t>
      </w:r>
      <w:r w:rsidRPr="00AD2F25">
        <w:rPr>
          <w:u w:val="single"/>
        </w:rPr>
        <w:t>examine</w:t>
      </w:r>
      <w:r>
        <w:rPr>
          <w:u w:val="single"/>
        </w:rPr>
        <w:t xml:space="preserve"> </w:t>
      </w:r>
      <w:r w:rsidRPr="00AD2F25">
        <w:rPr>
          <w:u w:val="single"/>
        </w:rPr>
        <w:t>the construction of admissibility and inadmissibility in Canadian immigration</w:t>
      </w:r>
      <w:r>
        <w:rPr>
          <w:u w:val="single"/>
        </w:rPr>
        <w:t xml:space="preserve"> </w:t>
      </w:r>
      <w:r w:rsidRPr="00AD2F25">
        <w:rPr>
          <w:u w:val="single"/>
        </w:rPr>
        <w:t>policies</w:t>
      </w:r>
      <w:r w:rsidRPr="00AD2F25">
        <w:rPr>
          <w:sz w:val="16"/>
        </w:rPr>
        <w:t xml:space="preserve">. Relying on critical-disability scholarship, this research begins with the understanding that </w:t>
      </w:r>
      <w:r w:rsidRPr="00AD2F25">
        <w:rPr>
          <w:u w:val="single"/>
        </w:rPr>
        <w:t>disability is a socially constructed site of oppression that</w:t>
      </w:r>
      <w:r>
        <w:rPr>
          <w:u w:val="single"/>
        </w:rPr>
        <w:t xml:space="preserve"> </w:t>
      </w:r>
      <w:r w:rsidRPr="00AD2F25">
        <w:rPr>
          <w:u w:val="single"/>
        </w:rPr>
        <w:t>intersects and interlocks with other forms of oppression, such as colonialism</w:t>
      </w:r>
      <w:r>
        <w:rPr>
          <w:u w:val="single"/>
        </w:rPr>
        <w:t xml:space="preserve"> </w:t>
      </w:r>
      <w:r w:rsidRPr="00AD2F25">
        <w:rPr>
          <w:u w:val="single"/>
        </w:rPr>
        <w:t>and racism</w:t>
      </w:r>
      <w:r w:rsidRPr="00AD2F25">
        <w:rPr>
          <w:sz w:val="16"/>
        </w:rPr>
        <w:t xml:space="preserve"> (Withers, 2012). Hughes (2007) notes that </w:t>
      </w:r>
      <w:r w:rsidRPr="00AD2F25">
        <w:rPr>
          <w:u w:val="single"/>
        </w:rPr>
        <w:t>impairment and disabilities</w:t>
      </w:r>
      <w:r>
        <w:rPr>
          <w:u w:val="single"/>
        </w:rPr>
        <w:t xml:space="preserve"> </w:t>
      </w:r>
      <w:r w:rsidRPr="00AD2F25">
        <w:rPr>
          <w:u w:val="single"/>
        </w:rPr>
        <w:t>are associated with deficit, which leads to othering and to creating</w:t>
      </w:r>
      <w:r>
        <w:rPr>
          <w:u w:val="single"/>
        </w:rPr>
        <w:t xml:space="preserve"> </w:t>
      </w:r>
      <w:r w:rsidRPr="00AD2F25">
        <w:rPr>
          <w:u w:val="single"/>
        </w:rPr>
        <w:t>an ontology of dependency</w:t>
      </w:r>
      <w:r w:rsidRPr="00AD2F25">
        <w:rPr>
          <w:sz w:val="16"/>
        </w:rPr>
        <w:t xml:space="preserve">. Of particular relevance to this study is the concept of </w:t>
      </w:r>
      <w:proofErr w:type="gramStart"/>
      <w:r w:rsidRPr="00AD2F25">
        <w:rPr>
          <w:sz w:val="16"/>
        </w:rPr>
        <w:t>ableism(</w:t>
      </w:r>
      <w:proofErr w:type="gramEnd"/>
      <w:r w:rsidRPr="00AD2F25">
        <w:rPr>
          <w:sz w:val="16"/>
        </w:rPr>
        <w:t xml:space="preserve">Storey, 2007; Wolbring, 2008)), described by Clare (2009) as a “socially constructed limitation” (p. 7). Storey (2007) adds that </w:t>
      </w:r>
      <w:r w:rsidRPr="00AD2F25">
        <w:rPr>
          <w:u w:val="single"/>
        </w:rPr>
        <w:t>ableism</w:t>
      </w:r>
      <w:r>
        <w:rPr>
          <w:u w:val="single"/>
        </w:rPr>
        <w:t xml:space="preserve"> </w:t>
      </w:r>
      <w:r w:rsidRPr="00AD2F25">
        <w:rPr>
          <w:u w:val="single"/>
        </w:rPr>
        <w:t>shapes understandings of productivity, health, value of life, etc.</w:t>
      </w:r>
      <w:r w:rsidRPr="00AD2F25">
        <w:rPr>
          <w:sz w:val="16"/>
        </w:rPr>
        <w:t xml:space="preserve"> In addition, Dingo (2007) argues that </w:t>
      </w:r>
      <w:r w:rsidRPr="00AD2F25">
        <w:rPr>
          <w:u w:val="single"/>
        </w:rPr>
        <w:t>the body and body politic are intertwined and</w:t>
      </w:r>
      <w:r>
        <w:rPr>
          <w:u w:val="single"/>
        </w:rPr>
        <w:t xml:space="preserve"> </w:t>
      </w:r>
      <w:r w:rsidRPr="00AD2F25">
        <w:rPr>
          <w:u w:val="single"/>
        </w:rPr>
        <w:t>“therefore we must consider the ways that ableism functions at the discursive,</w:t>
      </w:r>
      <w:r>
        <w:rPr>
          <w:u w:val="single"/>
        </w:rPr>
        <w:t xml:space="preserve"> </w:t>
      </w:r>
      <w:r w:rsidRPr="00AD2F25">
        <w:rPr>
          <w:u w:val="single"/>
        </w:rPr>
        <w:t>rhetorical and material levels”</w:t>
      </w:r>
      <w:r w:rsidRPr="00AD2F25">
        <w:rPr>
          <w:sz w:val="16"/>
        </w:rPr>
        <w:t xml:space="preserve"> (p. 105). Indeed, Chapman (2012) notes that the </w:t>
      </w:r>
      <w:r w:rsidRPr="00AD2F25">
        <w:rPr>
          <w:u w:val="single"/>
        </w:rPr>
        <w:t>discourses of dependent bodies are used to maintain the dominance</w:t>
      </w:r>
      <w:r>
        <w:rPr>
          <w:u w:val="single"/>
        </w:rPr>
        <w:t xml:space="preserve"> </w:t>
      </w:r>
      <w:r w:rsidRPr="00AD2F25">
        <w:rPr>
          <w:u w:val="single"/>
        </w:rPr>
        <w:t>of those who are constructed as independent and able-bodied</w:t>
      </w:r>
      <w:r w:rsidRPr="00AD2F25">
        <w:rPr>
          <w:sz w:val="16"/>
        </w:rPr>
        <w:t xml:space="preserve">. In keeping with this understanding and based on the insights provided by Poole et al. (2012), I find it important to include a discussion of sanism because </w:t>
      </w:r>
      <w:r w:rsidRPr="00AD2F25">
        <w:rPr>
          <w:u w:val="single"/>
        </w:rPr>
        <w:t>people with mental health histories have been systematically</w:t>
      </w:r>
      <w:r>
        <w:rPr>
          <w:u w:val="single"/>
        </w:rPr>
        <w:t xml:space="preserve"> </w:t>
      </w:r>
      <w:r w:rsidRPr="00AD2F25">
        <w:rPr>
          <w:u w:val="single"/>
        </w:rPr>
        <w:t>discriminated against and marginalized in</w:t>
      </w:r>
      <w:r w:rsidRPr="00AD2F25">
        <w:rPr>
          <w:sz w:val="16"/>
        </w:rPr>
        <w:t xml:space="preserve"> Canadian </w:t>
      </w:r>
      <w:r w:rsidRPr="00AD2F25">
        <w:rPr>
          <w:u w:val="single"/>
        </w:rPr>
        <w:t>immigration</w:t>
      </w:r>
      <w:r w:rsidRPr="00AD2F25">
        <w:rPr>
          <w:sz w:val="16"/>
        </w:rPr>
        <w:t xml:space="preserve"> (Chadha, 2008). Poole et al. (2012) locates these sites of marginalization in everyday acts of aggression that construct people with mental-health histories as being “incompetent, not able to do things for themselves, constantly in need of supervision and assistance, unpredictable, violent and irrational” (Chamberlin, cited in Poole et al., p. 3). </w:t>
      </w:r>
      <w:r w:rsidRPr="00AD2F25">
        <w:rPr>
          <w:u w:val="single"/>
        </w:rPr>
        <w:t>It is these same constructions that</w:t>
      </w:r>
      <w:r>
        <w:rPr>
          <w:u w:val="single"/>
        </w:rPr>
        <w:t xml:space="preserve"> </w:t>
      </w:r>
      <w:r w:rsidRPr="00AD2F25">
        <w:rPr>
          <w:u w:val="single"/>
        </w:rPr>
        <w:t>impact on determinations of inadmissibility of immigration applicants with</w:t>
      </w:r>
      <w:r>
        <w:rPr>
          <w:u w:val="single"/>
        </w:rPr>
        <w:t xml:space="preserve"> </w:t>
      </w:r>
      <w:r w:rsidRPr="00AD2F25">
        <w:rPr>
          <w:u w:val="single"/>
        </w:rPr>
        <w:t>disabilities.</w:t>
      </w:r>
      <w:r>
        <w:rPr>
          <w:u w:val="single"/>
        </w:rPr>
        <w:t xml:space="preserve"> </w:t>
      </w:r>
      <w:r w:rsidRPr="00AD2F25">
        <w:rPr>
          <w:sz w:val="16"/>
        </w:rPr>
        <w:t xml:space="preserve">Moreover, the study relies on a critical understanding of postcolonialism and anticolonialism. As Sherry (2007) notes, </w:t>
      </w:r>
      <w:r w:rsidRPr="00AD2F25">
        <w:rPr>
          <w:u w:val="single"/>
        </w:rPr>
        <w:t>this framework would allow</w:t>
      </w:r>
      <w:r>
        <w:rPr>
          <w:u w:val="single"/>
        </w:rPr>
        <w:t xml:space="preserve"> </w:t>
      </w:r>
      <w:r w:rsidRPr="00AD2F25">
        <w:rPr>
          <w:u w:val="single"/>
        </w:rPr>
        <w:t>for “examining the relations of domination between and within nations,</w:t>
      </w:r>
      <w:r>
        <w:rPr>
          <w:u w:val="single"/>
        </w:rPr>
        <w:t xml:space="preserve"> </w:t>
      </w:r>
      <w:r w:rsidRPr="00AD2F25">
        <w:rPr>
          <w:u w:val="single"/>
        </w:rPr>
        <w:t>‘races,’ or cultures, recognizing the historical roots of such practices within</w:t>
      </w:r>
      <w:r>
        <w:rPr>
          <w:u w:val="single"/>
        </w:rPr>
        <w:t xml:space="preserve"> </w:t>
      </w:r>
      <w:r w:rsidRPr="00AD2F25">
        <w:rPr>
          <w:u w:val="single"/>
        </w:rPr>
        <w:t>colonialism” (p. 11) and how these practices continue in new forms of</w:t>
      </w:r>
      <w:r>
        <w:rPr>
          <w:u w:val="single"/>
        </w:rPr>
        <w:t xml:space="preserve"> </w:t>
      </w:r>
      <w:r w:rsidRPr="00AD2F25">
        <w:rPr>
          <w:u w:val="single"/>
        </w:rPr>
        <w:t>colonialism, referred to as neocolonialism</w:t>
      </w:r>
      <w:r w:rsidRPr="00AD2F25">
        <w:rPr>
          <w:sz w:val="16"/>
        </w:rPr>
        <w:t xml:space="preserve">. Further, Loomba (2001) notes that “it is more helpful to think of postcolonialism not just as coming literally after colonialism and signifying its demise, but more flexible as the contestation of colonial domination and the legacies of colonialism” (p. 16). Grech (2012) asserts that “[c]olonialism and its dynamics, effects and manifestations are in fact recreated and perpetuated in the neocolonial” (p. 54) practices in contemporary times between global North and South in ways that have reflected and reinforced racial divisions and dynamics. In this article, I use the terms global North and global South to refer to the historical and contemporary divisions perpetuated through colonialism and unjust economic and political power relations. Understanding postcolonialism in this way would allow for the inclusion of “the history of anticolonial resistance with contemporary resistance to imperialism and dominant western cultures” and the inclusion of people who have been displaced as “postcolonial subjects,” as in the case of immigration (Loomba, 2001, p. 16). </w:t>
      </w:r>
      <w:r w:rsidRPr="00AD2F25">
        <w:rPr>
          <w:u w:val="single"/>
        </w:rPr>
        <w:t>Speaking specifically about disability issues,</w:t>
      </w:r>
      <w:r>
        <w:rPr>
          <w:u w:val="single"/>
        </w:rPr>
        <w:t xml:space="preserve"> </w:t>
      </w:r>
      <w:r w:rsidRPr="00AD2F25">
        <w:rPr>
          <w:sz w:val="16"/>
        </w:rPr>
        <w:t xml:space="preserve">Chataika (2012) notes that </w:t>
      </w:r>
      <w:r w:rsidRPr="00AD2F25">
        <w:rPr>
          <w:u w:val="single"/>
        </w:rPr>
        <w:t>a postcolonial analysis is concerned with processes</w:t>
      </w:r>
      <w:r>
        <w:rPr>
          <w:u w:val="single"/>
        </w:rPr>
        <w:t xml:space="preserve"> </w:t>
      </w:r>
      <w:r w:rsidRPr="00AD2F25">
        <w:rPr>
          <w:u w:val="single"/>
        </w:rPr>
        <w:t>of “Othering,” which is of particular relevance to understanding the</w:t>
      </w:r>
      <w:r>
        <w:rPr>
          <w:u w:val="single"/>
        </w:rPr>
        <w:t xml:space="preserve"> </w:t>
      </w:r>
      <w:r w:rsidRPr="00AD2F25">
        <w:rPr>
          <w:u w:val="single"/>
        </w:rPr>
        <w:t>immigration experience of people with disabilities from the global South.</w:t>
      </w:r>
      <w:r w:rsidRPr="00AD2F25">
        <w:rPr>
          <w:sz w:val="16"/>
        </w:rPr>
        <w:t xml:space="preserve"> Adopting these frameworks would allow for an understanding of how colonialism has historically shaped immigration and how neocolonialism is currently embedded within Canadian immigration policies. </w:t>
      </w:r>
      <w:r w:rsidRPr="00AD2F25">
        <w:rPr>
          <w:u w:val="single"/>
        </w:rPr>
        <w:t>By understanding</w:t>
      </w:r>
      <w:r>
        <w:rPr>
          <w:u w:val="single"/>
        </w:rPr>
        <w:t xml:space="preserve"> </w:t>
      </w:r>
      <w:r w:rsidRPr="00AD2F25">
        <w:rPr>
          <w:u w:val="single"/>
        </w:rPr>
        <w:t>how colonialism and neocolonialism operate in immigration discourses and</w:t>
      </w:r>
      <w:r>
        <w:rPr>
          <w:u w:val="single"/>
        </w:rPr>
        <w:t xml:space="preserve"> </w:t>
      </w:r>
      <w:r w:rsidRPr="00AD2F25">
        <w:rPr>
          <w:u w:val="single"/>
        </w:rPr>
        <w:t>practices, this study will contribute to exposing and challenging “the smooth</w:t>
      </w:r>
      <w:r>
        <w:rPr>
          <w:u w:val="single"/>
        </w:rPr>
        <w:t xml:space="preserve"> </w:t>
      </w:r>
      <w:r w:rsidRPr="00AD2F25">
        <w:rPr>
          <w:u w:val="single"/>
        </w:rPr>
        <w:t>running of colonial rule”</w:t>
      </w:r>
      <w:r w:rsidRPr="00AD2F25">
        <w:rPr>
          <w:sz w:val="16"/>
        </w:rPr>
        <w:t xml:space="preserve"> (Bush, 2006, p. 37). The experiences of people with disabilities need to be considered within this overall context of North/South power relations. </w:t>
      </w:r>
      <w:r w:rsidRPr="00AD2F25">
        <w:rPr>
          <w:u w:val="single"/>
        </w:rPr>
        <w:t>These theoretical frameworks would allow for challenging</w:t>
      </w:r>
      <w:r>
        <w:rPr>
          <w:u w:val="single"/>
        </w:rPr>
        <w:t xml:space="preserve"> </w:t>
      </w:r>
      <w:r w:rsidRPr="00AD2F25">
        <w:rPr>
          <w:u w:val="single"/>
        </w:rPr>
        <w:t>and resisting these unjust relations, specifically as they intersect and interlock</w:t>
      </w:r>
      <w:r>
        <w:rPr>
          <w:u w:val="single"/>
        </w:rPr>
        <w:t xml:space="preserve"> </w:t>
      </w:r>
      <w:r w:rsidRPr="00AD2F25">
        <w:rPr>
          <w:u w:val="single"/>
        </w:rPr>
        <w:t>with ableism and racism, and would hold promise for social workers to move</w:t>
      </w:r>
      <w:r>
        <w:rPr>
          <w:u w:val="single"/>
        </w:rPr>
        <w:t xml:space="preserve"> </w:t>
      </w:r>
      <w:r w:rsidRPr="00AD2F25">
        <w:rPr>
          <w:u w:val="single"/>
        </w:rPr>
        <w:t>our practices toward social justice.</w:t>
      </w:r>
    </w:p>
    <w:p w:rsidR="001902FF" w:rsidRPr="00F601E6" w:rsidRDefault="001902FF" w:rsidP="001902FF"/>
    <w:p w:rsidR="008C5803" w:rsidRPr="008C5803" w:rsidRDefault="008C5803" w:rsidP="008C5803"/>
    <w:p w:rsidR="00D71D53" w:rsidRDefault="00D71D53" w:rsidP="00D71D53">
      <w:pPr>
        <w:pStyle w:val="Heading2"/>
      </w:pPr>
      <w:r>
        <w:t>Links</w:t>
      </w:r>
    </w:p>
    <w:p w:rsidR="00CF6C97" w:rsidRPr="00F933AF" w:rsidRDefault="002B3A0E" w:rsidP="002B3A0E">
      <w:pPr>
        <w:pStyle w:val="Heading3"/>
        <w:rPr>
          <w:rFonts w:cs="Calibri"/>
        </w:rPr>
      </w:pPr>
      <w:r>
        <w:rPr>
          <w:rFonts w:cs="Calibri"/>
        </w:rPr>
        <w:t xml:space="preserve">Link - </w:t>
      </w:r>
      <w:r w:rsidR="00CF6C97" w:rsidRPr="00F933AF">
        <w:rPr>
          <w:rFonts w:cs="Calibri"/>
        </w:rPr>
        <w:t>Cruel Optimism</w:t>
      </w:r>
    </w:p>
    <w:p w:rsidR="00CF6C97" w:rsidRPr="00F933AF" w:rsidRDefault="00CF6C97" w:rsidP="00CF6C97">
      <w:pPr>
        <w:pStyle w:val="Heading4"/>
        <w:rPr>
          <w:rFonts w:cs="Calibri"/>
        </w:rPr>
      </w:pPr>
      <w:r w:rsidRPr="00F933AF">
        <w:rPr>
          <w:rFonts w:cs="Calibri"/>
        </w:rPr>
        <w:t>The logic of rehabilitation functions as a violently compulsory system of cruel optimism for people with disabilities – neoliberal promises of a “good life” makes any form of social belonging impossible</w:t>
      </w:r>
    </w:p>
    <w:p w:rsidR="00CF6C97" w:rsidRPr="00F933AF" w:rsidRDefault="00CF6C97" w:rsidP="00CF6C97">
      <w:pPr>
        <w:rPr>
          <w:rStyle w:val="Style13ptBold"/>
          <w:rFonts w:cs="Calibri"/>
          <w:b w:val="0"/>
        </w:rPr>
      </w:pPr>
      <w:r w:rsidRPr="00F933AF">
        <w:rPr>
          <w:rStyle w:val="Style13ptBold"/>
          <w:rFonts w:cs="Calibri"/>
        </w:rPr>
        <w:t>Kolářová 14</w:t>
      </w:r>
      <w:r w:rsidRPr="00F933AF">
        <w:rPr>
          <w:rFonts w:cs="Calibri"/>
        </w:rPr>
        <w:t xml:space="preserve"> (Kateřina Kolářová, Critical Gender and Disabilities Studies in Charles University in Prague, “The Inarticulate Post-Socialist Crip </w:t>
      </w:r>
      <w:proofErr w:type="gramStart"/>
      <w:r w:rsidRPr="00F933AF">
        <w:rPr>
          <w:rFonts w:cs="Calibri"/>
        </w:rPr>
        <w:t>On</w:t>
      </w:r>
      <w:proofErr w:type="gramEnd"/>
      <w:r w:rsidRPr="00F933AF">
        <w:rPr>
          <w:rFonts w:cs="Calibri"/>
        </w:rPr>
        <w:t xml:space="preserve"> the Cruel Optimism of Neoliberal Transformations in the Czech Republic,” [Journal of Literary &amp; Cultural Disability Studies], page 268 – 269, 2014)//DC</w:t>
      </w:r>
    </w:p>
    <w:p w:rsidR="00CF6C97" w:rsidRPr="00F933AF" w:rsidRDefault="00CF6C97" w:rsidP="00CF6C97">
      <w:pPr>
        <w:rPr>
          <w:rFonts w:cs="Calibri"/>
          <w:sz w:val="16"/>
        </w:rPr>
      </w:pPr>
      <w:r w:rsidRPr="00F933AF">
        <w:rPr>
          <w:rFonts w:cs="Calibri"/>
          <w:sz w:val="16"/>
        </w:rPr>
        <w:t xml:space="preserve">In engaging with these questions, </w:t>
      </w:r>
      <w:r w:rsidRPr="00F933AF">
        <w:rPr>
          <w:rStyle w:val="StyleUnderline"/>
          <w:rFonts w:cs="Calibri"/>
        </w:rPr>
        <w:t>I come back to Berlant’s concept of cruel optimism</w:t>
      </w:r>
      <w:r w:rsidRPr="00F933AF">
        <w:rPr>
          <w:rFonts w:cs="Calibri"/>
          <w:sz w:val="16"/>
        </w:rPr>
        <w:t xml:space="preserve">, which has been extremely helpful as I identify </w:t>
      </w:r>
      <w:r w:rsidRPr="00F933AF">
        <w:rPr>
          <w:rStyle w:val="StyleUnderline"/>
          <w:rFonts w:cs="Calibri"/>
        </w:rPr>
        <w:t>structural attachments to promises of better futures that created the ideological base of the project of transition</w:t>
      </w:r>
      <w:r w:rsidRPr="00F933AF">
        <w:rPr>
          <w:rFonts w:cs="Calibri"/>
          <w:sz w:val="16"/>
        </w:rPr>
        <w:t xml:space="preserve">. The engagement with post-socialist material also shows, however, that </w:t>
      </w:r>
      <w:r w:rsidRPr="00F933AF">
        <w:rPr>
          <w:rStyle w:val="StyleUnderline"/>
          <w:rFonts w:cs="Calibri"/>
        </w:rPr>
        <w:t>Berlant’s brilliant discussion of the toxicity of the neoliberal version of the promise of a good life needs</w:t>
      </w:r>
      <w:r w:rsidRPr="00F933AF">
        <w:rPr>
          <w:rFonts w:cs="Calibri"/>
          <w:sz w:val="16"/>
        </w:rPr>
        <w:t xml:space="preserve">, as I implied earlier, </w:t>
      </w:r>
      <w:r w:rsidRPr="00F933AF">
        <w:rPr>
          <w:rStyle w:val="StyleUnderline"/>
          <w:rFonts w:cs="Calibri"/>
        </w:rPr>
        <w:t>to be reformulated not only to correspond to the specificity of the particular experience of post-socialism, but also to reveal how such a confrontation brings forth more general challenges and lines of critique.</w:t>
      </w:r>
      <w:r w:rsidRPr="00F933AF">
        <w:rPr>
          <w:rFonts w:cs="Calibri"/>
          <w:sz w:val="16"/>
        </w:rPr>
        <w:t xml:space="preserve"> There is a strange incongruity in and around </w:t>
      </w:r>
      <w:r w:rsidRPr="00F933AF">
        <w:rPr>
          <w:rStyle w:val="StyleUnderline"/>
          <w:rFonts w:cs="Calibri"/>
        </w:rPr>
        <w:t>Berlant’s book. Disability is literally on its cover, as the crip artist Riva Lehrer provided the cover image</w:t>
      </w:r>
      <w:r w:rsidRPr="00F933AF">
        <w:rPr>
          <w:rFonts w:cs="Calibri"/>
          <w:sz w:val="16"/>
        </w:rPr>
        <w:t xml:space="preserve">, If Body: Riva and Zora in Middle Age. It is embedded in the title of the book, as </w:t>
      </w:r>
      <w:r w:rsidRPr="00F933AF">
        <w:rPr>
          <w:rStyle w:val="StyleUnderline"/>
          <w:rFonts w:cs="Calibri"/>
        </w:rPr>
        <w:t xml:space="preserve">“cruel optimism” could in fact be a very appropriate name for the violent, recuperative, and compulsory optimism of the cultural logic of rehabilitation to which “the disabled” are permanently subjected. </w:t>
      </w:r>
      <w:r w:rsidRPr="00F933AF">
        <w:rPr>
          <w:rFonts w:cs="Calibri"/>
          <w:sz w:val="16"/>
        </w:rPr>
        <w:t xml:space="preserve">The book’s discussions are haunted by disability, and at times it is even evoked directly, yet only through </w:t>
      </w:r>
      <w:r w:rsidRPr="00F933AF">
        <w:rPr>
          <w:rStyle w:val="StyleUnderline"/>
          <w:rFonts w:cs="Calibri"/>
        </w:rPr>
        <w:t xml:space="preserve">the clinical and medicalized language of “disease,” “depression,” “obesity,” “spina bi da,” rather than through the transformative and politicized vocabulary of cripness. </w:t>
      </w:r>
      <w:r w:rsidRPr="00F933AF">
        <w:rPr>
          <w:rFonts w:cs="Calibri"/>
          <w:sz w:val="16"/>
        </w:rPr>
        <w:t xml:space="preserve">In this sense, </w:t>
      </w:r>
      <w:r w:rsidRPr="00F933AF">
        <w:rPr>
          <w:rStyle w:val="StyleUnderline"/>
          <w:rFonts w:cs="Calibri"/>
        </w:rPr>
        <w:t>Berlant’s book replicates the failing of the majority of critical work that exposes the neoliberal debasement of the values of solidarity, social justice, and equity</w:t>
      </w:r>
      <w:r w:rsidRPr="00F933AF">
        <w:rPr>
          <w:rFonts w:cs="Calibri"/>
          <w:sz w:val="16"/>
        </w:rPr>
        <w:t xml:space="preserve">. This lack of discussion is startling. Indeed, how is it possible that </w:t>
      </w:r>
      <w:r w:rsidRPr="00F933AF">
        <w:rPr>
          <w:rStyle w:val="StyleUnderline"/>
          <w:rFonts w:cs="Calibri"/>
        </w:rPr>
        <w:t>the bulk of critiques of neoliberalism and neoliberal governmentality provides such engaging and incisive insights into the politics of maximizing vitality</w:t>
      </w:r>
      <w:r w:rsidRPr="00F933AF">
        <w:rPr>
          <w:rFonts w:cs="Calibri"/>
          <w:sz w:val="16"/>
        </w:rPr>
        <w:t xml:space="preserve">, capitalizing on the very act of living, or exposing the morbid utilization of “slow death” and the necropolitical distribution of death, yet </w:t>
      </w:r>
      <w:r w:rsidRPr="00F933AF">
        <w:rPr>
          <w:rStyle w:val="StyleUnderline"/>
          <w:rFonts w:cs="Calibri"/>
        </w:rPr>
        <w:t>does so without including disability/cripness</w:t>
      </w:r>
      <w:r w:rsidRPr="00F933AF">
        <w:rPr>
          <w:rFonts w:cs="Calibri"/>
          <w:sz w:val="16"/>
        </w:rPr>
        <w:t xml:space="preserve"> in its analytical instrumentarium? How can a discussion of “the politics of life” itself do without a category that is integral to modern definitions of life and vitality? Taking up the one crip lead from the book, I speak to the image of If Body (approaching it differently to Berlant herself in her closing “Note on the cover image” [265–67]) and ask what </w:t>
      </w:r>
      <w:r w:rsidRPr="00F933AF">
        <w:rPr>
          <w:rStyle w:val="StyleUnderline"/>
          <w:rFonts w:cs="Calibri"/>
        </w:rPr>
        <w:t xml:space="preserve">a critique of cruel optimism would look like if it thought of crip bodies, if it thought of crip bodies elsewhere from the Western context, and if it thought of crip existence in the context of post-socialist, neoliberal promises.6 </w:t>
      </w:r>
      <w:r w:rsidRPr="00F933AF">
        <w:rPr>
          <w:rFonts w:cs="Calibri"/>
          <w:sz w:val="16"/>
        </w:rPr>
        <w:t xml:space="preserve">In formulating the crip reading of cruel optimism, </w:t>
      </w:r>
      <w:r w:rsidRPr="00F933AF">
        <w:rPr>
          <w:rStyle w:val="StyleUnderline"/>
          <w:rFonts w:cs="Calibri"/>
        </w:rPr>
        <w:t xml:space="preserve">in cripping cruel optimism, we need to address the different affective structures of post-socialist promises. </w:t>
      </w:r>
      <w:r w:rsidRPr="00F933AF">
        <w:rPr>
          <w:rFonts w:cs="Calibri"/>
          <w:sz w:val="16"/>
        </w:rPr>
        <w:t xml:space="preserve">We also need to read those affective structures along with and perhaps </w:t>
      </w:r>
      <w:r w:rsidRPr="00F933AF">
        <w:rPr>
          <w:rStyle w:val="StyleUnderline"/>
          <w:rFonts w:cs="Calibri"/>
        </w:rPr>
        <w:t>against the relationality of cruel optimism Berlant first identified</w:t>
      </w:r>
      <w:r w:rsidRPr="00F933AF">
        <w:rPr>
          <w:rFonts w:cs="Calibri"/>
          <w:sz w:val="16"/>
        </w:rPr>
        <w:t xml:space="preserve">. Most importantly, </w:t>
      </w:r>
      <w:r w:rsidRPr="00F933AF">
        <w:rPr>
          <w:rStyle w:val="Emphasis"/>
          <w:rFonts w:cs="Calibri"/>
        </w:rPr>
        <w:t>the concept needs to be expanded so that its more capacious definition would account for the pressures of compulsory able-bodiedness and for the specific experiences of disabled people and crips</w:t>
      </w:r>
      <w:r w:rsidRPr="00F933AF">
        <w:rPr>
          <w:rFonts w:cs="Calibri"/>
          <w:sz w:val="16"/>
        </w:rPr>
        <w:t xml:space="preserve">. In other words, </w:t>
      </w:r>
      <w:r w:rsidRPr="00F933AF">
        <w:rPr>
          <w:rStyle w:val="StyleUnderline"/>
          <w:rFonts w:cs="Calibri"/>
        </w:rPr>
        <w:t>Berlant’s concept of toxic and hurtful promises and her repertoire of critical analysis of fantasies of the good life call for encounters with crip versions of “life” as well as for a cripping of the notion ofcr the “good life.</w:t>
      </w:r>
      <w:r w:rsidRPr="00F933AF">
        <w:rPr>
          <w:rFonts w:cs="Calibri"/>
          <w:sz w:val="16"/>
        </w:rPr>
        <w:t xml:space="preserve">” They need to be read more carefully and closely along with the realities of lives that were never promised (let alone lived through) by this liberal fantasy, lives that are appropriated and colonized by images of “life not worth living,” or lives that are at times not even granted the recognition of life itself. </w:t>
      </w:r>
      <w:r w:rsidRPr="00F933AF">
        <w:rPr>
          <w:rStyle w:val="StyleUnderline"/>
          <w:rFonts w:cs="Calibri"/>
        </w:rPr>
        <w:t>The transition into neoliberalism produced forms of affective citizenship based on what Berlant calls “aspirational normativity</w:t>
      </w:r>
      <w:r w:rsidRPr="00F933AF">
        <w:rPr>
          <w:rFonts w:cs="Calibri"/>
          <w:sz w:val="16"/>
        </w:rPr>
        <w:t xml:space="preserve">” (164). In the post-socialist context, </w:t>
      </w:r>
      <w:r w:rsidRPr="00F933AF">
        <w:rPr>
          <w:rStyle w:val="StyleUnderline"/>
          <w:rFonts w:cs="Calibri"/>
        </w:rPr>
        <w:t>the aspiration promising the utopia of the “good life” was not expressed in the imperative to keep going; the moral aspiration of the post-socialist transition was by definition that of rehabilitation, overcoming the failure and shame of the bad past.</w:t>
      </w:r>
      <w:r w:rsidRPr="00F933AF">
        <w:rPr>
          <w:rFonts w:cs="Calibri"/>
          <w:sz w:val="16"/>
        </w:rPr>
        <w:t xml:space="preserve"> It was not the “nearly utopian” (163–64) desire for a prolonged present, but the “nearly utopian” desire for a recuperative future. </w:t>
      </w:r>
      <w:r w:rsidRPr="00F933AF">
        <w:rPr>
          <w:rStyle w:val="StyleUnderline"/>
          <w:rFonts w:cs="Calibri"/>
        </w:rPr>
        <w:t>The cruelty of the post-socialist moment lies</w:t>
      </w:r>
      <w:r w:rsidRPr="00F933AF">
        <w:rPr>
          <w:rFonts w:cs="Calibri"/>
          <w:sz w:val="16"/>
        </w:rPr>
        <w:t>—as I hope my analysis above unmasks—</w:t>
      </w:r>
      <w:r w:rsidRPr="00F933AF">
        <w:rPr>
          <w:rStyle w:val="StyleUnderline"/>
          <w:rFonts w:cs="Calibri"/>
        </w:rPr>
        <w:t>in conditioning forms of social belonging through an “affectivity of debt,” discourses of overcoming, and fantasies of cure.</w:t>
      </w:r>
      <w:r w:rsidRPr="00F933AF">
        <w:rPr>
          <w:rFonts w:cs="Calibri"/>
          <w:sz w:val="16"/>
        </w:rPr>
        <w:t xml:space="preserve"> </w:t>
      </w:r>
      <w:r w:rsidRPr="00F933AF">
        <w:rPr>
          <w:rStyle w:val="StyleUnderline"/>
          <w:rFonts w:cs="Calibri"/>
        </w:rPr>
        <w:t>The cultural grammar of rehabilitation saturated the political and the social so fully that claims to social equity could be disavowed and turned into a chimera, the crip monstrous ghost haunting the post-socialist</w:t>
      </w:r>
      <w:r w:rsidRPr="00F933AF">
        <w:rPr>
          <w:rFonts w:cs="Calibri"/>
          <w:sz w:val="16"/>
        </w:rPr>
        <w:t xml:space="preserve"> </w:t>
      </w:r>
      <w:r w:rsidRPr="00F933AF">
        <w:rPr>
          <w:rStyle w:val="StyleUnderline"/>
          <w:rFonts w:cs="Calibri"/>
        </w:rPr>
        <w:t>redefinition of sociality and community, where any form of social belonging for crips other than under the rubrics of paternal- izingly charitable humanism was</w:t>
      </w:r>
      <w:r w:rsidRPr="00F933AF">
        <w:rPr>
          <w:rFonts w:cs="Calibri"/>
          <w:sz w:val="16"/>
        </w:rPr>
        <w:t xml:space="preserve"> (and remains) </w:t>
      </w:r>
      <w:r w:rsidRPr="00F933AF">
        <w:rPr>
          <w:rStyle w:val="StyleUnderline"/>
          <w:rFonts w:cs="Calibri"/>
        </w:rPr>
        <w:t>virtually impossible</w:t>
      </w:r>
      <w:r w:rsidRPr="00F933AF">
        <w:rPr>
          <w:rFonts w:cs="Calibri"/>
          <w:sz w:val="16"/>
        </w:rPr>
        <w:t xml:space="preserve"> (see also Kolářová).</w:t>
      </w:r>
    </w:p>
    <w:p w:rsidR="00CE6D10" w:rsidRPr="00F933AF" w:rsidRDefault="00CE6D10" w:rsidP="00CE6D10">
      <w:pPr>
        <w:rPr>
          <w:rFonts w:cs="Calibri"/>
        </w:rPr>
      </w:pPr>
    </w:p>
    <w:p w:rsidR="00721D38" w:rsidRPr="00F933AF" w:rsidRDefault="00721D38" w:rsidP="00721D38">
      <w:pPr>
        <w:pStyle w:val="Heading3"/>
        <w:rPr>
          <w:rFonts w:cs="Calibri"/>
        </w:rPr>
      </w:pPr>
      <w:r w:rsidRPr="00F933AF">
        <w:rPr>
          <w:rFonts w:cs="Calibri"/>
        </w:rPr>
        <w:t>Link- Discourse</w:t>
      </w:r>
    </w:p>
    <w:p w:rsidR="00721D38" w:rsidRPr="00F933AF" w:rsidRDefault="00721D38" w:rsidP="00721D38">
      <w:pPr>
        <w:pStyle w:val="Heading4"/>
        <w:rPr>
          <w:rFonts w:cs="Calibri"/>
        </w:rPr>
      </w:pPr>
      <w:r w:rsidRPr="00F933AF">
        <w:rPr>
          <w:rFonts w:cs="Calibri"/>
        </w:rPr>
        <w:t>Normative speech and truth-making claims script identity boundaries excluding the disabled</w:t>
      </w:r>
    </w:p>
    <w:p w:rsidR="00721D38" w:rsidRPr="00F933AF" w:rsidRDefault="00721D38" w:rsidP="00721D38">
      <w:pPr>
        <w:rPr>
          <w:rFonts w:cs="Calibri"/>
        </w:rPr>
      </w:pPr>
      <w:r w:rsidRPr="00F933AF">
        <w:rPr>
          <w:rStyle w:val="Style13ptBold"/>
          <w:rFonts w:cs="Calibri"/>
        </w:rPr>
        <w:t>Sanchez 17</w:t>
      </w:r>
      <w:r w:rsidRPr="00F933AF">
        <w:rPr>
          <w:rFonts w:cs="Calibri"/>
        </w:rPr>
        <w:t xml:space="preserve"> (Meg Sanchez, undergraduate degree in Equity Studies and Sociology at the University of Toronto, “Communicating through Cripistemologies: The Implications of Non-Normative Communication upon Disabled Futurities”, Knots: An Undergraduate Journal of Disability Studies, Vol. 3 (2017), https://jps.library.utoronto.ca/index.php/knots/article/view/29195)/CWB</w:t>
      </w:r>
    </w:p>
    <w:p w:rsidR="00721D38" w:rsidRPr="00F933AF" w:rsidRDefault="00721D38" w:rsidP="00721D38">
      <w:pPr>
        <w:rPr>
          <w:rFonts w:cs="Calibri"/>
          <w:sz w:val="16"/>
        </w:rPr>
      </w:pPr>
      <w:r w:rsidRPr="00F933AF">
        <w:rPr>
          <w:rFonts w:cs="Calibri"/>
          <w:sz w:val="16"/>
        </w:rPr>
        <w:t xml:space="preserve">Oral </w:t>
      </w:r>
      <w:r w:rsidRPr="00F933AF">
        <w:rPr>
          <w:rStyle w:val="StyleUnderline"/>
          <w:rFonts w:cs="Calibri"/>
        </w:rPr>
        <w:t>speech</w:t>
      </w:r>
      <w:r w:rsidRPr="00F933AF">
        <w:rPr>
          <w:rFonts w:cs="Calibri"/>
          <w:sz w:val="16"/>
        </w:rPr>
        <w:t xml:space="preserve"> may be one of the </w:t>
      </w:r>
      <w:r w:rsidRPr="00F933AF">
        <w:rPr>
          <w:rStyle w:val="StyleUnderline"/>
          <w:rFonts w:cs="Calibri"/>
        </w:rPr>
        <w:t>most epistemologically privileging</w:t>
      </w:r>
      <w:r w:rsidRPr="00F933AF">
        <w:rPr>
          <w:rFonts w:cs="Calibri"/>
          <w:sz w:val="16"/>
        </w:rPr>
        <w:t xml:space="preserve">, yet taken-for-granted </w:t>
      </w:r>
      <w:r w:rsidRPr="00F933AF">
        <w:rPr>
          <w:rStyle w:val="StyleUnderline"/>
          <w:rFonts w:cs="Calibri"/>
        </w:rPr>
        <w:t>means of</w:t>
      </w:r>
      <w:r w:rsidRPr="00F933AF">
        <w:rPr>
          <w:rFonts w:cs="Calibri"/>
          <w:sz w:val="16"/>
        </w:rPr>
        <w:t xml:space="preserve"> human </w:t>
      </w:r>
      <w:r w:rsidRPr="00F933AF">
        <w:rPr>
          <w:rStyle w:val="StyleUnderline"/>
          <w:rFonts w:cs="Calibri"/>
        </w:rPr>
        <w:t>communication.</w:t>
      </w:r>
      <w:r w:rsidRPr="00F933AF">
        <w:rPr>
          <w:rFonts w:cs="Calibri"/>
          <w:sz w:val="16"/>
        </w:rPr>
        <w:t xml:space="preserve"> It encompasses more than a mere mode of expression, for it is also a </w:t>
      </w:r>
      <w:r w:rsidRPr="00F933AF">
        <w:rPr>
          <w:rStyle w:val="StyleUnderline"/>
          <w:rFonts w:cs="Calibri"/>
        </w:rPr>
        <w:t>key factor in the distributions of discursive power</w:t>
      </w:r>
      <w:r w:rsidRPr="00F933AF">
        <w:rPr>
          <w:rFonts w:cs="Calibri"/>
          <w:sz w:val="16"/>
        </w:rPr>
        <w:t xml:space="preserve">. I come to this topic because </w:t>
      </w:r>
      <w:r w:rsidRPr="00F933AF">
        <w:rPr>
          <w:rStyle w:val="StyleUnderline"/>
          <w:rFonts w:cs="Calibri"/>
        </w:rPr>
        <w:t>the politics of communication are extremely relevant in the social ordering and shaping of particular bodies</w:t>
      </w:r>
      <w:r w:rsidRPr="00F933AF">
        <w:rPr>
          <w:rFonts w:cs="Calibri"/>
          <w:sz w:val="16"/>
        </w:rPr>
        <w:t xml:space="preserve">. In this paper, I will make connections between the matter of communication and its ties to the figuration of the child. </w:t>
      </w:r>
      <w:r w:rsidRPr="00F933AF">
        <w:rPr>
          <w:rStyle w:val="StyleUnderline"/>
          <w:rFonts w:cs="Calibri"/>
        </w:rPr>
        <w:t xml:space="preserve">The privileging of </w:t>
      </w:r>
      <w:r w:rsidRPr="00F933AF">
        <w:rPr>
          <w:rStyle w:val="Emphasis"/>
          <w:rFonts w:cs="Calibri"/>
        </w:rPr>
        <w:t>normative speech</w:t>
      </w:r>
      <w:r w:rsidRPr="00F933AF">
        <w:rPr>
          <w:rStyle w:val="StyleUnderline"/>
          <w:rFonts w:cs="Calibri"/>
        </w:rPr>
        <w:t xml:space="preserve"> is reflective of the ‘other-centric’ sociality that is </w:t>
      </w:r>
      <w:r w:rsidRPr="00F933AF">
        <w:rPr>
          <w:rStyle w:val="Emphasis"/>
          <w:rFonts w:cs="Calibri"/>
        </w:rPr>
        <w:t>required to secure</w:t>
      </w:r>
      <w:r w:rsidRPr="00F933AF">
        <w:rPr>
          <w:rStyle w:val="StyleUnderline"/>
          <w:rFonts w:cs="Calibri"/>
        </w:rPr>
        <w:t xml:space="preserve"> a future within </w:t>
      </w:r>
      <w:r w:rsidRPr="00F933AF">
        <w:rPr>
          <w:rStyle w:val="Emphasis"/>
          <w:rFonts w:cs="Calibri"/>
        </w:rPr>
        <w:t>neoliberal humanity</w:t>
      </w:r>
      <w:r w:rsidRPr="00F933AF">
        <w:rPr>
          <w:rStyle w:val="StyleUnderline"/>
          <w:rFonts w:cs="Calibri"/>
        </w:rPr>
        <w:t>. Child bodies and disabled bodies are typically figured on disparate paths—one of potential and the other of waste—both conditioned through surveillance and forced squarely within set borders. I will then explicate non-normative communication with the framework of ‘autism as a teacher.</w:t>
      </w:r>
      <w:r w:rsidRPr="00F933AF">
        <w:rPr>
          <w:rFonts w:cs="Calibri"/>
          <w:sz w:val="16"/>
        </w:rPr>
        <w:t xml:space="preserve">’ This approach takes into consideration that non-speaking autistics challenge existing epistemologies by presenting interdependency as a valid way of coming-into-being. Although communication may constitute yet another level of domination, it remains constantly negotiated, as human relationality is never salient. Particularly, </w:t>
      </w:r>
      <w:r w:rsidRPr="00F933AF">
        <w:rPr>
          <w:rStyle w:val="StyleUnderline"/>
          <w:rFonts w:cs="Calibri"/>
        </w:rPr>
        <w:t>identity and communicative borders can change with and because of the varying and rich ways in which disabled bodies use their corporeality to interact in the world</w:t>
      </w:r>
      <w:r w:rsidRPr="00F933AF">
        <w:rPr>
          <w:rFonts w:cs="Calibri"/>
          <w:sz w:val="16"/>
        </w:rPr>
        <w:t xml:space="preserve">. This is also an </w:t>
      </w:r>
      <w:r w:rsidRPr="00F933AF">
        <w:rPr>
          <w:rStyle w:val="StyleUnderline"/>
          <w:rFonts w:cs="Calibri"/>
        </w:rPr>
        <w:t>opportunity to interrogate universalized normative systems, revealing desirability as unfixed and socially constructed. By actively using</w:t>
      </w:r>
      <w:r w:rsidRPr="00F933AF">
        <w:rPr>
          <w:rFonts w:cs="Calibri"/>
          <w:sz w:val="16"/>
        </w:rPr>
        <w:t xml:space="preserve"> a cripped </w:t>
      </w:r>
      <w:r w:rsidRPr="00F933AF">
        <w:rPr>
          <w:rStyle w:val="StyleUnderline"/>
          <w:rFonts w:cs="Calibri"/>
        </w:rPr>
        <w:t>framework to approach non-normative communication, we may revolutionize our collective practice of sense-making and envision unrestricted potentialities.</w:t>
      </w:r>
      <w:r w:rsidRPr="00F933AF">
        <w:rPr>
          <w:rFonts w:cs="Calibri"/>
          <w:sz w:val="16"/>
        </w:rPr>
        <w:t xml:space="preserve"> The figurations of the child body and of the disabled body are both heavily under surveillance, but conceived in opposition as the former is imagined as the future while the latter represents the looming threat of having no future. The significance of normative communication, operating through oral speech, is that it is informed by </w:t>
      </w:r>
      <w:r w:rsidRPr="00F933AF">
        <w:rPr>
          <w:rStyle w:val="Emphasis"/>
          <w:rFonts w:cs="Calibri"/>
        </w:rPr>
        <w:t>hegemonic norms</w:t>
      </w:r>
      <w:r w:rsidRPr="00F933AF">
        <w:rPr>
          <w:rFonts w:cs="Calibri"/>
          <w:sz w:val="16"/>
        </w:rPr>
        <w:t xml:space="preserve"> that </w:t>
      </w:r>
      <w:r w:rsidRPr="00F933AF">
        <w:rPr>
          <w:rStyle w:val="Emphasis"/>
          <w:rFonts w:cs="Calibri"/>
        </w:rPr>
        <w:t>uphold themselves through an abject ‘other’</w:t>
      </w:r>
      <w:r w:rsidRPr="00F933AF">
        <w:rPr>
          <w:rStyle w:val="StyleUnderline"/>
          <w:rFonts w:cs="Calibri"/>
        </w:rPr>
        <w:t xml:space="preserve">. It is a principle medium through which figurations are </w:t>
      </w:r>
      <w:r w:rsidRPr="00F933AF">
        <w:rPr>
          <w:rStyle w:val="Emphasis"/>
          <w:rFonts w:cs="Calibri"/>
        </w:rPr>
        <w:t>scripted</w:t>
      </w:r>
      <w:r w:rsidRPr="00F933AF">
        <w:rPr>
          <w:rStyle w:val="StyleUnderline"/>
          <w:rFonts w:cs="Calibri"/>
        </w:rPr>
        <w:t xml:space="preserve">, and is implicated in circulating </w:t>
      </w:r>
      <w:r w:rsidRPr="00F933AF">
        <w:rPr>
          <w:rStyle w:val="Emphasis"/>
          <w:rFonts w:cs="Calibri"/>
        </w:rPr>
        <w:t>identity boundaries</w:t>
      </w:r>
      <w:r w:rsidRPr="00F933AF">
        <w:rPr>
          <w:rStyle w:val="StyleUnderline"/>
          <w:rFonts w:cs="Calibri"/>
        </w:rPr>
        <w:t xml:space="preserve"> through and across discourses—semiotically and materially</w:t>
      </w:r>
      <w:r w:rsidRPr="00F933AF">
        <w:rPr>
          <w:rFonts w:cs="Calibri"/>
          <w:sz w:val="16"/>
        </w:rPr>
        <w:t xml:space="preserve"> (Castañeda, 2002, p. 3). As described by St. Pierre (2015), “[o]ral speech has occupied a dignified position within the humanist lineage, shaping central questions of what it means to be human, imbued with the power to persuade others, serve human affairs, and articulate truth” (p. 330). </w:t>
      </w:r>
      <w:r w:rsidRPr="00F933AF">
        <w:rPr>
          <w:rStyle w:val="Emphasis"/>
          <w:rFonts w:cs="Calibri"/>
        </w:rPr>
        <w:t>Through truth-making claims</w:t>
      </w:r>
      <w:r w:rsidRPr="00F933AF">
        <w:rPr>
          <w:rStyle w:val="StyleUnderline"/>
          <w:rFonts w:cs="Calibri"/>
        </w:rPr>
        <w:t xml:space="preserve">, non-normative speech or the lack of speech is then </w:t>
      </w:r>
      <w:r w:rsidRPr="00F933AF">
        <w:rPr>
          <w:rStyle w:val="Emphasis"/>
          <w:rFonts w:cs="Calibri"/>
        </w:rPr>
        <w:t>pathologized</w:t>
      </w:r>
      <w:r w:rsidRPr="00F933AF">
        <w:rPr>
          <w:rStyle w:val="StyleUnderline"/>
          <w:rFonts w:cs="Calibri"/>
        </w:rPr>
        <w:t xml:space="preserve"> and these voices are </w:t>
      </w:r>
      <w:r w:rsidRPr="00F933AF">
        <w:rPr>
          <w:rStyle w:val="Emphasis"/>
          <w:rFonts w:cs="Calibri"/>
        </w:rPr>
        <w:t>made subaltern</w:t>
      </w:r>
      <w:r w:rsidRPr="00F933AF">
        <w:rPr>
          <w:rStyle w:val="StyleUnderline"/>
          <w:rFonts w:cs="Calibri"/>
        </w:rPr>
        <w:t xml:space="preserve">. They are placed under domination, </w:t>
      </w:r>
      <w:r w:rsidRPr="00F933AF">
        <w:rPr>
          <w:rStyle w:val="Emphasis"/>
          <w:rFonts w:cs="Calibri"/>
        </w:rPr>
        <w:t>mystified</w:t>
      </w:r>
      <w:r w:rsidRPr="00F933AF">
        <w:rPr>
          <w:rStyle w:val="StyleUnderline"/>
          <w:rFonts w:cs="Calibri"/>
        </w:rPr>
        <w:t xml:space="preserve">, and thus in need of management as they have yet to be pinned down and made knowable. In the project of ‘making’ the child into an adult, </w:t>
      </w:r>
      <w:r w:rsidRPr="00F933AF">
        <w:rPr>
          <w:rStyle w:val="Emphasis"/>
          <w:rFonts w:cs="Calibri"/>
        </w:rPr>
        <w:t>discourses are grounded in the contentious nature of human development</w:t>
      </w:r>
      <w:r w:rsidRPr="00F933AF">
        <w:rPr>
          <w:rStyle w:val="StyleUnderline"/>
          <w:rFonts w:cs="Calibri"/>
        </w:rPr>
        <w:t>; successful upward growth or twisted degeneration</w:t>
      </w:r>
      <w:r w:rsidRPr="00F933AF">
        <w:rPr>
          <w:rFonts w:cs="Calibri"/>
          <w:sz w:val="16"/>
        </w:rPr>
        <w:t xml:space="preserve">. In short, the </w:t>
      </w:r>
      <w:r w:rsidRPr="00F933AF">
        <w:rPr>
          <w:rStyle w:val="StyleUnderline"/>
          <w:rFonts w:cs="Calibri"/>
        </w:rPr>
        <w:t>norms of speech</w:t>
      </w:r>
      <w:r w:rsidRPr="00F933AF">
        <w:rPr>
          <w:rFonts w:cs="Calibri"/>
          <w:sz w:val="16"/>
        </w:rPr>
        <w:t xml:space="preserve"> can be understood as </w:t>
      </w:r>
      <w:r w:rsidRPr="00F933AF">
        <w:rPr>
          <w:rStyle w:val="StyleUnderline"/>
          <w:rFonts w:cs="Calibri"/>
        </w:rPr>
        <w:t xml:space="preserve">means through which </w:t>
      </w:r>
      <w:r w:rsidRPr="00F933AF">
        <w:rPr>
          <w:rStyle w:val="Emphasis"/>
          <w:rFonts w:cs="Calibri"/>
        </w:rPr>
        <w:t xml:space="preserve">power reinforces itself, as </w:t>
      </w:r>
      <w:r w:rsidRPr="00F933AF">
        <w:rPr>
          <w:rStyle w:val="StyleUnderline"/>
          <w:rFonts w:cs="Calibri"/>
        </w:rPr>
        <w:t xml:space="preserve">they put forth an </w:t>
      </w:r>
      <w:r w:rsidRPr="00F933AF">
        <w:rPr>
          <w:rStyle w:val="Emphasis"/>
          <w:rFonts w:cs="Calibri"/>
        </w:rPr>
        <w:t>idealized and often-unachievable standard</w:t>
      </w:r>
      <w:r w:rsidRPr="00F933AF">
        <w:rPr>
          <w:rStyle w:val="StyleUnderline"/>
          <w:rFonts w:cs="Calibri"/>
        </w:rPr>
        <w:t xml:space="preserve"> also </w:t>
      </w:r>
      <w:r w:rsidRPr="00F933AF">
        <w:rPr>
          <w:rStyle w:val="Emphasis"/>
          <w:rFonts w:cs="Calibri"/>
        </w:rPr>
        <w:t>predicated upon the abjection and failure of some</w:t>
      </w:r>
      <w:r w:rsidRPr="00F933AF">
        <w:rPr>
          <w:rFonts w:cs="Calibri"/>
          <w:sz w:val="16"/>
        </w:rPr>
        <w:t xml:space="preserve">. Here, the non-normative voice is characterized by ‘mindblindness’—that is, the failure to develop the capacity to mind read in a manner that accords with social cues (McGuire and Michalko, 2011, p. 164-165). It is plagued with deficit as it fails to adhere to the laws of social cognition, also known as Theory of Mind. Normative communication is seemingly effortless in its flow and fluency: a predictable and universalized type of speech dependent upon </w:t>
      </w:r>
      <w:proofErr w:type="gramStart"/>
      <w:r w:rsidRPr="00F933AF">
        <w:rPr>
          <w:rFonts w:cs="Calibri"/>
          <w:sz w:val="16"/>
        </w:rPr>
        <w:t>an other</w:t>
      </w:r>
      <w:proofErr w:type="gramEnd"/>
      <w:r w:rsidRPr="00F933AF">
        <w:rPr>
          <w:rFonts w:cs="Calibri"/>
          <w:sz w:val="16"/>
        </w:rPr>
        <w:t xml:space="preserve">-centric relationality to an imagined and idealized listener. Baron-Cohen’s conception of Theory of Mind requires the actor to perform mind reading of the self and of others in order to make behaviour legible, to react predictably, and continue such patterns of communication (McGuire and Michalko, 2011, p. 165). </w:t>
      </w:r>
      <w:r w:rsidRPr="00F933AF">
        <w:rPr>
          <w:rStyle w:val="Emphasis"/>
          <w:rFonts w:cs="Calibri"/>
        </w:rPr>
        <w:t xml:space="preserve">From the moment of birth </w:t>
      </w:r>
      <w:r w:rsidRPr="00F933AF">
        <w:rPr>
          <w:rStyle w:val="StyleUnderline"/>
          <w:rFonts w:cs="Calibri"/>
        </w:rPr>
        <w:t xml:space="preserve">and through various cultural conceptions in everyday life, </w:t>
      </w:r>
      <w:r w:rsidRPr="00F933AF">
        <w:rPr>
          <w:rStyle w:val="Emphasis"/>
          <w:rFonts w:cs="Calibri"/>
        </w:rPr>
        <w:t>vocalizations are policed</w:t>
      </w:r>
      <w:r w:rsidRPr="00F933AF">
        <w:rPr>
          <w:rStyle w:val="StyleUnderline"/>
          <w:rFonts w:cs="Calibri"/>
        </w:rPr>
        <w:t xml:space="preserve"> to ensure that a given individual is in accords with the right developmental path</w:t>
      </w:r>
      <w:r w:rsidRPr="00F933AF">
        <w:rPr>
          <w:rFonts w:cs="Calibri"/>
          <w:sz w:val="16"/>
        </w:rPr>
        <w:t xml:space="preserve">. Is the child crying upon birth? Babbling at six months? Saying their first words at infancy? Playfully conversing with classmates at toddlerhood? This mapping out is continuous and narrow and, so, developmental milestones are always indicative of larger societal workings as the child is always at “center of discussions concerning the making of ‘facts’ and about human nature and culture” (Castañeda, 2002, p. 8). </w:t>
      </w:r>
      <w:r w:rsidRPr="00F933AF">
        <w:rPr>
          <w:rStyle w:val="StyleUnderline"/>
          <w:rFonts w:cs="Calibri"/>
        </w:rPr>
        <w:t xml:space="preserve">The universalized notion of </w:t>
      </w:r>
      <w:r w:rsidRPr="00F933AF">
        <w:rPr>
          <w:rStyle w:val="Emphasis"/>
          <w:rFonts w:cs="Calibri"/>
        </w:rPr>
        <w:t>normative speech is ultimately exclusionary</w:t>
      </w:r>
      <w:r w:rsidRPr="00F933AF">
        <w:rPr>
          <w:rStyle w:val="StyleUnderline"/>
          <w:rFonts w:cs="Calibri"/>
        </w:rPr>
        <w:t xml:space="preserve"> as “[d]isabled speech is conceived as a private affair marked by particularity and embodiedness, while the rational speech of the universal citizen belongs to the public realm”</w:t>
      </w:r>
      <w:r w:rsidRPr="00F933AF">
        <w:rPr>
          <w:rFonts w:cs="Calibri"/>
          <w:sz w:val="16"/>
        </w:rPr>
        <w:t xml:space="preserve"> (St. Pierre, 2015, p. 336). I argue that the curriculum that calls children to conduct and discover themselves through other-centric and otherizing lenses converges with the deficit model, which locates the shortcoming in the self, rather than </w:t>
      </w:r>
      <w:r w:rsidRPr="00F933AF">
        <w:rPr>
          <w:rStyle w:val="StyleUnderline"/>
          <w:rFonts w:cs="Calibri"/>
        </w:rPr>
        <w:t>in the wider societal system</w:t>
      </w:r>
      <w:r w:rsidRPr="00F933AF">
        <w:rPr>
          <w:rFonts w:cs="Calibri"/>
          <w:sz w:val="16"/>
        </w:rPr>
        <w:t xml:space="preserve">, as well as panopticism, whereby behaviour is disciplined by an atmosphere of constant surveillance. If this particular type of sociality constitutes what is desirable and binds society together, then </w:t>
      </w:r>
      <w:r w:rsidRPr="00F933AF">
        <w:rPr>
          <w:rStyle w:val="StyleUnderline"/>
          <w:rFonts w:cs="Calibri"/>
        </w:rPr>
        <w:t>what may be done to coerce undesirable bodies to conform so as to maintain the status quo?</w:t>
      </w:r>
    </w:p>
    <w:p w:rsidR="00721D38" w:rsidRPr="00F933AF" w:rsidRDefault="00721D38" w:rsidP="00721D38">
      <w:pPr>
        <w:rPr>
          <w:rStyle w:val="StyleUnderline"/>
          <w:rFonts w:cs="Calibri"/>
        </w:rPr>
      </w:pPr>
    </w:p>
    <w:p w:rsidR="00721D38" w:rsidRPr="00F933AF" w:rsidRDefault="00721D38" w:rsidP="00F933AF">
      <w:pPr>
        <w:rPr>
          <w:rFonts w:cs="Calibri"/>
        </w:rPr>
      </w:pPr>
    </w:p>
    <w:p w:rsidR="00CE6D10" w:rsidRPr="00F933AF" w:rsidRDefault="00CE6D10" w:rsidP="00E5343F">
      <w:pPr>
        <w:pStyle w:val="Heading3"/>
        <w:rPr>
          <w:rFonts w:cs="Calibri"/>
        </w:rPr>
      </w:pPr>
      <w:r w:rsidRPr="00F933AF">
        <w:rPr>
          <w:rFonts w:cs="Calibri"/>
        </w:rPr>
        <w:t>Link – Neolib</w:t>
      </w:r>
    </w:p>
    <w:p w:rsidR="00721D38" w:rsidRPr="00F933AF" w:rsidRDefault="00721D38" w:rsidP="00721D38">
      <w:pPr>
        <w:pStyle w:val="Heading4"/>
        <w:rPr>
          <w:rFonts w:cs="Calibri"/>
        </w:rPr>
      </w:pPr>
      <w:r w:rsidRPr="00F933AF">
        <w:rPr>
          <w:rFonts w:cs="Calibri"/>
        </w:rPr>
        <w:t>Admission of the disabled to normative social institutions ultimately further marginalize them and reinforce neoliberalism through ablenationalism and cyborgian representations</w:t>
      </w:r>
    </w:p>
    <w:p w:rsidR="00721D38" w:rsidRPr="00F933AF" w:rsidRDefault="00721D38" w:rsidP="00721D38">
      <w:pPr>
        <w:rPr>
          <w:rFonts w:cs="Calibri"/>
        </w:rPr>
      </w:pPr>
      <w:r w:rsidRPr="00F933AF">
        <w:rPr>
          <w:rStyle w:val="Style13ptBold"/>
          <w:rFonts w:cs="Calibri"/>
        </w:rPr>
        <w:t>Mitchell 15</w:t>
      </w:r>
      <w:r w:rsidRPr="00F933AF">
        <w:rPr>
          <w:rFonts w:cs="Calibri"/>
        </w:rPr>
        <w:t xml:space="preserve"> (David T. Mitchell, faculty member in the Department of Disability and Human Development at the University of Illinois at Chicago, coeditor of Corporealities: Discourses of Disability, author of Precarity, Geopolitics, and the Matter of Disability, Ed. Sharon L. Snyder, 2015, “The Biopolitics of Disability neoliberalism, ablenationalism, and peripheral embodiment”, University of Michigan Press, https://www.press.umich.edu/7331366)/CWB</w:t>
      </w:r>
    </w:p>
    <w:p w:rsidR="00721D38" w:rsidRPr="00F933AF" w:rsidRDefault="00721D38" w:rsidP="00721D38">
      <w:pPr>
        <w:rPr>
          <w:rFonts w:cs="Calibri"/>
          <w:sz w:val="16"/>
        </w:rPr>
      </w:pPr>
      <w:r w:rsidRPr="00F933AF">
        <w:rPr>
          <w:rFonts w:cs="Calibri"/>
          <w:sz w:val="16"/>
        </w:rPr>
        <w:t xml:space="preserve">From Liberal to Neoliberal Futures of Disability Rights-Based Inclusionism, Ablenationalism, and the Able-Disabled This opening chapter continues a conversation begun in the introduction by examining </w:t>
      </w:r>
      <w:r w:rsidRPr="00F933AF">
        <w:rPr>
          <w:rStyle w:val="StyleUnderline"/>
          <w:rFonts w:cs="Calibri"/>
        </w:rPr>
        <w:t>disability’s grudging admission to normative social institutions through inherently neoliberal forms of redress</w:t>
      </w:r>
      <w:r w:rsidRPr="00F933AF">
        <w:rPr>
          <w:rFonts w:cs="Calibri"/>
          <w:sz w:val="16"/>
        </w:rPr>
        <w:t xml:space="preserve">. We perform this analysis by mapping some key coordinates of </w:t>
      </w:r>
      <w:r w:rsidRPr="00F933AF">
        <w:rPr>
          <w:rStyle w:val="StyleUnderline"/>
          <w:rFonts w:cs="Calibri"/>
        </w:rPr>
        <w:t>politicized normalization strategies extant in post-Fordist capitalism largely intended to ameliorate wider historical exclusions from the body politic. In order to do so, we address four related systems of integration for disabled people that ultimately result in further degrees of marginalization for the many:</w:t>
      </w:r>
      <w:r w:rsidRPr="00F933AF">
        <w:rPr>
          <w:rFonts w:cs="Calibri"/>
          <w:sz w:val="16"/>
        </w:rPr>
        <w:t xml:space="preserve"> 1) deinstitutionalization efforts undermined by </w:t>
      </w:r>
      <w:r w:rsidRPr="00F933AF">
        <w:rPr>
          <w:rStyle w:val="StyleUnderline"/>
          <w:rFonts w:cs="Calibri"/>
        </w:rPr>
        <w:t>austerity cuts</w:t>
      </w:r>
      <w:r w:rsidRPr="00F933AF">
        <w:rPr>
          <w:rFonts w:cs="Calibri"/>
          <w:sz w:val="16"/>
        </w:rPr>
        <w:t xml:space="preserve"> to key services such as in-home personal assistance care; 2) </w:t>
      </w:r>
      <w:r w:rsidRPr="00F933AF">
        <w:rPr>
          <w:rStyle w:val="StyleUnderline"/>
          <w:rFonts w:cs="Calibri"/>
        </w:rPr>
        <w:t xml:space="preserve">liberal leftist backlash </w:t>
      </w:r>
      <w:r w:rsidRPr="00F933AF">
        <w:rPr>
          <w:rFonts w:cs="Calibri"/>
          <w:sz w:val="16"/>
        </w:rPr>
        <w:t xml:space="preserve">against the homogenizing aesthetics and ecological unfriendliness of universal design as a principle of accessibility to public spaces; 3) international disability-based </w:t>
      </w:r>
      <w:r w:rsidRPr="00F933AF">
        <w:rPr>
          <w:rStyle w:val="StyleUnderline"/>
          <w:rFonts w:cs="Calibri"/>
        </w:rPr>
        <w:t>claims of American exceptionalism</w:t>
      </w:r>
      <w:r w:rsidRPr="00F933AF">
        <w:rPr>
          <w:rFonts w:cs="Calibri"/>
          <w:sz w:val="16"/>
        </w:rPr>
        <w:t xml:space="preserve"> that operate by shaming developing countries with respect to their neglectful treatment of disabled people; and 4) </w:t>
      </w:r>
      <w:r w:rsidRPr="00F933AF">
        <w:rPr>
          <w:rStyle w:val="StyleUnderline"/>
          <w:rFonts w:cs="Calibri"/>
        </w:rPr>
        <w:t>nationalist-inflected media portrayals</w:t>
      </w:r>
      <w:r w:rsidRPr="00F933AF">
        <w:rPr>
          <w:rFonts w:cs="Calibri"/>
          <w:sz w:val="16"/>
        </w:rPr>
        <w:t xml:space="preserve"> of celebrity cyborgs who are provided as false evidence </w:t>
      </w:r>
      <w:r w:rsidRPr="00F933AF">
        <w:rPr>
          <w:rStyle w:val="StyleUnderline"/>
          <w:rFonts w:cs="Calibri"/>
        </w:rPr>
        <w:t>of the rehabilitation-military postindustrial state’s inclusion commitments to providing hyper-compensatory supports for disabled people</w:t>
      </w:r>
      <w:r w:rsidRPr="00F933AF">
        <w:rPr>
          <w:rFonts w:cs="Calibri"/>
          <w:sz w:val="16"/>
        </w:rPr>
        <w:t xml:space="preserve">. All of these </w:t>
      </w:r>
      <w:r w:rsidRPr="00F933AF">
        <w:rPr>
          <w:rStyle w:val="StyleUnderline"/>
          <w:rFonts w:cs="Calibri"/>
        </w:rPr>
        <w:t xml:space="preserve">issues </w:t>
      </w:r>
      <w:r w:rsidRPr="00F933AF">
        <w:rPr>
          <w:rFonts w:cs="Calibri"/>
          <w:sz w:val="16"/>
        </w:rPr>
        <w:t xml:space="preserve">arise </w:t>
      </w:r>
      <w:r w:rsidRPr="00F933AF">
        <w:rPr>
          <w:rStyle w:val="StyleUnderline"/>
          <w:rFonts w:cs="Calibri"/>
        </w:rPr>
        <w:t>within the geopolitics of neoliberalism</w:t>
      </w:r>
      <w:r w:rsidRPr="00F933AF">
        <w:rPr>
          <w:rFonts w:cs="Calibri"/>
          <w:sz w:val="16"/>
        </w:rPr>
        <w:t xml:space="preserve"> as </w:t>
      </w:r>
      <w:r w:rsidRPr="00F933AF">
        <w:rPr>
          <w:rStyle w:val="StyleUnderline"/>
          <w:rFonts w:cs="Calibri"/>
        </w:rPr>
        <w:t>a result of claims that disability integration in postindustrial countries is now complete and a preeminent sign of their successful arrival at modernity</w:t>
      </w:r>
      <w:r w:rsidRPr="00F933AF">
        <w:rPr>
          <w:rFonts w:cs="Calibri"/>
          <w:sz w:val="16"/>
        </w:rPr>
        <w:t xml:space="preserve">. The analyses to come refer to </w:t>
      </w:r>
      <w:r w:rsidRPr="00F933AF">
        <w:rPr>
          <w:rStyle w:val="StyleUnderline"/>
          <w:rFonts w:cs="Calibri"/>
        </w:rPr>
        <w:t>two key nodal points in the neoliberal management of disability: (1) “ablenationalism” with regard to the use of disability by nations and multinational corporate/charity industries as a basis for promoting American exceptionalism abroad; and (2) representational spaces of cyborgian overcompensation we call “the able-disabled” wherein excessive displays of body supplementation are trafficked globally as signs of the completion (even transcendence) of the limitations of disabled bodies</w:t>
      </w:r>
      <w:r w:rsidRPr="00F933AF">
        <w:rPr>
          <w:rFonts w:cs="Calibri"/>
          <w:sz w:val="16"/>
        </w:rPr>
        <w:t xml:space="preserve">. Both of these </w:t>
      </w:r>
      <w:r w:rsidRPr="00F933AF">
        <w:rPr>
          <w:rStyle w:val="StyleUnderline"/>
          <w:rFonts w:cs="Calibri"/>
        </w:rPr>
        <w:t>tactics prove operative within the logic of democratic rights-based models of inclusionism as they take the integration of impaired bodies</w:t>
      </w:r>
      <w:r w:rsidRPr="00F933AF">
        <w:rPr>
          <w:rFonts w:cs="Calibri"/>
          <w:sz w:val="16"/>
        </w:rPr>
        <w:t xml:space="preserve"> (either through the granting of formerly withheld civic rights and/or prosthetic supplementation) as the foundational marker of inclusionism’s critical accomplishment. </w:t>
      </w:r>
      <w:r w:rsidRPr="00F933AF">
        <w:rPr>
          <w:rStyle w:val="StyleUnderline"/>
          <w:rFonts w:cs="Calibri"/>
        </w:rPr>
        <w:t>The hope spurred by these misleading representational tactics signify</w:t>
      </w:r>
      <w:r w:rsidRPr="00F933AF">
        <w:rPr>
          <w:rFonts w:cs="Calibri"/>
          <w:sz w:val="16"/>
        </w:rPr>
        <w:t xml:space="preserve"> the long overdue historical address of devalued embodiments pinning for </w:t>
      </w:r>
      <w:r w:rsidRPr="00F933AF">
        <w:rPr>
          <w:rStyle w:val="StyleUnderline"/>
          <w:rFonts w:cs="Calibri"/>
        </w:rPr>
        <w:t>love by nation</w:t>
      </w:r>
      <w:r w:rsidRPr="00F933AF">
        <w:rPr>
          <w:rFonts w:cs="Calibri"/>
          <w:sz w:val="16"/>
        </w:rPr>
        <w:t xml:space="preserve"> states in which their lives have been excessively circumscribed, excluded, abused, neglected, as well as socially and materially eviscerated. </w:t>
      </w:r>
      <w:r w:rsidRPr="00F933AF">
        <w:rPr>
          <w:rStyle w:val="StyleUnderline"/>
          <w:rFonts w:cs="Calibri"/>
        </w:rPr>
        <w:t xml:space="preserve">How does the effort to gain entrance to the democratic franchise of citizenship function as a tenuous tactic for accomplishing more meaningful levels of participation by disabled people? </w:t>
      </w:r>
      <w:r w:rsidRPr="00F933AF">
        <w:rPr>
          <w:rFonts w:cs="Calibri"/>
          <w:sz w:val="16"/>
        </w:rPr>
        <w:t xml:space="preserve">The power of </w:t>
      </w:r>
      <w:r w:rsidRPr="00F933AF">
        <w:rPr>
          <w:rStyle w:val="StyleUnderline"/>
          <w:rFonts w:cs="Calibri"/>
        </w:rPr>
        <w:t>this tactic</w:t>
      </w:r>
      <w:r w:rsidRPr="00F933AF">
        <w:rPr>
          <w:rFonts w:cs="Calibri"/>
          <w:sz w:val="16"/>
        </w:rPr>
        <w:t xml:space="preserve">, we argue, primarily </w:t>
      </w:r>
      <w:r w:rsidRPr="00F933AF">
        <w:rPr>
          <w:rStyle w:val="StyleUnderline"/>
          <w:rFonts w:cs="Calibri"/>
        </w:rPr>
        <w:t>rests on making disability knowable within the parameters of heteronormativity</w:t>
      </w:r>
      <w:r w:rsidRPr="00F933AF">
        <w:rPr>
          <w:rFonts w:cs="Calibri"/>
          <w:sz w:val="16"/>
        </w:rPr>
        <w:t xml:space="preserve"> (i.e., to see disability as less differentiated from other conditions of embodiment and, therefore, within the range of the “normal” rather than deviant). Thus, </w:t>
      </w:r>
      <w:r w:rsidRPr="00F933AF">
        <w:rPr>
          <w:rStyle w:val="StyleUnderline"/>
          <w:rFonts w:cs="Calibri"/>
        </w:rPr>
        <w:t>the normalization of disability in the political arena has</w:t>
      </w:r>
      <w:r w:rsidRPr="00F933AF">
        <w:rPr>
          <w:rFonts w:cs="Calibri"/>
          <w:sz w:val="16"/>
        </w:rPr>
        <w:t xml:space="preserve">, for better and worse, </w:t>
      </w:r>
      <w:r w:rsidRPr="00F933AF">
        <w:rPr>
          <w:rStyle w:val="StyleUnderline"/>
          <w:rFonts w:cs="Calibri"/>
        </w:rPr>
        <w:t xml:space="preserve">shaped </w:t>
      </w:r>
      <w:r w:rsidRPr="00F933AF">
        <w:rPr>
          <w:rFonts w:cs="Calibri"/>
          <w:sz w:val="16"/>
        </w:rPr>
        <w:t xml:space="preserve">progressive goals with respect to the demands of </w:t>
      </w:r>
      <w:r w:rsidRPr="00F933AF">
        <w:rPr>
          <w:rStyle w:val="StyleUnderline"/>
          <w:rFonts w:cs="Calibri"/>
        </w:rPr>
        <w:t>neoliberalism</w:t>
      </w:r>
      <w:r w:rsidRPr="00F933AF">
        <w:rPr>
          <w:rFonts w:cs="Calibri"/>
          <w:sz w:val="16"/>
        </w:rPr>
        <w:t xml:space="preserve">. A weak strain of accommodation develops as a result of efforts to flatten out the dynamic materiality of disability through claims of its likeness to other forms of diverse embodiment and approximations of normalcy. In his blog entry on Stims, Stammers and Winks, Zach Richter explains “Ableliberalism” as the contradictory premise that support for disability assists corporate and governmental interests but not necessarily disabled people themselves: </w:t>
      </w:r>
      <w:r w:rsidRPr="00F933AF">
        <w:rPr>
          <w:rStyle w:val="StyleUnderline"/>
          <w:rFonts w:cs="Calibri"/>
        </w:rPr>
        <w:t xml:space="preserve">When access is put into action in disability policy, its function is not actually to support disabled people but often either to make money from disabled people (and fuel the social services and healthcare industries), to make it look like the government is supporting disabled people or to normalize disabled people. </w:t>
      </w:r>
      <w:r w:rsidRPr="00F933AF">
        <w:rPr>
          <w:rFonts w:cs="Calibri"/>
          <w:sz w:val="16"/>
        </w:rPr>
        <w:t xml:space="preserve">We will extend this analysis into our case studies of austerity cuts, universal accessibility backlash, and the ablenationalism to come, but for now suffice it to say that </w:t>
      </w:r>
      <w:r w:rsidRPr="00F933AF">
        <w:rPr>
          <w:rStyle w:val="StyleUnderline"/>
          <w:rFonts w:cs="Calibri"/>
        </w:rPr>
        <w:t>neoliberal disability couches its rhetoric of assistance in terms that mask the institutional interests it serves. Throughout these discussions we trace disability from a scapegoated and incarcerated form of difference within liberal eugenics to a limited form of inclusionism within late liberal capitalism</w:t>
      </w:r>
      <w:r w:rsidRPr="00F933AF">
        <w:rPr>
          <w:rFonts w:cs="Calibri"/>
          <w:sz w:val="16"/>
        </w:rPr>
        <w:t xml:space="preserve">. Our argument regarding this historical transition in the social treatment of disability centers on a shift from Fordist to post-Fordist economic contexts in the West. </w:t>
      </w:r>
      <w:r w:rsidRPr="00F933AF">
        <w:rPr>
          <w:rStyle w:val="StyleUnderline"/>
          <w:rFonts w:cs="Calibri"/>
        </w:rPr>
        <w:t>Nonnormative positivist methodology provides an ability to chart profound alterations in disability’s social utility when economic emphases alter from a concentration on normative modes of mass production to an alternative emphasis on mass market-based consumption strategies. This ouster of disability’s nonnormative materiality from normative modes of participation—that is, the nonnormative operations of those occupying peripheral embodiments—has resulted in the incapacity to recognize disability as a site of alternative value and as a potentially disruptive force within neoliberal regimes of toleration.</w:t>
      </w:r>
      <w:r w:rsidRPr="00F933AF">
        <w:rPr>
          <w:rFonts w:cs="Calibri"/>
          <w:sz w:val="16"/>
        </w:rPr>
        <w:t xml:space="preserve"> Neoliberal Bait-and-Switch The social model’s emergence in the period of neoliberalism inevitably ties it to the very economic context in which it erupted as a critique; namely, the ways in which bodies are assessed as faulty, deviant, and socially incongruous in order to better justify their natural (and even necessary) exclusion from public participation. In forwarding this analysis social model theorists attempt to expose the inadequacies of environments (attitudinal, architectural, and aesthetic) as causative agents of disabled peoples’ blocked suture into the social fabric of life. As such, </w:t>
      </w:r>
      <w:r w:rsidRPr="00F933AF">
        <w:rPr>
          <w:rStyle w:val="StyleUnderline"/>
          <w:rFonts w:cs="Calibri"/>
        </w:rPr>
        <w:t>the social model is itself a creature of late liberalism’s strategic embrace of devalued identities and its corrective efforts to include rather than exclude</w:t>
      </w:r>
      <w:r w:rsidRPr="00F933AF">
        <w:rPr>
          <w:rFonts w:cs="Calibri"/>
          <w:sz w:val="16"/>
        </w:rPr>
        <w:t xml:space="preserve"> what Nicole Markotic and Sally Chivers refer to as “the problem body” (1–2). </w:t>
      </w:r>
      <w:r w:rsidRPr="00F933AF">
        <w:rPr>
          <w:rStyle w:val="StyleUnderline"/>
          <w:rFonts w:cs="Calibri"/>
        </w:rPr>
        <w:t>Neoliberalism continues to oversee greater and more pressing exclusions with respect to the terms undergirding opportunities for integration that then go unfunded or receive drastic cuts at a later point in time</w:t>
      </w:r>
      <w:r w:rsidRPr="00F933AF">
        <w:rPr>
          <w:rFonts w:cs="Calibri"/>
          <w:sz w:val="16"/>
        </w:rPr>
        <w:t xml:space="preserve">. Such austerity-based practices disguise themselves in the fog of claims to expansions in social supports due to the beneficence of the neoliberal state that are later destabilized or removed with less fanfare. As such austerity cuts often pass unnoticed as states and countries raid their healthcare budgets to shore up failing economic coffers largely available for financing military and corporate interests. Within such instances of promised supports offered then taken away, PWDs’ status within neoliberalism situates them as veritable canaries in the coal mine of arbitrary, restrictive, and narrowly defined government-funded policy initiatives. </w:t>
      </w:r>
      <w:r w:rsidRPr="00F933AF">
        <w:rPr>
          <w:rStyle w:val="StyleUnderline"/>
          <w:rFonts w:cs="Calibri"/>
        </w:rPr>
        <w:t>Within such practices a neoliberal bait-and-switch with disabled lives is at stakes. The paradox of support for living in the community while simultaneously gutting the very social service systems needed to accomplish this kind of integration sits at the heart of the weakened strain of inclusionism extant in neoliberalism</w:t>
      </w:r>
      <w:r w:rsidRPr="00F933AF">
        <w:rPr>
          <w:rFonts w:cs="Calibri"/>
          <w:sz w:val="16"/>
        </w:rPr>
        <w:t xml:space="preserve">. For example, during the years 2010 and 2011 there were protests mounted by organizations of PWDs (such as Independent Living Centers, body care workers, and disability advocacy organizations) threatened by austerity-based service reduction cuts in California. The protests took the form of civil disobedience as street art performance in the construction of a satirically titled marginalized community called “ArnieVille” (named after bodybuilder-actor-turned-governor, Arnold Schwarzenegger). Established in August and then again resurrected in October, “Arnieville” was a tent city built in order to demonstrate the precariousness in which PWDs felt they had been situated by neoliberal austerity measures. According to journalistic coverage and protestor blogs, the performance art of </w:t>
      </w:r>
      <w:r w:rsidRPr="00F933AF">
        <w:rPr>
          <w:rStyle w:val="StyleUnderline"/>
          <w:rFonts w:cs="Calibri"/>
        </w:rPr>
        <w:t>Arnieville</w:t>
      </w:r>
      <w:r w:rsidRPr="00F933AF">
        <w:rPr>
          <w:rFonts w:cs="Calibri"/>
          <w:sz w:val="16"/>
        </w:rPr>
        <w:t xml:space="preserve"> sought to </w:t>
      </w:r>
      <w:r w:rsidRPr="00F933AF">
        <w:rPr>
          <w:rStyle w:val="StyleUnderline"/>
          <w:rFonts w:cs="Calibri"/>
        </w:rPr>
        <w:t>expose the bottom line of a disability-based neoliberal bait-and-switch: the exchange of individual liberties for state-funded services served as an untenable baseline for receiving necessary public assistance in order to live in the community of one’s choosing. Such an arrangement makes one vulnerable not only to a loss of liberty by those occupying peripheral embodiments, but, ultimately, the loss of service provisions guaranteed by the neoliberal state as well.</w:t>
      </w:r>
      <w:r w:rsidRPr="00F933AF">
        <w:rPr>
          <w:rFonts w:cs="Calibri"/>
          <w:sz w:val="16"/>
        </w:rPr>
        <w:t xml:space="preserve"> </w:t>
      </w:r>
    </w:p>
    <w:p w:rsidR="006F6EF3" w:rsidRDefault="006F6EF3" w:rsidP="006F6EF3">
      <w:pPr>
        <w:pStyle w:val="Heading4"/>
      </w:pPr>
      <w:r>
        <w:t>The sterilization and oppression of disabled people is rooted in capital accumulation—disablement has become a commodity for Big Business, serving as an exploitable workforce and an indispensable tool for the state in controlling labor supply</w:t>
      </w:r>
    </w:p>
    <w:p w:rsidR="006F6EF3" w:rsidRPr="00AF6D59" w:rsidRDefault="006F6EF3" w:rsidP="006F6EF3">
      <w:pPr>
        <w:rPr>
          <w:sz w:val="18"/>
          <w:szCs w:val="18"/>
        </w:rPr>
      </w:pPr>
      <w:r>
        <w:rPr>
          <w:b/>
        </w:rPr>
        <w:t xml:space="preserve">Russell and Malhotra 2 </w:t>
      </w:r>
      <w:r w:rsidRPr="00AF6D59">
        <w:rPr>
          <w:sz w:val="18"/>
          <w:szCs w:val="18"/>
        </w:rPr>
        <w:t>(Marta Russell and Ravi Malhotra, “Capitalism and Disability,” Capitalist Beginnings and The Commodification of the Impaired Body, pg. 212-216, The Socialist Register, 2002, https://socialistregister.com/index.php/srv/article/viewFile/5784/2680~~)</w:t>
      </w:r>
      <w:r>
        <w:rPr>
          <w:sz w:val="18"/>
          <w:szCs w:val="18"/>
        </w:rPr>
        <w:t>//jy</w:t>
      </w:r>
    </w:p>
    <w:p w:rsidR="006F6EF3" w:rsidRPr="006F197F" w:rsidRDefault="006F6EF3" w:rsidP="006F6EF3">
      <w:pPr>
        <w:rPr>
          <w:b/>
          <w:u w:val="single"/>
        </w:rPr>
      </w:pPr>
      <w:r w:rsidRPr="008E1051">
        <w:rPr>
          <w:u w:val="single"/>
        </w:rPr>
        <w:t>The primary oppression of disabled persons</w:t>
      </w:r>
      <w:r w:rsidRPr="006F197F">
        <w:rPr>
          <w:sz w:val="10"/>
        </w:rPr>
        <w:t xml:space="preserve"> (i.e. of people who could work, in a workplace that was accommodated to their needs)</w:t>
      </w:r>
      <w:r w:rsidRPr="008E1051">
        <w:rPr>
          <w:u w:val="single"/>
        </w:rPr>
        <w:t xml:space="preserve"> is their exclusion from exploitation as wage labourers</w:t>
      </w:r>
      <w:r w:rsidRPr="006F197F">
        <w:rPr>
          <w:sz w:val="10"/>
        </w:rPr>
        <w:t>.6 S</w:t>
      </w:r>
      <w:r w:rsidRPr="008E1051">
        <w:rPr>
          <w:u w:val="single"/>
        </w:rPr>
        <w:t>tudies show that disabled persons experience lower labour-force participation rates, higher unemployment rates and higher part-time employment rates than non-disabled persons</w:t>
      </w:r>
      <w:r w:rsidRPr="006F197F">
        <w:rPr>
          <w:sz w:val="10"/>
        </w:rPr>
        <w:t xml:space="preserve">.7 In the US, 79% of working-age disabled adults say they would prefer to work,8 yet in 2000 only 30.5% of those with a work disability between ages sixteen and sixty-four were in the labour force and only 27.6% were employed; while 82.1% of non-disabled persons in this age group were either employed (78.6%) or actively seeking work for pay.9 </w:t>
      </w:r>
      <w:r w:rsidRPr="008E1051">
        <w:rPr>
          <w:u w:val="single"/>
        </w:rPr>
        <w:t>Though having a job does not always translate into an above-poverty level existence, disabled persons’ historical exclusion from the labour force has undoubtedly contributed to their poverty. Disabled persons are nearly three times as likely to live below the current poverty line — 29% live in poverty, compared to 10% of non-disabled people</w:t>
      </w:r>
      <w:r w:rsidRPr="006F197F">
        <w:rPr>
          <w:sz w:val="10"/>
        </w:rPr>
        <w:t xml:space="preserve">.10 In the USA fully one third of disabled adults live in a household with an annual income of less than $15,000,11 while the 300 to 400 million living in developing countries have even less chance of employment and exist in abject poverty, usually with no social safety nets at all.12 </w:t>
      </w:r>
      <w:r w:rsidRPr="008E1051">
        <w:rPr>
          <w:u w:val="single"/>
        </w:rPr>
        <w:t xml:space="preserve">Historical materialism provides a theoretical base from which to explain these conditions and outcomes. Under feudalism, economic exploitation was direct and political, made possible by the feudal concentration of land ownership. </w:t>
      </w:r>
      <w:r w:rsidRPr="006F197F">
        <w:rPr>
          <w:sz w:val="10"/>
        </w:rPr>
        <w:t xml:space="preserve">While a few owners reaped the surplus, </w:t>
      </w:r>
      <w:r w:rsidRPr="008E1051">
        <w:rPr>
          <w:u w:val="single"/>
        </w:rPr>
        <w:t>many living on their estates worked for subsistence and disabled people were able to participate in this economy to varying degrees</w:t>
      </w:r>
      <w:r w:rsidRPr="006F197F">
        <w:rPr>
          <w:sz w:val="10"/>
        </w:rPr>
        <w:t xml:space="preserve">.13 Notwithstanding religious superstition about disabled people during the Middle Ages, and significant persecution of them, </w:t>
      </w:r>
      <w:r w:rsidRPr="008E1051">
        <w:rPr>
          <w:u w:val="single"/>
        </w:rPr>
        <w:t>the rural production process that predominated prior to the Industrial Revolution permitted many disabled people to make a genuine contribution to daily economic life.</w:t>
      </w:r>
      <w:r w:rsidRPr="006F197F">
        <w:rPr>
          <w:sz w:val="10"/>
        </w:rPr>
        <w:t xml:space="preserve">14 </w:t>
      </w:r>
      <w:r w:rsidRPr="008E1051">
        <w:rPr>
          <w:b/>
          <w:u w:val="single"/>
        </w:rPr>
        <w:t>With the advent of capitalism, people were no longer tied to the land, but they were forced to find work that would pay a wage — or starve; and as production became industrialized people’s bodies were increasingly valued for their ability to function like machines.</w:t>
      </w:r>
      <w:r w:rsidRPr="006F197F">
        <w:rPr>
          <w:sz w:val="10"/>
        </w:rPr>
        <w:t xml:space="preserve"> Bosses could push non-disabled workers to produce at ever increasing rates of speed. </w:t>
      </w:r>
      <w:r w:rsidRPr="008E1051">
        <w:rPr>
          <w:u w:val="single"/>
        </w:rPr>
        <w:t>Factory discipline, time-keeping and production norms broke with the slower, more self-determined and flexible work pattern into which many disabled people had been integrated</w:t>
      </w:r>
      <w:r w:rsidRPr="006F197F">
        <w:rPr>
          <w:sz w:val="10"/>
        </w:rPr>
        <w:t xml:space="preserve">.15 </w:t>
      </w:r>
      <w:r w:rsidRPr="008E1051">
        <w:rPr>
          <w:u w:val="single"/>
        </w:rPr>
        <w:t>As work became more rationalized</w:t>
      </w:r>
      <w:r w:rsidRPr="006F197F">
        <w:rPr>
          <w:sz w:val="10"/>
        </w:rPr>
        <w:t xml:space="preserve">, requiring precise mechanical movements of the body, repeated in quicker succession, </w:t>
      </w:r>
      <w:r w:rsidRPr="008E1051">
        <w:rPr>
          <w:u w:val="single"/>
        </w:rPr>
        <w:t>impaired persons</w:t>
      </w:r>
      <w:r w:rsidRPr="006F197F">
        <w:rPr>
          <w:sz w:val="10"/>
        </w:rPr>
        <w:t xml:space="preserve"> — the deaf or blind, and those with mobility difficulties </w:t>
      </w:r>
      <w:r w:rsidRPr="008E1051">
        <w:rPr>
          <w:u w:val="single"/>
        </w:rPr>
        <w:t>— were seen as</w:t>
      </w:r>
      <w:r w:rsidRPr="006F197F">
        <w:rPr>
          <w:sz w:val="10"/>
        </w:rPr>
        <w:t xml:space="preserve"> — and, without job accommodations to meet their impairments, were — </w:t>
      </w:r>
      <w:r w:rsidRPr="008E1051">
        <w:rPr>
          <w:u w:val="single"/>
        </w:rPr>
        <w:t>less ‘fit’ to do the tasks required of factory workers, and were increasingly excluded from paid employment</w:t>
      </w:r>
      <w:r w:rsidRPr="006F197F">
        <w:rPr>
          <w:sz w:val="10"/>
        </w:rPr>
        <w:t xml:space="preserve">.16 And so ‘the operation of the labour market in the nineteenth century effectively depressed handicapped people of all kinds to the bottom of the market’.17 </w:t>
      </w:r>
      <w:r w:rsidRPr="008E1051">
        <w:rPr>
          <w:u w:val="single"/>
        </w:rPr>
        <w:t xml:space="preserve">Industrial capitalism </w:t>
      </w:r>
      <w:r w:rsidRPr="006F197F">
        <w:rPr>
          <w:sz w:val="10"/>
        </w:rPr>
        <w:t xml:space="preserve">thus </w:t>
      </w:r>
      <w:r w:rsidRPr="008E1051">
        <w:rPr>
          <w:u w:val="single"/>
        </w:rPr>
        <w:t>created</w:t>
      </w:r>
      <w:r w:rsidRPr="006F197F">
        <w:rPr>
          <w:sz w:val="10"/>
        </w:rPr>
        <w:t xml:space="preserve"> not only a class of proletarians but also </w:t>
      </w:r>
      <w:r w:rsidRPr="008E1051">
        <w:rPr>
          <w:u w:val="single"/>
        </w:rPr>
        <w:t>a new class of ‘disabled’ who did not conform to the standard worker’s body and whose labour-power was effectively erased, excluded from paid work.</w:t>
      </w:r>
      <w:r w:rsidRPr="006F197F">
        <w:rPr>
          <w:sz w:val="10"/>
        </w:rPr>
        <w:t xml:space="preserve">18 </w:t>
      </w:r>
      <w:r w:rsidRPr="008E1051">
        <w:rPr>
          <w:b/>
          <w:u w:val="single"/>
        </w:rPr>
        <w:t>As a result, disabled persons came to be regarded as a social problem and a justification emerged for segregating them out of mainstream life and into a variety of institutions</w:t>
      </w:r>
      <w:r w:rsidRPr="006F197F">
        <w:rPr>
          <w:sz w:val="10"/>
        </w:rPr>
        <w:t xml:space="preserve">, including workhouses, asylums, prisons, colonies and special schools.19 </w:t>
      </w:r>
      <w:r w:rsidRPr="008E1051">
        <w:rPr>
          <w:u w:val="single"/>
        </w:rPr>
        <w:t>Exclusion was further rationalized by Social Darwinists, who used biology to argue that heredity</w:t>
      </w:r>
      <w:r w:rsidRPr="006F197F">
        <w:rPr>
          <w:sz w:val="10"/>
        </w:rPr>
        <w:t xml:space="preserve"> — race and genes — </w:t>
      </w:r>
      <w:r w:rsidRPr="008E1051">
        <w:rPr>
          <w:u w:val="single"/>
        </w:rPr>
        <w:t>prevailed over the class and economic issues</w:t>
      </w:r>
      <w:r w:rsidRPr="006F197F">
        <w:rPr>
          <w:sz w:val="10"/>
        </w:rPr>
        <w:t xml:space="preserve"> raised by Marx and others. </w:t>
      </w:r>
      <w:r w:rsidRPr="008E1051">
        <w:rPr>
          <w:u w:val="single"/>
        </w:rPr>
        <w:t>Just as the ‘inferior’ weren’t meant to survive in nature, they were not meant to survive in a competitive society</w:t>
      </w:r>
      <w:r w:rsidRPr="009946C9">
        <w:rPr>
          <w:u w:val="single"/>
        </w:rPr>
        <w:t>. Legislation, influenced by Social Darwinism and eugenics theory,</w:t>
      </w:r>
      <w:r w:rsidRPr="006F197F">
        <w:rPr>
          <w:sz w:val="10"/>
        </w:rPr>
        <w:t xml:space="preserve"> </w:t>
      </w:r>
      <w:r w:rsidRPr="009946C9">
        <w:rPr>
          <w:u w:val="single"/>
        </w:rPr>
        <w:t>was enacted in a number of jurisdictions for the involuntary sterilization of disabled people</w:t>
      </w:r>
      <w:r w:rsidRPr="006F197F">
        <w:rPr>
          <w:sz w:val="10"/>
        </w:rPr>
        <w:t xml:space="preserve">.20 Advocates of eugenics such as Galton, Dugdale and Goddard propagated the myth that there was an inevitable genetic link between physical and mental impairments and crime and unemployment.21 This was also linked to influential theories of racial superiority, according to which the birth of disabled children should be regarded as a threat to racial purity.22 In the notorious Buck v. Bell decision of 1927, the US Supreme Court upheld the legality of the forced sterilization of disabled people. At the extreme, Nazi Germany determined that disabled individuals were an economic burden and exterminated tens of thousands of them.23 But even in ‘democratic’ America bean-counting logic prevailed: </w:t>
      </w:r>
      <w:r w:rsidRPr="009946C9">
        <w:rPr>
          <w:u w:val="single"/>
        </w:rPr>
        <w:t>by 1938, thirty-three American states had sterilization laws and between 1921 and 1964 over 63,000 disabled people were involuntarily sterilized in a pseudo-scientific effort to prevent the births of disabled offspring and save on social costs</w:t>
      </w:r>
      <w:r w:rsidRPr="006F197F">
        <w:rPr>
          <w:sz w:val="10"/>
        </w:rPr>
        <w:t xml:space="preserve">.24 </w:t>
      </w:r>
      <w:r w:rsidRPr="009946C9">
        <w:rPr>
          <w:u w:val="single"/>
        </w:rPr>
        <w:t>Whether or not codified into law, the sterilization of disabled people was common in a number of countries in the first half of the twentieth century,</w:t>
      </w:r>
      <w:r w:rsidRPr="006F197F">
        <w:rPr>
          <w:sz w:val="10"/>
        </w:rPr>
        <w:t xml:space="preserve"> including Britain, Denmark, Switzerland, Sweden, and Canada.25 </w:t>
      </w:r>
      <w:r w:rsidRPr="009946C9">
        <w:rPr>
          <w:u w:val="single"/>
        </w:rPr>
        <w:t>After World War II</w:t>
      </w:r>
      <w:r w:rsidRPr="006F197F">
        <w:rPr>
          <w:sz w:val="10"/>
        </w:rPr>
        <w:t xml:space="preserve"> the expansion of the welfare state in most industrialized countries gave rise to two contradictory trends for disabled people. On the one hand, there was increased state provision of social services. On the other hand </w:t>
      </w:r>
      <w:r w:rsidRPr="009946C9">
        <w:rPr>
          <w:u w:val="single"/>
        </w:rPr>
        <w:t>there was</w:t>
      </w:r>
      <w:r w:rsidRPr="006F197F">
        <w:rPr>
          <w:sz w:val="10"/>
        </w:rPr>
        <w:t xml:space="preserve"> also </w:t>
      </w:r>
      <w:r w:rsidRPr="009946C9">
        <w:rPr>
          <w:u w:val="single"/>
        </w:rPr>
        <w:t>a greater attempt to regulate the lives of the recipients of these services. This</w:t>
      </w:r>
      <w:r w:rsidRPr="006F197F">
        <w:rPr>
          <w:sz w:val="10"/>
        </w:rPr>
        <w:t xml:space="preserve"> was particularly the case in Britain and other European countries. The Beveridge Report in Britain symbolized this project and it clearly </w:t>
      </w:r>
      <w:r w:rsidRPr="009946C9">
        <w:rPr>
          <w:u w:val="single"/>
        </w:rPr>
        <w:t>envisaged an ‘ableist</w:t>
      </w:r>
      <w:r w:rsidRPr="006F197F">
        <w:rPr>
          <w:sz w:val="10"/>
        </w:rPr>
        <w:t xml:space="preserve">’ and patriarchal </w:t>
      </w:r>
      <w:r w:rsidRPr="009946C9">
        <w:rPr>
          <w:u w:val="single"/>
        </w:rPr>
        <w:t>system in which</w:t>
      </w:r>
      <w:r w:rsidRPr="006F197F">
        <w:rPr>
          <w:sz w:val="10"/>
        </w:rPr>
        <w:t xml:space="preserve"> white male able-bodied workers were the primary breadwinners, married women worked in the home, and </w:t>
      </w:r>
      <w:r w:rsidRPr="009946C9">
        <w:rPr>
          <w:u w:val="single"/>
        </w:rPr>
        <w:t>disabled people were defined as a medical problem and relegated to the expertise of specialists</w:t>
      </w:r>
      <w:r w:rsidRPr="006F197F">
        <w:rPr>
          <w:sz w:val="10"/>
        </w:rPr>
        <w:t xml:space="preserve">.26 However, even in the USA, which adopted a relatively modest welfare state, one saw increased provision of social programs such as segregated sheltered workshops which exploited disabled workers in part by paying below minimum wages. </w:t>
      </w:r>
      <w:r w:rsidRPr="009946C9">
        <w:rPr>
          <w:u w:val="single"/>
        </w:rPr>
        <w:t>This was a component of the ‘dictatorship over needs’ inherent in the bureaucratism of the welfare state which transformed people into objects of state policy called ‘clients’</w:t>
      </w:r>
      <w:r w:rsidRPr="006F197F">
        <w:rPr>
          <w:sz w:val="10"/>
        </w:rPr>
        <w:t xml:space="preserve">.27 </w:t>
      </w:r>
      <w:proofErr w:type="gramStart"/>
      <w:r w:rsidRPr="006F197F">
        <w:rPr>
          <w:sz w:val="10"/>
        </w:rPr>
        <w:t>The</w:t>
      </w:r>
      <w:proofErr w:type="gramEnd"/>
      <w:r w:rsidRPr="006F197F">
        <w:rPr>
          <w:sz w:val="10"/>
        </w:rPr>
        <w:t xml:space="preserve"> ‘medicalization’ of disablement and the tools of classification clearly played an important role in establishing divisions between the ‘disabled’ and the ‘ablebodied’. </w:t>
      </w:r>
      <w:r w:rsidRPr="009946C9">
        <w:rPr>
          <w:u w:val="single"/>
        </w:rPr>
        <w:t xml:space="preserve">Disability became an important ‘boundary’ category whereby people were allocated to either a work-based or a needs-based system of distribution. </w:t>
      </w:r>
      <w:r w:rsidRPr="009946C9">
        <w:rPr>
          <w:b/>
          <w:u w:val="single"/>
        </w:rPr>
        <w:t>In the US, disability came to be defined explicitly in relation to the labour market</w:t>
      </w:r>
      <w:r w:rsidRPr="006F197F">
        <w:rPr>
          <w:sz w:val="10"/>
        </w:rPr>
        <w:t xml:space="preserve">. For instance, </w:t>
      </w:r>
      <w:r w:rsidRPr="009946C9">
        <w:rPr>
          <w:u w:val="single"/>
        </w:rPr>
        <w:t>in some workers’ compensation statutes, a labourer’s body is rated by the degree of its impairment suffered by each of its functioning parts</w:t>
      </w:r>
      <w:r w:rsidRPr="006F197F">
        <w:rPr>
          <w:sz w:val="10"/>
        </w:rPr>
        <w:t>.28</w:t>
      </w:r>
      <w:r w:rsidRPr="009946C9">
        <w:rPr>
          <w:b/>
          <w:u w:val="single"/>
        </w:rPr>
        <w:t xml:space="preserve"> In Social Security law, ‘disabled’ means medically unable to engage in substantial work activity.</w:t>
      </w:r>
      <w:r w:rsidRPr="006F197F">
        <w:rPr>
          <w:sz w:val="10"/>
        </w:rPr>
        <w:t xml:space="preserve">29 </w:t>
      </w:r>
      <w:r w:rsidRPr="009946C9">
        <w:rPr>
          <w:b/>
          <w:u w:val="single"/>
        </w:rPr>
        <w:t>The disability category was essential to the development of an exploitable workforce in early capitalism and remains indispensable as an instrument of the state in controlling the labour supply today</w:t>
      </w:r>
      <w:r w:rsidRPr="006F197F">
        <w:rPr>
          <w:sz w:val="10"/>
        </w:rPr>
        <w:t xml:space="preserve">.30 </w:t>
      </w:r>
      <w:r w:rsidRPr="009946C9">
        <w:rPr>
          <w:u w:val="single"/>
        </w:rPr>
        <w:t>By focusing on curing so-called abnormalities, and segregating those who could not be cured into the administrative category of ‘disabled’, medicine cooperated in shoving less exploitable workers out of the mainstream workforce.</w:t>
      </w:r>
      <w:r w:rsidRPr="006F197F">
        <w:rPr>
          <w:sz w:val="10"/>
        </w:rPr>
        <w:t xml:space="preserve">31 So, just as </w:t>
      </w:r>
      <w:r w:rsidRPr="009946C9">
        <w:rPr>
          <w:u w:val="single"/>
        </w:rPr>
        <w:t>capitalism</w:t>
      </w:r>
      <w:r w:rsidRPr="006F197F">
        <w:rPr>
          <w:sz w:val="10"/>
        </w:rPr>
        <w:t xml:space="preserve"> forces workers into the wage relationship, it equally </w:t>
      </w:r>
      <w:r w:rsidRPr="009946C9">
        <w:rPr>
          <w:u w:val="single"/>
        </w:rPr>
        <w:t>forcefully coerces disabled workers out</w:t>
      </w:r>
      <w:r w:rsidRPr="006F197F">
        <w:rPr>
          <w:sz w:val="10"/>
        </w:rPr>
        <w:t xml:space="preserve"> of it.32 </w:t>
      </w:r>
      <w:r w:rsidRPr="009946C9">
        <w:rPr>
          <w:u w:val="single"/>
        </w:rPr>
        <w:t>Disabled workers face inherent economic discrimination within the capitalist system, stemming from employers’ expectations of encountering additional production costs when hiring or retaining a non-standard (disabled) worker as opposed to a standard (nondisabled) worker who has no need for job accommodations</w:t>
      </w:r>
      <w:r w:rsidRPr="006F197F">
        <w:rPr>
          <w:sz w:val="10"/>
        </w:rPr>
        <w:t xml:space="preserve">, interpreters, readers, environmental modifications, liability insurance, maximum health care coverage (inclusive of attendant services) </w:t>
      </w:r>
      <w:r w:rsidRPr="009946C9">
        <w:rPr>
          <w:u w:val="single"/>
        </w:rPr>
        <w:t>or even health care coverage at all</w:t>
      </w:r>
      <w:r w:rsidRPr="006F197F">
        <w:rPr>
          <w:sz w:val="10"/>
        </w:rPr>
        <w:t>.33 ‘</w:t>
      </w:r>
      <w:r w:rsidRPr="009946C9">
        <w:rPr>
          <w:b/>
          <w:u w:val="single"/>
        </w:rPr>
        <w:t>Disability’ is a social creation which defines who is offered a job and who is not, and what it means varies with the level of economic activity. This is because the root cause of the work-place discrimination experienced by disabled people is to be found in an accountant’s calculation of the present cost of production versus the potential contribution the employment of a given worker will make to future profits</w:t>
      </w:r>
      <w:r w:rsidRPr="006F197F">
        <w:rPr>
          <w:sz w:val="10"/>
        </w:rPr>
        <w:t xml:space="preserve">. </w:t>
      </w:r>
      <w:r w:rsidRPr="009946C9">
        <w:rPr>
          <w:u w:val="single"/>
        </w:rPr>
        <w:t xml:space="preserve">If ‘disabilities’ among the direct producers add to the cost of production without increasing the rate of profit, owners and managers will necessarily discriminate against them. </w:t>
      </w:r>
      <w:r w:rsidRPr="006F197F">
        <w:rPr>
          <w:sz w:val="10"/>
        </w:rPr>
        <w:t xml:space="preserve">Expenses to accommodate the ‘disabled’ in the workplace will be resisted as an addition to the fixed capital portion of constant capital. Hence the opposition of small and medium businesses, especially the US Chamber of Commerce, to the ‘Americans with Disabilities 214 SOCIALIST REGISTER 2002 Act’. </w:t>
      </w:r>
      <w:r w:rsidRPr="009946C9">
        <w:rPr>
          <w:u w:val="single"/>
        </w:rPr>
        <w:t>Managers and owners will only tolerate the use of ‘disabled’ workers when they can save on the variable portion of cost of production, e.g. by paying low wages to disabled workers</w:t>
      </w:r>
      <w:proofErr w:type="gramStart"/>
      <w:r w:rsidRPr="006F197F">
        <w:rPr>
          <w:sz w:val="10"/>
        </w:rPr>
        <w:t>,34</w:t>
      </w:r>
      <w:proofErr w:type="gramEnd"/>
      <w:r w:rsidRPr="006F197F">
        <w:rPr>
          <w:sz w:val="10"/>
        </w:rPr>
        <w:t xml:space="preserve"> </w:t>
      </w:r>
      <w:r w:rsidRPr="009946C9">
        <w:rPr>
          <w:u w:val="single"/>
        </w:rPr>
        <w:t>or through tax breaks and other subsidies</w:t>
      </w:r>
      <w:r w:rsidRPr="006F197F">
        <w:rPr>
          <w:sz w:val="10"/>
        </w:rPr>
        <w:t xml:space="preserve">. So an employee who is too costly (i.e., significantly disabled) to add to net profits at the current level of output will not likely become (or remain) an employee at all.35 US Census data consistently show that, </w:t>
      </w:r>
      <w:r w:rsidRPr="009946C9">
        <w:rPr>
          <w:u w:val="single"/>
        </w:rPr>
        <w:t>as compared with the four-fifths of working-age persons with no disability who have jobs, only just over one-quarter of people with a significant disability do so</w:t>
      </w:r>
      <w:r w:rsidRPr="006F197F">
        <w:rPr>
          <w:sz w:val="10"/>
        </w:rPr>
        <w:t xml:space="preserve">.36 </w:t>
      </w:r>
      <w:r w:rsidRPr="009946C9">
        <w:rPr>
          <w:u w:val="single"/>
        </w:rPr>
        <w:t>Employers and investors rely on the preservation of the status quo labour system which does not require them to absorb the non-standard costs of employing disabled workers under the current mode of production</w:t>
      </w:r>
      <w:r w:rsidRPr="006F197F">
        <w:rPr>
          <w:sz w:val="10"/>
        </w:rPr>
        <w:t xml:space="preserve">, let alone the 800 million people who are totally or partially unemployed worldwide. </w:t>
      </w:r>
      <w:r w:rsidRPr="009946C9">
        <w:rPr>
          <w:u w:val="single"/>
        </w:rPr>
        <w:t>Consequently, disabled individuals who are currently not in the mainstream workforce, who are collecting disability benefits and who could work if their impairments were accommodated, are not tallied into employers’ costs of doing business</w:t>
      </w:r>
      <w:r w:rsidRPr="006F197F">
        <w:rPr>
          <w:sz w:val="10"/>
        </w:rPr>
        <w:t xml:space="preserve">.37 </w:t>
      </w:r>
      <w:r w:rsidRPr="009946C9">
        <w:rPr>
          <w:b/>
          <w:u w:val="single"/>
        </w:rPr>
        <w:t>The disability benefit system thus serves as a socially legitimized means by which the capitalist class can avoid hiring or retaining non-standard workers and can ‘morally’ shift the cost of supporting them onto poverty-based government programs — thereby perpetuating their poverty</w:t>
      </w:r>
      <w:r w:rsidRPr="006F197F">
        <w:rPr>
          <w:sz w:val="10"/>
        </w:rPr>
        <w:t xml:space="preserve">. </w:t>
      </w:r>
      <w:r w:rsidRPr="009946C9">
        <w:rPr>
          <w:u w:val="single"/>
        </w:rPr>
        <w:t>Being categorized as ‘disabled’</w:t>
      </w:r>
      <w:r w:rsidRPr="006F197F">
        <w:rPr>
          <w:sz w:val="10"/>
        </w:rPr>
        <w:t xml:space="preserve">, however, </w:t>
      </w:r>
      <w:r w:rsidRPr="009946C9">
        <w:rPr>
          <w:u w:val="single"/>
        </w:rPr>
        <w:t>and the subsequent impoverishment</w:t>
      </w:r>
      <w:r w:rsidRPr="006F197F">
        <w:rPr>
          <w:sz w:val="10"/>
        </w:rPr>
        <w:t xml:space="preserve"> that so many face when struggling to survive on disability benefits</w:t>
      </w:r>
      <w:proofErr w:type="gramStart"/>
      <w:r w:rsidRPr="006F197F">
        <w:rPr>
          <w:sz w:val="10"/>
        </w:rPr>
        <w:t>,38</w:t>
      </w:r>
      <w:proofErr w:type="gramEnd"/>
      <w:r w:rsidRPr="006F197F">
        <w:rPr>
          <w:sz w:val="10"/>
        </w:rPr>
        <w:t xml:space="preserve"> serves another class function: it </w:t>
      </w:r>
      <w:r w:rsidRPr="009946C9">
        <w:rPr>
          <w:u w:val="single"/>
        </w:rPr>
        <w:t xml:space="preserve">generates </w:t>
      </w:r>
      <w:r w:rsidRPr="006F197F">
        <w:rPr>
          <w:sz w:val="10"/>
        </w:rPr>
        <w:t xml:space="preserve">a very realistic </w:t>
      </w:r>
      <w:r w:rsidRPr="009946C9">
        <w:rPr>
          <w:u w:val="single"/>
        </w:rPr>
        <w:t>fear among workers of becoming disabled</w:t>
      </w:r>
      <w:r w:rsidRPr="006F197F">
        <w:rPr>
          <w:sz w:val="10"/>
        </w:rPr>
        <w:t>. At base, the inadequate safety net is a product of the owning class’s fear of losing full control of what they do with the means of production</w:t>
      </w:r>
      <w:proofErr w:type="gramStart"/>
      <w:r w:rsidRPr="006F197F">
        <w:rPr>
          <w:sz w:val="10"/>
        </w:rPr>
        <w:t>;39</w:t>
      </w:r>
      <w:proofErr w:type="gramEnd"/>
      <w:r w:rsidRPr="006F197F">
        <w:rPr>
          <w:sz w:val="10"/>
        </w:rPr>
        <w:t xml:space="preserve"> the American work ethic is a mechanism of social control that ensures capitalists a reliable work force for making profits. If workers were provided with a social safety net that adequately protected them through unemployment, sickness, disability, and old age, labour would gain a stronger position from which to negotiate their conditions of employment. </w:t>
      </w:r>
      <w:r w:rsidRPr="00554C43">
        <w:rPr>
          <w:u w:val="single"/>
        </w:rPr>
        <w:t xml:space="preserve">American business retains its power over the working-class through a fear of destitution that would be weakened if the safety net were to actually become safe. Disabled persons who do not offer a body which will enhance profit-making as labourers are used to shore up US capitalism by other means. </w:t>
      </w:r>
      <w:r w:rsidRPr="00554C43">
        <w:rPr>
          <w:b/>
          <w:u w:val="single"/>
        </w:rPr>
        <w:t>Entrepreneurs and rehabilitation specialists have made impaired bodies of use to the economic order by shaping disablement into big business</w:t>
      </w:r>
      <w:r w:rsidRPr="006F197F">
        <w:rPr>
          <w:sz w:val="10"/>
        </w:rPr>
        <w:t xml:space="preserve">40 </w:t>
      </w:r>
      <w:r w:rsidRPr="00554C43">
        <w:rPr>
          <w:b/>
          <w:u w:val="single"/>
        </w:rPr>
        <w:t>and turning the disabled body into a commodity</w:t>
      </w:r>
      <w:r w:rsidRPr="00554C43">
        <w:rPr>
          <w:u w:val="single"/>
        </w:rPr>
        <w:t xml:space="preserve"> around which social policies get created or rejected according to their market value</w:t>
      </w:r>
      <w:r w:rsidRPr="006F197F">
        <w:rPr>
          <w:sz w:val="10"/>
        </w:rPr>
        <w:t xml:space="preserve">.41 </w:t>
      </w:r>
      <w:r w:rsidRPr="00082029">
        <w:rPr>
          <w:u w:val="single"/>
        </w:rPr>
        <w:t>The corporate solution to disablemen</w:t>
      </w:r>
      <w:r w:rsidRPr="008D451E">
        <w:rPr>
          <w:u w:val="single"/>
        </w:rPr>
        <w:t xml:space="preserve">t </w:t>
      </w:r>
      <w:r w:rsidRPr="006F197F">
        <w:rPr>
          <w:sz w:val="10"/>
        </w:rPr>
        <w:t xml:space="preserve">— institutionalization in a nursing home, for instance — </w:t>
      </w:r>
      <w:r w:rsidRPr="00082029">
        <w:rPr>
          <w:u w:val="single"/>
        </w:rPr>
        <w:t>evolved from the realization that disabled people could be made to serve profit because public financing guaranteed the revenue</w:t>
      </w:r>
      <w:r w:rsidRPr="006F197F">
        <w:rPr>
          <w:sz w:val="10"/>
        </w:rPr>
        <w:t xml:space="preserve"> (in the USA, Medicaid funds 60% of the cost, Medicare 15%, private insurance 25%). </w:t>
      </w:r>
      <w:r w:rsidRPr="00082029">
        <w:rPr>
          <w:u w:val="single"/>
        </w:rPr>
        <w:t>Disabled people are worth more to the G</w:t>
      </w:r>
      <w:r w:rsidRPr="006F197F">
        <w:rPr>
          <w:sz w:val="10"/>
        </w:rPr>
        <w:t xml:space="preserve">ross </w:t>
      </w:r>
      <w:r w:rsidRPr="00082029">
        <w:rPr>
          <w:u w:val="single"/>
        </w:rPr>
        <w:t>D</w:t>
      </w:r>
      <w:r w:rsidRPr="006F197F">
        <w:rPr>
          <w:sz w:val="10"/>
        </w:rPr>
        <w:t xml:space="preserve">omestic </w:t>
      </w:r>
      <w:r w:rsidRPr="00082029">
        <w:rPr>
          <w:u w:val="single"/>
        </w:rPr>
        <w:t>P</w:t>
      </w:r>
      <w:r w:rsidRPr="006F197F">
        <w:rPr>
          <w:sz w:val="10"/>
        </w:rPr>
        <w:t xml:space="preserve">roduct </w:t>
      </w:r>
      <w:r w:rsidRPr="00082029">
        <w:rPr>
          <w:u w:val="single"/>
        </w:rPr>
        <w:t>when occupying a ‘bed’ than a home.</w:t>
      </w:r>
      <w:r w:rsidRPr="006F197F">
        <w:rPr>
          <w:sz w:val="10"/>
        </w:rPr>
        <w:t xml:space="preserve"> When a single impaired body can generate $30,000 — $82,000 in annual revenues Wall Street counts it as an asset that contributes to companies’ net worth. </w:t>
      </w:r>
      <w:r w:rsidRPr="00701505">
        <w:rPr>
          <w:u w:val="single"/>
        </w:rPr>
        <w:t>Despite the efforts of the disability rights movement</w:t>
      </w:r>
      <w:r w:rsidRPr="006F197F">
        <w:rPr>
          <w:sz w:val="10"/>
        </w:rPr>
        <w:t xml:space="preserve"> to de-institutionalize disabled populations and shift policy towards the provision of in-home services, </w:t>
      </w:r>
      <w:r w:rsidRPr="00701505">
        <w:rPr>
          <w:u w:val="single"/>
        </w:rPr>
        <w:t>the logic of capital reasserts itself via the recommodification of the disabled body in the home</w:t>
      </w:r>
      <w:r w:rsidRPr="006F197F">
        <w:rPr>
          <w:sz w:val="10"/>
        </w:rPr>
        <w:t xml:space="preserve"> (insofar as public funding permits — with the advent of ‘managed care’, trying to limit costs, there is an increased financial motive to underserve). Corporations have taken an interest in the money-making potential of the in-home services field, and indeed promote the in-home services model as they build their new ‘home-care’ empires. As Jim Charlton puts it, </w:t>
      </w:r>
      <w:r w:rsidRPr="00701505">
        <w:rPr>
          <w:u w:val="single"/>
        </w:rPr>
        <w:t>‘the transformation of people into commodities hides their dehumanization and exploitation by other human beings: it becomes simply an economic fact of life’</w:t>
      </w:r>
      <w:r w:rsidRPr="006F197F">
        <w:rPr>
          <w:sz w:val="10"/>
        </w:rPr>
        <w:t xml:space="preserve">.42 </w:t>
      </w:r>
      <w:proofErr w:type="gramStart"/>
      <w:r w:rsidRPr="006F197F">
        <w:rPr>
          <w:sz w:val="10"/>
        </w:rPr>
        <w:t>It</w:t>
      </w:r>
      <w:proofErr w:type="gramEnd"/>
      <w:r w:rsidRPr="006F197F">
        <w:rPr>
          <w:sz w:val="10"/>
        </w:rPr>
        <w:t xml:space="preserve"> is also evident that </w:t>
      </w:r>
      <w:r w:rsidRPr="00701505">
        <w:rPr>
          <w:b/>
          <w:u w:val="single"/>
        </w:rPr>
        <w:t>the definition of disability is not static but fundamentally linked to the needs of capital accumulation</w:t>
      </w:r>
      <w:r w:rsidRPr="006F197F">
        <w:rPr>
          <w:b/>
          <w:u w:val="single"/>
        </w:rPr>
        <w:t>.</w:t>
      </w:r>
      <w:r w:rsidRPr="006F197F">
        <w:rPr>
          <w:u w:val="single"/>
        </w:rPr>
        <w:t xml:space="preserve"> Hence, when the welfare state entered into ‘</w:t>
      </w:r>
      <w:proofErr w:type="gramStart"/>
      <w:r w:rsidRPr="006F197F">
        <w:rPr>
          <w:u w:val="single"/>
        </w:rPr>
        <w:t>crisis’</w:t>
      </w:r>
      <w:proofErr w:type="gramEnd"/>
      <w:r w:rsidRPr="006F197F">
        <w:rPr>
          <w:u w:val="single"/>
        </w:rPr>
        <w:t>, governments attempted to narrow the definition of disablement and to cut entitlement levels.</w:t>
      </w:r>
      <w:r w:rsidRPr="006F197F">
        <w:rPr>
          <w:sz w:val="10"/>
        </w:rPr>
        <w:t xml:space="preserve"> There have also been widespread closures of the institutions that warehoused disabled people, but without an allocation of adequate resources and services to enable them to live independently. </w:t>
      </w:r>
      <w:r w:rsidRPr="006F197F">
        <w:rPr>
          <w:u w:val="single"/>
        </w:rPr>
        <w:t>Yet this withdrawal of the state from certain types of benefits does not entail any rupture in the intervention of the state in the lives of disabled people. The state’s interventionist role remains but is refocused on the ruthless cutting of social expenditures, including services and income support programmes to disabled people, in the name of neoliberal efficiency.</w:t>
      </w:r>
      <w:r w:rsidRPr="006F197F">
        <w:rPr>
          <w:sz w:val="10"/>
        </w:rPr>
        <w:t>43 The rise of capitalism has thus seen dramatic changes in the ideological classification and treatment of disabled people. Yet while socialists have considered the relationship between the rise of capitalism and, for instance, the enactment of the English Poor Laws</w:t>
      </w:r>
      <w:proofErr w:type="gramStart"/>
      <w:r w:rsidRPr="006F197F">
        <w:rPr>
          <w:sz w:val="10"/>
        </w:rPr>
        <w:t>,44</w:t>
      </w:r>
      <w:proofErr w:type="gramEnd"/>
      <w:r w:rsidRPr="006F197F">
        <w:rPr>
          <w:sz w:val="10"/>
        </w:rPr>
        <w:t xml:space="preserve"> the classification, marginalization and oppression of disabled people have been largely ignored. Speaking generally, </w:t>
      </w:r>
      <w:r w:rsidRPr="006F197F">
        <w:rPr>
          <w:u w:val="single"/>
        </w:rPr>
        <w:t>the rise of capitalism</w:t>
      </w:r>
      <w:r w:rsidRPr="006F197F">
        <w:rPr>
          <w:sz w:val="10"/>
        </w:rPr>
        <w:t xml:space="preserve"> clearly </w:t>
      </w:r>
      <w:r w:rsidRPr="006F197F">
        <w:rPr>
          <w:u w:val="single"/>
        </w:rPr>
        <w:t>had</w:t>
      </w:r>
      <w:r w:rsidRPr="006F197F">
        <w:rPr>
          <w:sz w:val="10"/>
        </w:rPr>
        <w:t xml:space="preserve"> contradictory outcomes for disabled people. On the one hand, there were positive effects in terms of better medical technology that lengthened the life span and increased the quality of life for those who could afford it. On the other hand there were some very </w:t>
      </w:r>
      <w:r w:rsidRPr="006F197F">
        <w:rPr>
          <w:u w:val="single"/>
        </w:rPr>
        <w:t xml:space="preserve">negative effects, including classification into rigid and arbitrary diagnostic categories and incarceration in oppressive institutions. </w:t>
      </w:r>
      <w:r w:rsidRPr="006F197F">
        <w:rPr>
          <w:b/>
          <w:u w:val="single"/>
        </w:rPr>
        <w:t>Exclusion from exploitation in the wage-labour system, as the ‘deserving poor’, lies at the core of disabled peoples’ oppression in every aspect of modern life.</w:t>
      </w:r>
    </w:p>
    <w:p w:rsidR="006F6EF3" w:rsidRDefault="006F6EF3" w:rsidP="006F6EF3">
      <w:pPr>
        <w:pStyle w:val="Heading4"/>
      </w:pPr>
      <w:r>
        <w:t>Capitalism creates and oppresses people with disabilities to accumulate wealth—failure to acknowledge capital’s relation with disability produces a flawed reform and bourgeois ideology that prevents ableism from being seen</w:t>
      </w:r>
    </w:p>
    <w:p w:rsidR="006F6EF3" w:rsidRPr="00AE2153" w:rsidRDefault="006F6EF3" w:rsidP="006F6EF3">
      <w:r>
        <w:rPr>
          <w:b/>
        </w:rPr>
        <w:t xml:space="preserve">Russell and Malhotra 2 </w:t>
      </w:r>
      <w:r w:rsidRPr="00095517">
        <w:rPr>
          <w:sz w:val="18"/>
          <w:szCs w:val="18"/>
        </w:rPr>
        <w:t>(Marta Russell and Ravi Malhotra, “Capitalism and Disability,” Introduction, 2002)//jy</w:t>
      </w:r>
    </w:p>
    <w:p w:rsidR="006F6EF3" w:rsidRPr="00E3183D" w:rsidRDefault="006F6EF3" w:rsidP="006F6EF3">
      <w:pPr>
        <w:rPr>
          <w:u w:val="single"/>
        </w:rPr>
      </w:pPr>
      <w:r w:rsidRPr="007B6875">
        <w:rPr>
          <w:sz w:val="14"/>
        </w:rPr>
        <w:t xml:space="preserve">Having a disability is conventionally regarded as a personal tragedy which the individual must overcome, or as a medical problem to which the individual must become adjusted. In 1976, however, the Union of the Physically Impaired Against Segregation in Britain made a significant advance when it pointed out that ‘disability is something imposed on top of our impairments by the way we are unnecessarily isolated and excluded from full participation in society’.1 Among those concerned with disability it soon became common ground that ‘it is society which disables persons with impairments’. This </w:t>
      </w:r>
      <w:r w:rsidRPr="00D75E88">
        <w:rPr>
          <w:u w:val="single"/>
        </w:rPr>
        <w:t>social model of disability2 necessitates a rethinking of prevalent definitions. Leaving aside biological or physical-anthropological definitions of disability which make it appear that impaired persons are ‘naturally’ and, therefore, justifiably, excluded from the ‘labour force’, even mainstream definitions have serious shortcomings</w:t>
      </w:r>
      <w:r w:rsidRPr="007B6875">
        <w:rPr>
          <w:sz w:val="14"/>
        </w:rPr>
        <w:t xml:space="preserve">. The World Health Organization, for instance, defines impairment (the condition of being deaf or blind, or having impaired mobility or being otherwise impaired) as the physiological ‘problem’; disability as restricted functions or activities resulting from an impairment; and handicap as the ‘disadvantage resulting from the impairment or disability, that limits or prevents the fulfillment of a role’.3 This terminology has been criticized by social model theorists of disability because it relies primarily on medical definitions and uses a bio-physiological definition of normality. Further, ‘the environment’ within which this ‘disadvantage’ is located, ‘is represented as “neutral”, and any negative consequences of this approach for the person with an impairment are regarded as inevitable or acceptable rather than as disabling barriers’.4 </w:t>
      </w:r>
      <w:r w:rsidRPr="007C25BE">
        <w:rPr>
          <w:u w:val="single"/>
        </w:rPr>
        <w:t>Reconceptualizing disability as an outcome of the political economy</w:t>
      </w:r>
      <w:r w:rsidRPr="007B6875">
        <w:rPr>
          <w:sz w:val="14"/>
        </w:rPr>
        <w:t xml:space="preserve">, however, also </w:t>
      </w:r>
      <w:r w:rsidRPr="007C25BE">
        <w:rPr>
          <w:u w:val="single"/>
        </w:rPr>
        <w:t>requires acknowledging the limitations of the ‘minority’ model of disability, which views it as the product of a disabling social and architectural environment</w:t>
      </w:r>
      <w:r w:rsidRPr="007B6875">
        <w:rPr>
          <w:sz w:val="14"/>
        </w:rPr>
        <w:t xml:space="preserve">. </w:t>
      </w:r>
      <w:r w:rsidRPr="00E3183D">
        <w:rPr>
          <w:u w:val="single"/>
        </w:rPr>
        <w:t>In this view the fundamental source of the problems encountered by disabled persons is prejudicial or discriminatory attitudes, implying that by erasing mistaken attitudes society will accept ‘difference’ and equality will flourish</w:t>
      </w:r>
      <w:r w:rsidRPr="007B6875">
        <w:rPr>
          <w:sz w:val="14"/>
        </w:rPr>
        <w:t xml:space="preserve">.5 </w:t>
      </w:r>
      <w:r w:rsidRPr="00E3183D">
        <w:rPr>
          <w:u w:val="single"/>
        </w:rPr>
        <w:t>This approach diverts attention from the mode of production and the concrete social relations that produce the disabling barriers, exclusion and inequalities facing disabled persons</w:t>
      </w:r>
      <w:r w:rsidRPr="007B6875">
        <w:rPr>
          <w:u w:val="single"/>
        </w:rPr>
        <w:t>. In contrast</w:t>
      </w:r>
      <w:r w:rsidRPr="007B6875">
        <w:rPr>
          <w:sz w:val="14"/>
        </w:rPr>
        <w:t xml:space="preserve">, we take the view that </w:t>
      </w:r>
      <w:r w:rsidRPr="007B6875">
        <w:rPr>
          <w:u w:val="single"/>
        </w:rPr>
        <w:t xml:space="preserve">disability is </w:t>
      </w:r>
      <w:r w:rsidRPr="007B6875">
        <w:rPr>
          <w:sz w:val="14"/>
        </w:rPr>
        <w:t xml:space="preserve">a socially-created category derived from labour relations, </w:t>
      </w:r>
      <w:r w:rsidRPr="007B6875">
        <w:rPr>
          <w:u w:val="single"/>
        </w:rPr>
        <w:t>a product of the exploitative economic structure of capitalist society: one which creates</w:t>
      </w:r>
      <w:r w:rsidRPr="007B6875">
        <w:rPr>
          <w:sz w:val="14"/>
        </w:rPr>
        <w:t xml:space="preserve"> (and then oppresses) </w:t>
      </w:r>
      <w:r w:rsidRPr="007B6875">
        <w:rPr>
          <w:u w:val="single"/>
        </w:rPr>
        <w:t>the so-called ‘disabled’ body as one of the conditions that allow the capitalist class to accumulate wealth</w:t>
      </w:r>
      <w:r w:rsidRPr="007B6875">
        <w:rPr>
          <w:sz w:val="14"/>
        </w:rPr>
        <w:t>. Seen in this light</w:t>
      </w:r>
      <w:r w:rsidRPr="00E3183D">
        <w:rPr>
          <w:u w:val="single"/>
        </w:rPr>
        <w:t xml:space="preserve">, </w:t>
      </w:r>
      <w:r w:rsidRPr="0052638C">
        <w:rPr>
          <w:b/>
          <w:u w:val="single"/>
        </w:rPr>
        <w:t>disability is an aspect of the central contradiction of capitalism, and disability politics that do not accept this are, at best, fundamentally flawed strategies of reform or, worse, forms of bourgeois ideology that prevent this from being seen</w:t>
      </w:r>
      <w:r>
        <w:rPr>
          <w:u w:val="single"/>
        </w:rPr>
        <w:t>.</w:t>
      </w:r>
    </w:p>
    <w:p w:rsidR="00721D38" w:rsidRPr="00F933AF" w:rsidRDefault="00721D38" w:rsidP="00721D38">
      <w:pPr>
        <w:rPr>
          <w:rFonts w:cs="Calibri"/>
        </w:rPr>
      </w:pPr>
    </w:p>
    <w:p w:rsidR="00CE6D10" w:rsidRPr="00F933AF" w:rsidRDefault="00CE6D10" w:rsidP="00CE6D10">
      <w:pPr>
        <w:pStyle w:val="Heading4"/>
        <w:rPr>
          <w:rFonts w:cs="Calibri"/>
        </w:rPr>
      </w:pPr>
      <w:r w:rsidRPr="00F933AF">
        <w:rPr>
          <w:rFonts w:cs="Calibri"/>
        </w:rPr>
        <w:t>The aff is a utopian fantasy—absent a deconstruction of market forces, the disabled body will always be let to die on the basis of unproductivity and liability</w:t>
      </w:r>
    </w:p>
    <w:p w:rsidR="00CE6D10" w:rsidRPr="00F933AF" w:rsidRDefault="00CE6D10" w:rsidP="00CE6D10">
      <w:pPr>
        <w:rPr>
          <w:rFonts w:cs="Calibri"/>
        </w:rPr>
      </w:pPr>
      <w:r w:rsidRPr="00F933AF">
        <w:rPr>
          <w:rFonts w:cs="Calibri"/>
          <w:b/>
        </w:rPr>
        <w:t xml:space="preserve">Sanchez 17 </w:t>
      </w:r>
      <w:r w:rsidRPr="00F933AF">
        <w:rPr>
          <w:rFonts w:cs="Calibri"/>
          <w:sz w:val="18"/>
          <w:szCs w:val="18"/>
        </w:rPr>
        <w:t>(Meg Sanchez, an undergrad in Equity Studies and Sociology at the University of Toronto, “Communicating through Cripistemologies: The Implications of Non-Normative Communication upon Disabled Futurities,” Vol.3, pg. 87-89, 2017, https://jps.library.utoronto.ca/index.php/knots/article/view/29195/21760)//jy</w:t>
      </w:r>
    </w:p>
    <w:p w:rsidR="00CE6D10" w:rsidRPr="00F933AF" w:rsidRDefault="00CE6D10" w:rsidP="00CE6D10">
      <w:pPr>
        <w:rPr>
          <w:rFonts w:cs="Calibri"/>
          <w:u w:val="single"/>
        </w:rPr>
      </w:pPr>
      <w:r w:rsidRPr="00F933AF">
        <w:rPr>
          <w:rFonts w:cs="Calibri"/>
          <w:sz w:val="14"/>
        </w:rPr>
        <w:t xml:space="preserve">Within the ﬁeld of normative parameters, unspoken scripts position the disabled child outside of possibility. Due to the oversight of the intersections between disabled and child futurities, </w:t>
      </w:r>
      <w:r w:rsidRPr="00F933AF">
        <w:rPr>
          <w:rFonts w:cs="Calibri"/>
          <w:u w:val="single"/>
        </w:rPr>
        <w:t>the</w:t>
      </w:r>
      <w:r w:rsidRPr="00F933AF">
        <w:rPr>
          <w:rFonts w:cs="Calibri"/>
          <w:sz w:val="14"/>
        </w:rPr>
        <w:t xml:space="preserve"> risky </w:t>
      </w:r>
      <w:r w:rsidRPr="00F933AF">
        <w:rPr>
          <w:rFonts w:cs="Calibri"/>
          <w:u w:val="single"/>
        </w:rPr>
        <w:t>ﬁgure of the disabled child faces a “double lack of futurity</w:t>
      </w:r>
      <w:r w:rsidRPr="00F933AF">
        <w:rPr>
          <w:rFonts w:cs="Calibri"/>
          <w:sz w:val="14"/>
        </w:rPr>
        <w:t xml:space="preserve">” (Fritsch, 2016, p. 12). Having no choice but to “grow sideways”, as suggested by Stockton (2009), </w:t>
      </w:r>
      <w:r w:rsidRPr="00F933AF">
        <w:rPr>
          <w:rFonts w:cs="Calibri"/>
          <w:u w:val="single"/>
        </w:rPr>
        <w:t>they are ﬁgured as waste and contamination to the futurity of humanity overall</w:t>
      </w:r>
      <w:r w:rsidRPr="00F933AF">
        <w:rPr>
          <w:rFonts w:cs="Calibri"/>
          <w:sz w:val="14"/>
        </w:rPr>
        <w:t xml:space="preserve">. But in the neoliberal sense, </w:t>
      </w:r>
      <w:r w:rsidRPr="00F933AF">
        <w:rPr>
          <w:rFonts w:cs="Calibri"/>
          <w:u w:val="single"/>
        </w:rPr>
        <w:t>child bodies</w:t>
      </w:r>
      <w:r w:rsidRPr="00F933AF">
        <w:rPr>
          <w:rFonts w:cs="Calibri"/>
          <w:sz w:val="14"/>
        </w:rPr>
        <w:t>—sites of ﬁnancial and social investment—</w:t>
      </w:r>
      <w:r w:rsidRPr="00F933AF">
        <w:rPr>
          <w:rFonts w:cs="Calibri"/>
          <w:u w:val="single"/>
        </w:rPr>
        <w:t>that live in disability are the targets of biocapitalistic consumption and intervention. Biocapitalism extends its regulatory gaze towards all aspects of biological life</w:t>
      </w:r>
      <w:r w:rsidRPr="00F933AF">
        <w:rPr>
          <w:rFonts w:cs="Calibri"/>
          <w:sz w:val="14"/>
        </w:rPr>
        <w:t xml:space="preserve"> with the Foucauldian biopolitical governance of life and its mechanisms (Fritsch, 2016, p. 13</w:t>
      </w:r>
      <w:r w:rsidRPr="00F933AF">
        <w:rPr>
          <w:rFonts w:cs="Calibri"/>
          <w:u w:val="single"/>
        </w:rPr>
        <w:t>). Bodies subjected to this gaze are rendered calculable, their net proﬁts situated in the red, unless they can demonstrate their alignment with neoliberalism through proﬁtability.</w:t>
      </w:r>
      <w:r w:rsidRPr="00F933AF">
        <w:rPr>
          <w:rFonts w:cs="Calibri"/>
          <w:sz w:val="14"/>
        </w:rPr>
        <w:t xml:space="preserve"> For example, the circumstances of non-speaking autistics are increasingly understood as matters they can ‘remedy’ on their own through medical and technological consumption. </w:t>
      </w:r>
      <w:r w:rsidRPr="00F933AF">
        <w:rPr>
          <w:rFonts w:cs="Calibri"/>
          <w:u w:val="single"/>
        </w:rPr>
        <w:t>The decision to opt out of these narrow cracks towards the side of acceptability produces “a ‘chosen’ exile”</w:t>
      </w:r>
      <w:r w:rsidRPr="00F933AF">
        <w:rPr>
          <w:rFonts w:cs="Calibri"/>
          <w:sz w:val="14"/>
        </w:rPr>
        <w:t xml:space="preserve"> (Mitchell, Snyder, and Ware, 2014, p. 298). </w:t>
      </w:r>
      <w:r w:rsidRPr="00F933AF">
        <w:rPr>
          <w:rFonts w:cs="Calibri"/>
          <w:u w:val="single"/>
        </w:rPr>
        <w:t>This frames non-normative communication as an individualized issue, as something some disabled children and their parents can ultimately overcome through consumption of biomedicine and biotechnology. Liability is embedded in the idea of liberal humanism, whereby the demonstration of speech</w:t>
      </w:r>
      <w:r w:rsidRPr="00F933AF">
        <w:rPr>
          <w:rFonts w:cs="Calibri"/>
          <w:sz w:val="14"/>
        </w:rPr>
        <w:t xml:space="preserve"> (or lack thereof) </w:t>
      </w:r>
      <w:r w:rsidRPr="00F933AF">
        <w:rPr>
          <w:rFonts w:cs="Calibri"/>
          <w:u w:val="single"/>
        </w:rPr>
        <w:t>is wholly rational while the consumer is a free, agential subject</w:t>
      </w:r>
      <w:r w:rsidRPr="00F933AF">
        <w:rPr>
          <w:rFonts w:cs="Calibri"/>
          <w:sz w:val="14"/>
        </w:rPr>
        <w:t>. Biocapitalism may offer the promise to free one “from the constraints of the body and the context of its production” (St. Pierre, 2015, p. 339), moving toward an incorporeal construction of life. This aims to counter the earthliness of domination through the policing of bodies and ruptures seemingly salient boundaries</w:t>
      </w:r>
      <w:r w:rsidRPr="00F933AF">
        <w:rPr>
          <w:rFonts w:cs="Calibri"/>
          <w:u w:val="single"/>
        </w:rPr>
        <w:t>. The normative voice leaves essentially every disabled child behind, as it sees difference and lived realities as things to be suppressed. Disabled voices are</w:t>
      </w:r>
      <w:r w:rsidRPr="00F933AF">
        <w:rPr>
          <w:rFonts w:cs="Calibri"/>
          <w:sz w:val="14"/>
        </w:rPr>
        <w:t xml:space="preserve"> either characterized by sonic excess or voids of social pleasantries, thus </w:t>
      </w:r>
      <w:r w:rsidRPr="00F933AF">
        <w:rPr>
          <w:rFonts w:cs="Calibri"/>
          <w:u w:val="single"/>
        </w:rPr>
        <w:t>relegated to the realm of the subaltern</w:t>
      </w:r>
      <w:r w:rsidRPr="00F933AF">
        <w:rPr>
          <w:rFonts w:cs="Calibri"/>
          <w:sz w:val="14"/>
        </w:rPr>
        <w:t xml:space="preserve">. One’s rationality and personhood are held in suspension and interrogation. Left alone with disability, the child’s future becomes not merely non-existent, but considered wasteful of potential as it “stops people from living their lives” (Fritsch, 2016, p. 16). </w:t>
      </w:r>
      <w:r w:rsidRPr="00F933AF">
        <w:rPr>
          <w:rFonts w:cs="Calibri"/>
          <w:u w:val="single"/>
        </w:rPr>
        <w:t>The onus is placed on the infantilized disabled body to salvage the self, rather than calling out dominating social structures or relations.</w:t>
      </w:r>
      <w:r w:rsidRPr="00F933AF">
        <w:rPr>
          <w:rFonts w:cs="Calibri"/>
          <w:sz w:val="14"/>
        </w:rPr>
        <w:t xml:space="preserve"> But rather than invoking the idea that sheer will can enact membership within normalcy, </w:t>
      </w:r>
      <w:r w:rsidRPr="00F933AF">
        <w:rPr>
          <w:rFonts w:cs="Calibri"/>
          <w:u w:val="single"/>
        </w:rPr>
        <w:t>we should recognize the dynamics of the various actors within communicative systems</w:t>
      </w:r>
      <w:r w:rsidRPr="00F933AF">
        <w:rPr>
          <w:rFonts w:cs="Calibri"/>
          <w:sz w:val="14"/>
        </w:rPr>
        <w:t>. McGuire and Michalko (2011) insist that meaning in action is not empirical; rather, it is read and endowed with intentionality by the interpreter (p. 166).  As such, the production of meaning and sense is necessarily an interdependent and collaborative process that expands because of difference. Sequenzia (2015) suggests, “</w:t>
      </w:r>
      <w:proofErr w:type="gramStart"/>
      <w:r w:rsidRPr="00F933AF">
        <w:rPr>
          <w:rFonts w:cs="Calibri"/>
          <w:sz w:val="14"/>
        </w:rPr>
        <w:t>the</w:t>
      </w:r>
      <w:proofErr w:type="gramEnd"/>
      <w:r w:rsidRPr="00F933AF">
        <w:rPr>
          <w:rFonts w:cs="Calibri"/>
          <w:sz w:val="14"/>
        </w:rPr>
        <w:t xml:space="preserve"> framework of the other person’s body may actually provide a scaffolding within which one can produce controllable actions, or understand what is an expected response” (A Sense of Wonder, para. 14). But in the rearing of the child, there is no space given to tinker with the conﬁguration of social relationalities and to invite a higher level of complexity in everyday interactions. In neoliberal fashion, </w:t>
      </w:r>
      <w:r w:rsidRPr="00F933AF">
        <w:rPr>
          <w:rFonts w:cs="Calibri"/>
          <w:u w:val="single"/>
        </w:rPr>
        <w:t>“nature is understood to unleash its selective prowess and weed out those whose prediction and information-sharing capacity is at a low level</w:t>
      </w:r>
      <w:r w:rsidRPr="00F933AF">
        <w:rPr>
          <w:rFonts w:cs="Calibri"/>
          <w:sz w:val="14"/>
        </w:rPr>
        <w:t xml:space="preserve">” (p. 171). </w:t>
      </w:r>
      <w:r w:rsidRPr="00F933AF">
        <w:rPr>
          <w:rFonts w:cs="Calibri"/>
          <w:u w:val="single"/>
        </w:rPr>
        <w:t>The always-infantilized disabled body must shut up, listen, and mimic the fast-paced and hypercompetitive movement of neoliberalism.</w:t>
      </w:r>
    </w:p>
    <w:p w:rsidR="00CE6D10" w:rsidRPr="00F933AF" w:rsidRDefault="00CE6D10" w:rsidP="00CE6D10">
      <w:pPr>
        <w:rPr>
          <w:rFonts w:cs="Calibri"/>
          <w:u w:val="single"/>
        </w:rPr>
      </w:pPr>
    </w:p>
    <w:p w:rsidR="00CE6D10" w:rsidRPr="00F933AF" w:rsidRDefault="00CE6D10" w:rsidP="00CE6D10">
      <w:pPr>
        <w:pStyle w:val="Heading4"/>
        <w:rPr>
          <w:rFonts w:cs="Calibri"/>
        </w:rPr>
      </w:pPr>
      <w:r w:rsidRPr="00F933AF">
        <w:rPr>
          <w:rFonts w:cs="Calibri"/>
        </w:rPr>
        <w:t>The affirmative is only a band-aid solution that only shifts pieces on the board, but doesn’t change the rules of the game – ableism is rooted in market logic and the function of the capitalist state – only collective action can solve state violence</w:t>
      </w:r>
    </w:p>
    <w:p w:rsidR="00CE6D10" w:rsidRPr="00F933AF" w:rsidRDefault="00CE6D10" w:rsidP="00CE6D10">
      <w:pPr>
        <w:rPr>
          <w:rStyle w:val="Style13ptBold"/>
          <w:rFonts w:cs="Calibri"/>
          <w:b w:val="0"/>
          <w:sz w:val="18"/>
          <w:szCs w:val="18"/>
        </w:rPr>
      </w:pPr>
      <w:r w:rsidRPr="00F933AF">
        <w:rPr>
          <w:rStyle w:val="Style13ptBold"/>
          <w:rFonts w:cs="Calibri"/>
        </w:rPr>
        <w:t>Costello 17</w:t>
      </w:r>
      <w:r w:rsidRPr="00F933AF">
        <w:rPr>
          <w:rStyle w:val="Style13ptBold"/>
          <w:rFonts w:cs="Calibri"/>
          <w:b w:val="0"/>
          <w:sz w:val="18"/>
          <w:szCs w:val="18"/>
        </w:rPr>
        <w:t xml:space="preserve"> (Chris – writer about disability policy for </w:t>
      </w:r>
      <w:r w:rsidRPr="00F933AF">
        <w:rPr>
          <w:rStyle w:val="Style13ptBold"/>
          <w:rFonts w:cs="Calibri"/>
          <w:b w:val="0"/>
          <w:i/>
          <w:sz w:val="18"/>
          <w:szCs w:val="18"/>
        </w:rPr>
        <w:t xml:space="preserve">The Mighty </w:t>
      </w:r>
      <w:r w:rsidRPr="00F933AF">
        <w:rPr>
          <w:rStyle w:val="Style13ptBold"/>
          <w:rFonts w:cs="Calibri"/>
          <w:b w:val="0"/>
          <w:sz w:val="18"/>
          <w:szCs w:val="18"/>
        </w:rPr>
        <w:t>“How Capitalism Contributes to Ableism” 29</w:t>
      </w:r>
      <w:r w:rsidRPr="00F933AF">
        <w:rPr>
          <w:rStyle w:val="Style13ptBold"/>
          <w:rFonts w:cs="Calibri"/>
          <w:b w:val="0"/>
          <w:sz w:val="18"/>
          <w:szCs w:val="18"/>
          <w:vertAlign w:val="superscript"/>
        </w:rPr>
        <w:t>th</w:t>
      </w:r>
      <w:r w:rsidRPr="00F933AF">
        <w:rPr>
          <w:rStyle w:val="Style13ptBold"/>
          <w:rFonts w:cs="Calibri"/>
          <w:b w:val="0"/>
          <w:sz w:val="18"/>
          <w:szCs w:val="18"/>
        </w:rPr>
        <w:t xml:space="preserve"> October 2017 </w:t>
      </w:r>
      <w:hyperlink r:id="rId413" w:history="1">
        <w:r w:rsidRPr="00F933AF">
          <w:rPr>
            <w:rStyle w:val="Hyperlink"/>
            <w:rFonts w:cs="Calibri"/>
            <w:sz w:val="18"/>
            <w:szCs w:val="18"/>
          </w:rPr>
          <w:t>https://themighty.com/2017/10/how-capitalism-contributes-to-ableism/</w:t>
        </w:r>
      </w:hyperlink>
      <w:proofErr w:type="gramStart"/>
      <w:r w:rsidRPr="00F933AF">
        <w:rPr>
          <w:rStyle w:val="Hyperlink"/>
          <w:rFonts w:cs="Calibri"/>
          <w:sz w:val="18"/>
          <w:szCs w:val="18"/>
        </w:rPr>
        <w:t>)mr</w:t>
      </w:r>
      <w:proofErr w:type="gramEnd"/>
    </w:p>
    <w:p w:rsidR="00CE6D10" w:rsidRPr="00F933AF" w:rsidRDefault="00CE6D10" w:rsidP="00CE6D10">
      <w:pPr>
        <w:rPr>
          <w:rFonts w:cs="Calibri"/>
          <w:b/>
          <w:sz w:val="16"/>
        </w:rPr>
      </w:pPr>
      <w:r w:rsidRPr="00F933AF">
        <w:rPr>
          <w:rFonts w:cs="Calibri"/>
          <w:color w:val="222222"/>
          <w:sz w:val="16"/>
        </w:rPr>
        <w:t xml:space="preserve">I have argued that the category of </w:t>
      </w:r>
      <w:hyperlink r:id="rId414" w:tgtFrame="_blank" w:tooltip="View more disability stories" w:history="1">
        <w:r w:rsidRPr="00F933AF">
          <w:rPr>
            <w:rStyle w:val="Hyperlink"/>
            <w:rFonts w:cs="Calibri"/>
            <w:bCs/>
            <w:sz w:val="16"/>
          </w:rPr>
          <w:t>disability</w:t>
        </w:r>
      </w:hyperlink>
      <w:r w:rsidRPr="00F933AF">
        <w:rPr>
          <w:rFonts w:cs="Calibri"/>
          <w:color w:val="222222"/>
          <w:sz w:val="16"/>
        </w:rPr>
        <w:t xml:space="preserve"> arose with the development of capitalism. This is, however, only half the story. </w:t>
      </w:r>
      <w:r w:rsidRPr="00F933AF">
        <w:rPr>
          <w:rFonts w:cs="Calibri"/>
          <w:color w:val="222222"/>
          <w:u w:val="single"/>
        </w:rPr>
        <w:t>Not only does capitalism give rise to disability oppression, I believe it also perpetuates it.</w:t>
      </w:r>
      <w:r w:rsidRPr="00F933AF">
        <w:rPr>
          <w:rFonts w:cs="Calibri"/>
          <w:color w:val="222222"/>
          <w:sz w:val="16"/>
        </w:rPr>
        <w:t xml:space="preserve"> The </w:t>
      </w:r>
      <w:r w:rsidRPr="00F933AF">
        <w:rPr>
          <w:rFonts w:cs="Calibri"/>
          <w:color w:val="222222"/>
          <w:u w:val="single"/>
        </w:rPr>
        <w:t>capitalists have both an economic and ideological interest to exclude workers based on perceived disability</w:t>
      </w:r>
      <w:r w:rsidRPr="00F933AF">
        <w:rPr>
          <w:rFonts w:cs="Calibri"/>
          <w:color w:val="222222"/>
          <w:sz w:val="16"/>
        </w:rPr>
        <w:t xml:space="preserve">. The social model of disability </w:t>
      </w:r>
      <w:hyperlink r:id="rId415" w:tgtFrame="_blank" w:history="1">
        <w:r w:rsidRPr="00F933AF">
          <w:rPr>
            <w:rStyle w:val="Hyperlink"/>
            <w:rFonts w:cs="Calibri"/>
            <w:bCs/>
            <w:sz w:val="16"/>
          </w:rPr>
          <w:t>put forward by UPIAS</w:t>
        </w:r>
      </w:hyperlink>
      <w:r w:rsidRPr="00F933AF">
        <w:rPr>
          <w:rFonts w:cs="Calibri"/>
          <w:color w:val="222222"/>
          <w:sz w:val="16"/>
        </w:rPr>
        <w:t xml:space="preserve"> in 1975 is vital for understanding this question. </w:t>
      </w:r>
      <w:r w:rsidRPr="00F933AF">
        <w:rPr>
          <w:rFonts w:cs="Calibri"/>
          <w:color w:val="222222"/>
          <w:u w:val="single"/>
        </w:rPr>
        <w:t>The capitalist needs the average worker to produce commodities</w:t>
      </w:r>
      <w:r w:rsidRPr="00F933AF">
        <w:rPr>
          <w:rFonts w:cs="Calibri"/>
          <w:color w:val="222222"/>
          <w:sz w:val="16"/>
        </w:rPr>
        <w:t xml:space="preserve"> — that is, goods and services to be sold on a market. The capitalist also needs the worker to produce these commodities to be produced </w:t>
      </w:r>
      <w:r w:rsidRPr="00F933AF">
        <w:rPr>
          <w:rFonts w:cs="Calibri"/>
          <w:color w:val="222222"/>
          <w:u w:val="single"/>
        </w:rPr>
        <w:t>in the average amount of socially-necessary labor time.</w:t>
      </w:r>
      <w:r w:rsidRPr="00F933AF">
        <w:rPr>
          <w:rFonts w:cs="Calibri"/>
          <w:color w:val="222222"/>
          <w:sz w:val="16"/>
        </w:rPr>
        <w:t xml:space="preserve"> If a worker is too slow and cannot meet these requirements, the capitalist loses time that could be adding more value for himself. </w:t>
      </w:r>
      <w:r w:rsidRPr="00F933AF">
        <w:rPr>
          <w:rFonts w:cs="Calibri"/>
          <w:color w:val="222222"/>
          <w:u w:val="single"/>
        </w:rPr>
        <w:t>If a worker is too slow, they earn less profits for the given capitalist.</w:t>
      </w:r>
      <w:r w:rsidRPr="00F933AF">
        <w:rPr>
          <w:rFonts w:cs="Calibri"/>
          <w:color w:val="222222"/>
          <w:sz w:val="16"/>
        </w:rPr>
        <w:t xml:space="preserve"> Thus, </w:t>
      </w:r>
      <w:r w:rsidRPr="00F933AF">
        <w:rPr>
          <w:rFonts w:cs="Calibri"/>
          <w:color w:val="222222"/>
          <w:u w:val="single"/>
        </w:rPr>
        <w:t>there are purely economic reasons for a capitalist system to reject disabled people as workers. These workers cost more and cut into profit</w:t>
      </w:r>
      <w:r w:rsidRPr="00F933AF">
        <w:rPr>
          <w:rFonts w:cs="Calibri"/>
          <w:color w:val="222222"/>
          <w:sz w:val="16"/>
        </w:rPr>
        <w:t xml:space="preserve">. But </w:t>
      </w:r>
      <w:r w:rsidRPr="00F933AF">
        <w:rPr>
          <w:rFonts w:cs="Calibri"/>
          <w:b/>
          <w:color w:val="222222"/>
          <w:u w:val="single"/>
        </w:rPr>
        <w:t>there is a contradiction here</w:t>
      </w:r>
      <w:r w:rsidRPr="00F933AF">
        <w:rPr>
          <w:rFonts w:cs="Calibri"/>
          <w:color w:val="222222"/>
          <w:sz w:val="16"/>
        </w:rPr>
        <w:t xml:space="preserve">: although </w:t>
      </w:r>
      <w:r w:rsidRPr="00F933AF">
        <w:rPr>
          <w:rFonts w:cs="Calibri"/>
          <w:b/>
          <w:color w:val="222222"/>
          <w:u w:val="single"/>
        </w:rPr>
        <w:t>capitalism</w:t>
      </w:r>
      <w:r w:rsidRPr="00F933AF">
        <w:rPr>
          <w:rFonts w:cs="Calibri"/>
          <w:color w:val="222222"/>
          <w:sz w:val="16"/>
        </w:rPr>
        <w:t xml:space="preserve"> rejects disabled workers, the system </w:t>
      </w:r>
      <w:r w:rsidRPr="00F933AF">
        <w:rPr>
          <w:rFonts w:cs="Calibri"/>
          <w:b/>
          <w:color w:val="222222"/>
          <w:u w:val="single"/>
        </w:rPr>
        <w:t>also</w:t>
      </w:r>
      <w:r w:rsidRPr="00F933AF">
        <w:rPr>
          <w:rFonts w:cs="Calibri"/>
          <w:b/>
          <w:i/>
          <w:iCs/>
          <w:color w:val="222222"/>
          <w:u w:val="single"/>
        </w:rPr>
        <w:t xml:space="preserve"> disables </w:t>
      </w:r>
      <w:r w:rsidRPr="00F933AF">
        <w:rPr>
          <w:rFonts w:cs="Calibri"/>
          <w:b/>
          <w:color w:val="222222"/>
          <w:u w:val="single"/>
        </w:rPr>
        <w:t>workers</w:t>
      </w:r>
      <w:r w:rsidRPr="00F933AF">
        <w:rPr>
          <w:rFonts w:cs="Calibri"/>
          <w:color w:val="222222"/>
          <w:sz w:val="16"/>
        </w:rPr>
        <w:t xml:space="preserve">. Production takes place at tremendous speeds with little regard for the safety of the workers (unless the class struggle results in temporary gains for the working class). </w:t>
      </w:r>
      <w:r w:rsidRPr="00F933AF">
        <w:rPr>
          <w:rFonts w:cs="Calibri"/>
          <w:color w:val="222222"/>
          <w:u w:val="single"/>
        </w:rPr>
        <w:t xml:space="preserve">The dynamic of </w:t>
      </w:r>
      <w:r w:rsidRPr="00F933AF">
        <w:rPr>
          <w:rFonts w:cs="Calibri"/>
          <w:b/>
          <w:color w:val="222222"/>
          <w:u w:val="single"/>
        </w:rPr>
        <w:t>profit-over-people</w:t>
      </w:r>
      <w:r w:rsidRPr="00F933AF">
        <w:rPr>
          <w:rFonts w:cs="Calibri"/>
          <w:color w:val="222222"/>
          <w:u w:val="single"/>
        </w:rPr>
        <w:t xml:space="preserve"> leads to unsafe production processes</w:t>
      </w:r>
      <w:r w:rsidRPr="00F933AF">
        <w:rPr>
          <w:rFonts w:cs="Calibri"/>
          <w:color w:val="222222"/>
          <w:sz w:val="16"/>
        </w:rPr>
        <w:t>. Marx’s longtime collaborator. Marx reiterated this in</w:t>
      </w:r>
      <w:r w:rsidRPr="00F933AF">
        <w:rPr>
          <w:rFonts w:cs="Calibri"/>
          <w:i/>
          <w:iCs/>
          <w:color w:val="222222"/>
          <w:sz w:val="16"/>
        </w:rPr>
        <w:t xml:space="preserve"> “</w:t>
      </w:r>
      <w:hyperlink r:id="rId416" w:tgtFrame="_blank" w:history="1">
        <w:r w:rsidRPr="00F933AF">
          <w:rPr>
            <w:rStyle w:val="Hyperlink"/>
            <w:rFonts w:cs="Calibri"/>
            <w:bCs/>
            <w:sz w:val="16"/>
          </w:rPr>
          <w:t>Capital Volume One</w:t>
        </w:r>
      </w:hyperlink>
      <w:r w:rsidRPr="00F933AF">
        <w:rPr>
          <w:rFonts w:cs="Calibri"/>
          <w:color w:val="222222"/>
          <w:sz w:val="16"/>
        </w:rPr>
        <w:t xml:space="preserve">,” writing, “capital takes no account of the health… of the worker unless society forces it to do so.” This is an absolutely key point: although capitalism is inherently bad for disabled people, </w:t>
      </w:r>
      <w:r w:rsidRPr="00F933AF">
        <w:rPr>
          <w:rFonts w:cs="Calibri"/>
          <w:b/>
          <w:color w:val="222222"/>
          <w:u w:val="single"/>
        </w:rPr>
        <w:t>we have the power to remake society</w:t>
      </w:r>
      <w:r w:rsidRPr="00F933AF">
        <w:rPr>
          <w:rFonts w:cs="Calibri"/>
          <w:color w:val="222222"/>
          <w:u w:val="single"/>
        </w:rPr>
        <w:t xml:space="preserve">. We can force capital to work for our needs, to take our health and safety into account. </w:t>
      </w:r>
      <w:r w:rsidRPr="00F933AF">
        <w:rPr>
          <w:rFonts w:cs="Calibri"/>
          <w:color w:val="222222"/>
          <w:sz w:val="16"/>
        </w:rPr>
        <w:t xml:space="preserve">The answer to the outcry about physical and mental degradation, the premature death and torture of overwork, exists. Before we can determine what that answer is, however, we must figure out what the answer is not. </w:t>
      </w:r>
      <w:r w:rsidRPr="00F933AF">
        <w:rPr>
          <w:rFonts w:cs="Calibri"/>
          <w:color w:val="222222"/>
          <w:u w:val="single"/>
        </w:rPr>
        <w:t>The oppression of the disabled does not depend on the individual</w:t>
      </w:r>
      <w:r w:rsidRPr="00F933AF">
        <w:rPr>
          <w:rFonts w:cs="Calibri"/>
          <w:color w:val="222222"/>
          <w:sz w:val="16"/>
        </w:rPr>
        <w:t xml:space="preserve"> will, good or bad, of any particular </w:t>
      </w:r>
      <w:r w:rsidRPr="00F933AF">
        <w:rPr>
          <w:rFonts w:cs="Calibri"/>
          <w:color w:val="222222"/>
          <w:u w:val="single"/>
        </w:rPr>
        <w:t>capitalist</w:t>
      </w:r>
      <w:r w:rsidRPr="00F933AF">
        <w:rPr>
          <w:rFonts w:cs="Calibri"/>
          <w:color w:val="222222"/>
          <w:sz w:val="16"/>
        </w:rPr>
        <w:t xml:space="preserve">s. The objective, systemic laws of capitalist production confront the capitalists as a coercive force external to them. Even the bosses are not in full control of the system: market forces are. </w:t>
      </w:r>
      <w:r w:rsidRPr="00F933AF">
        <w:rPr>
          <w:rFonts w:cs="Calibri"/>
          <w:color w:val="222222"/>
          <w:u w:val="single"/>
        </w:rPr>
        <w:t>It is not about a capitalist being good or bad, it is about the logic of the system.</w:t>
      </w:r>
      <w:r w:rsidRPr="00F933AF">
        <w:rPr>
          <w:rFonts w:cs="Calibri"/>
          <w:color w:val="222222"/>
          <w:sz w:val="16"/>
        </w:rPr>
        <w:t xml:space="preserve"> For instance, capitalism relies on a “reserve army of the unemployed” to maintain competition among workers and prevent them from seeing their common enemy. Unemployment also allows the bosses to drive down the quality of working conditions across the board. Unemployment forces workers to take low wages, unsafe conditions, and so on. If one worker refuses to do so, the poverty conferred by unemployment means that someone else will. </w:t>
      </w:r>
      <w:r w:rsidRPr="00F933AF">
        <w:rPr>
          <w:rFonts w:cs="Calibri"/>
          <w:color w:val="222222"/>
          <w:u w:val="single"/>
        </w:rPr>
        <w:t>Many people who are considered disabled under capitalism are forced to fill the role of a reserve army of labor</w:t>
      </w:r>
      <w:r w:rsidRPr="00F933AF">
        <w:rPr>
          <w:rFonts w:cs="Calibri"/>
          <w:color w:val="222222"/>
          <w:sz w:val="16"/>
        </w:rPr>
        <w:t xml:space="preserve">, but this is not universal. </w:t>
      </w:r>
      <w:r w:rsidRPr="00F933AF">
        <w:rPr>
          <w:rFonts w:cs="Calibri"/>
          <w:color w:val="222222"/>
          <w:u w:val="single"/>
        </w:rPr>
        <w:t>Under capitalism, the state has also stepped in to manage the exclusion of people with disabilities. The state has used the invented category of disability to determine the “deserving poor” and the “undeserving poor” when doling out benefits</w:t>
      </w:r>
      <w:r w:rsidRPr="00F933AF">
        <w:rPr>
          <w:rFonts w:cs="Calibri"/>
          <w:color w:val="222222"/>
          <w:sz w:val="16"/>
        </w:rPr>
        <w:t xml:space="preserve"> that would discourage workers from making revolution. This ensured the impaired lived uncomfortable lives in workhouses or prisons. </w:t>
      </w:r>
      <w:r w:rsidRPr="00F933AF">
        <w:rPr>
          <w:rFonts w:cs="Calibri"/>
          <w:color w:val="222222"/>
          <w:u w:val="single"/>
        </w:rPr>
        <w:t>Being categorized as disabled conferred poverty status on a member of the working class</w:t>
      </w:r>
      <w:r w:rsidRPr="00F933AF">
        <w:rPr>
          <w:rFonts w:cs="Calibri"/>
          <w:color w:val="222222"/>
          <w:sz w:val="16"/>
        </w:rPr>
        <w:t xml:space="preserve">, and usually on their families as well. </w:t>
      </w:r>
      <w:r w:rsidRPr="00F933AF">
        <w:rPr>
          <w:rFonts w:cs="Calibri"/>
          <w:color w:val="222222"/>
          <w:u w:val="single"/>
        </w:rPr>
        <w:t>Disability care has always been expensive</w:t>
      </w:r>
      <w:r w:rsidRPr="00F933AF">
        <w:rPr>
          <w:rFonts w:cs="Calibri"/>
          <w:color w:val="222222"/>
          <w:sz w:val="16"/>
        </w:rPr>
        <w:t xml:space="preserve">. Then and now, having a disabled child could mean destitution. This would force disabled workers and their families to seek employment in low-wage or unsafe industries, in addition to driving down wages and conditions for the non-disabled sections of the working class. First and foremost, </w:t>
      </w:r>
      <w:r w:rsidRPr="00F933AF">
        <w:rPr>
          <w:rFonts w:cs="Calibri"/>
          <w:color w:val="222222"/>
          <w:u w:val="single"/>
        </w:rPr>
        <w:t>the economics of capitalist production have been and are responsible for disability oppression.</w:t>
      </w:r>
      <w:r w:rsidRPr="00F933AF">
        <w:rPr>
          <w:rFonts w:cs="Calibri"/>
          <w:color w:val="222222"/>
          <w:sz w:val="16"/>
        </w:rPr>
        <w:t xml:space="preserve"> In addition to this, the </w:t>
      </w:r>
      <w:r w:rsidRPr="00F933AF">
        <w:rPr>
          <w:rFonts w:cs="Calibri"/>
          <w:color w:val="222222"/>
          <w:u w:val="single"/>
        </w:rPr>
        <w:t>capitalists also had an ideological reason for perpetuating disability oppression. It</w:t>
      </w:r>
      <w:r w:rsidRPr="00F933AF">
        <w:rPr>
          <w:rFonts w:cs="Calibri"/>
          <w:color w:val="222222"/>
          <w:sz w:val="16"/>
        </w:rPr>
        <w:t xml:space="preserve"> discouraged workers from not working, yes, but also </w:t>
      </w:r>
      <w:r w:rsidRPr="00F933AF">
        <w:rPr>
          <w:rFonts w:cs="Calibri"/>
          <w:color w:val="222222"/>
          <w:u w:val="single"/>
        </w:rPr>
        <w:t xml:space="preserve">engendered in the workers the idea that they had no right to a basic standard of living. </w:t>
      </w:r>
      <w:r w:rsidRPr="00F933AF">
        <w:rPr>
          <w:rFonts w:cs="Calibri"/>
          <w:color w:val="222222"/>
          <w:sz w:val="16"/>
        </w:rPr>
        <w:t xml:space="preserve">Charities that served the poor and disabled were roundly criticized because they did not convey enough of this moral stigma. </w:t>
      </w:r>
      <w:r w:rsidRPr="00F933AF">
        <w:rPr>
          <w:rFonts w:cs="Calibri"/>
          <w:b/>
          <w:color w:val="222222"/>
          <w:u w:val="single"/>
        </w:rPr>
        <w:t>The widespread belief that poor and disabled people were unworthy of decent lifestyles served to disenchant these populations from making revolution.</w:t>
      </w:r>
      <w:r w:rsidRPr="00F933AF">
        <w:rPr>
          <w:rFonts w:cs="Calibri"/>
          <w:color w:val="222222"/>
          <w:sz w:val="16"/>
        </w:rPr>
        <w:t xml:space="preserve"> </w:t>
      </w:r>
      <w:r w:rsidRPr="00F933AF">
        <w:rPr>
          <w:rFonts w:cs="Calibri"/>
          <w:color w:val="222222"/>
          <w:u w:val="single"/>
        </w:rPr>
        <w:t>A revolution was a way for the oppressed to improve their conditions, but the oppressed would never attempt to do this if they did not believe improvement was possible</w:t>
      </w:r>
      <w:r w:rsidRPr="00F933AF">
        <w:rPr>
          <w:rFonts w:cs="Calibri"/>
          <w:color w:val="222222"/>
          <w:sz w:val="16"/>
        </w:rPr>
        <w:t xml:space="preserve">. </w:t>
      </w:r>
      <w:r w:rsidRPr="00F933AF">
        <w:rPr>
          <w:rFonts w:cs="Calibri"/>
          <w:color w:val="222222"/>
          <w:u w:val="single"/>
        </w:rPr>
        <w:t xml:space="preserve">As the disabled population grew increasingly under the purview of laws and state institutions, the category of disability itself began to be seen as a problem to be banished from public view. </w:t>
      </w:r>
      <w:r w:rsidRPr="00F933AF">
        <w:rPr>
          <w:rFonts w:cs="Calibri"/>
          <w:color w:val="222222"/>
          <w:sz w:val="16"/>
        </w:rPr>
        <w:t xml:space="preserve">This was done using whatever methods were effective, up to and including institutionalization, sterilization, and euthanasia. The state’s ideological motivations were not entirely separate from their economic ones. If a person is perceived as being unable to work, then they are unable make a living. To be working class is to be compelled to sell one’s labor in order to survive. </w:t>
      </w:r>
      <w:r w:rsidRPr="00F933AF">
        <w:rPr>
          <w:rFonts w:cs="Calibri"/>
          <w:color w:val="222222"/>
          <w:u w:val="single"/>
        </w:rPr>
        <w:t xml:space="preserve">Disabled workers </w:t>
      </w:r>
      <w:r w:rsidRPr="00F933AF">
        <w:rPr>
          <w:rFonts w:cs="Calibri"/>
          <w:color w:val="222222"/>
          <w:sz w:val="16"/>
        </w:rPr>
        <w:t xml:space="preserve">were unable to do this. They </w:t>
      </w:r>
      <w:r w:rsidRPr="00F933AF">
        <w:rPr>
          <w:rFonts w:cs="Calibri"/>
          <w:color w:val="222222"/>
          <w:u w:val="single"/>
        </w:rPr>
        <w:t>became either a public charge or a burden on their impoverished families</w:t>
      </w:r>
      <w:r w:rsidRPr="00F933AF">
        <w:rPr>
          <w:rFonts w:cs="Calibri"/>
          <w:color w:val="222222"/>
          <w:sz w:val="16"/>
        </w:rPr>
        <w:t xml:space="preserve">. But the state under capitalism did not and does not often provide disabled workers with adequate care. To do so would be to “waste” resources on someone who could not perform productive labor in return. This is most clearly the case for working class and disabled people, but the stigma around disability has meant that even middle and ruling class disabled people were kept in custodial care or in remedial schooling. </w:t>
      </w:r>
      <w:r w:rsidRPr="00F933AF">
        <w:rPr>
          <w:rFonts w:cs="Calibri"/>
          <w:color w:val="222222"/>
          <w:u w:val="single"/>
        </w:rPr>
        <w:t>The oppression of disabled people has its roots in capitalist relations of production; it eventually “trickled down” to affect the entire society.</w:t>
      </w:r>
      <w:r w:rsidRPr="00F933AF">
        <w:rPr>
          <w:rFonts w:cs="Calibri"/>
          <w:color w:val="222222"/>
          <w:sz w:val="16"/>
        </w:rPr>
        <w:t xml:space="preserve"> While the capitalist economy as such rejected disabled people as unproductive, the state institutions created and reinforced negative social attitudes towards disability. Capitalist society had relegated disabled people to the most negative status of poverty and isolation. These negative attitudes were used to justify disadvantageous social positions, which strengthened the attitudes themselves</w:t>
      </w:r>
      <w:r w:rsidRPr="00F933AF">
        <w:rPr>
          <w:rFonts w:cs="Calibri"/>
          <w:color w:val="222222"/>
          <w:u w:val="single"/>
        </w:rPr>
        <w:t>. Institutions and attitudes were and are in a constant interplay with one another, feeding back into and altering each other</w:t>
      </w:r>
      <w:r w:rsidRPr="00F933AF">
        <w:rPr>
          <w:rFonts w:cs="Calibri"/>
          <w:color w:val="222222"/>
          <w:sz w:val="16"/>
        </w:rPr>
        <w:t xml:space="preserve">. In Marxist terms, </w:t>
      </w:r>
      <w:r w:rsidRPr="00F933AF">
        <w:rPr>
          <w:rFonts w:cs="Calibri"/>
          <w:color w:val="222222"/>
          <w:u w:val="single"/>
        </w:rPr>
        <w:t xml:space="preserve">they interact dialectically. The discrimination and oppression of impaired people based on a manufactured category of disability rested on the underlying assumption that being “able-bodied” or “able-minded” was the </w:t>
      </w:r>
      <w:r w:rsidRPr="00F933AF">
        <w:rPr>
          <w:rFonts w:cs="Calibri"/>
          <w:b/>
          <w:color w:val="222222"/>
          <w:u w:val="single"/>
        </w:rPr>
        <w:t>social norm, the desirable default</w:t>
      </w:r>
      <w:r w:rsidRPr="00F933AF">
        <w:rPr>
          <w:rFonts w:cs="Calibri"/>
          <w:color w:val="222222"/>
          <w:sz w:val="16"/>
        </w:rPr>
        <w:t xml:space="preserve">. Today, this attitude goes by the name “ableism.” </w:t>
      </w:r>
      <w:r w:rsidRPr="00F933AF">
        <w:rPr>
          <w:rFonts w:cs="Calibri"/>
          <w:color w:val="222222"/>
          <w:u w:val="single"/>
        </w:rPr>
        <w:t>It is part and parcel of capitalist society because production for profit at all costs means excluding workers who require individual accommodations</w:t>
      </w:r>
      <w:r w:rsidRPr="00F933AF">
        <w:rPr>
          <w:rFonts w:cs="Calibri"/>
          <w:color w:val="222222"/>
          <w:sz w:val="16"/>
        </w:rPr>
        <w:t xml:space="preserve">. The state and other institutions, such as education and the media, promote ableist ideas by rationalizing our exclusion from the workplace. </w:t>
      </w:r>
      <w:r w:rsidRPr="00F933AF">
        <w:rPr>
          <w:rFonts w:cs="Calibri"/>
          <w:color w:val="222222"/>
          <w:u w:val="single"/>
        </w:rPr>
        <w:t>The stigma</w:t>
      </w:r>
      <w:r w:rsidRPr="00F933AF">
        <w:rPr>
          <w:rFonts w:cs="Calibri"/>
          <w:color w:val="222222"/>
          <w:sz w:val="16"/>
        </w:rPr>
        <w:t xml:space="preserve">, while it originates in the workplace, goes beyond this sphere as well. It </w:t>
      </w:r>
      <w:r w:rsidRPr="00F933AF">
        <w:rPr>
          <w:rFonts w:cs="Calibri"/>
          <w:color w:val="222222"/>
          <w:u w:val="single"/>
        </w:rPr>
        <w:t>encompasses all realms of social existence.</w:t>
      </w:r>
      <w:r w:rsidRPr="00F933AF">
        <w:rPr>
          <w:rFonts w:cs="Calibri"/>
          <w:color w:val="222222"/>
          <w:sz w:val="16"/>
        </w:rPr>
        <w:t xml:space="preserve"> But </w:t>
      </w:r>
      <w:r w:rsidRPr="00F933AF">
        <w:rPr>
          <w:rFonts w:cs="Calibri"/>
          <w:b/>
          <w:color w:val="222222"/>
          <w:u w:val="single"/>
        </w:rPr>
        <w:t xml:space="preserve">ableism is </w:t>
      </w:r>
      <w:r w:rsidRPr="00F933AF">
        <w:rPr>
          <w:rFonts w:cs="Calibri"/>
          <w:color w:val="222222"/>
          <w:sz w:val="16"/>
        </w:rPr>
        <w:t xml:space="preserve">not just bad ideas or bad language. It is </w:t>
      </w:r>
      <w:r w:rsidRPr="00F933AF">
        <w:rPr>
          <w:rFonts w:cs="Calibri"/>
          <w:b/>
          <w:color w:val="222222"/>
          <w:u w:val="single"/>
        </w:rPr>
        <w:t xml:space="preserve">policies and actions of the state and the capitalist </w:t>
      </w:r>
      <w:r w:rsidRPr="00F933AF">
        <w:rPr>
          <w:rFonts w:cs="Calibri"/>
          <w:color w:val="222222"/>
          <w:sz w:val="16"/>
        </w:rPr>
        <w:t xml:space="preserve">that relegate over </w:t>
      </w:r>
      <w:hyperlink r:id="rId417" w:tgtFrame="_blank" w:history="1">
        <w:r w:rsidRPr="00F933AF">
          <w:rPr>
            <w:rStyle w:val="Hyperlink"/>
            <w:rFonts w:cs="Calibri"/>
            <w:bCs/>
            <w:sz w:val="16"/>
          </w:rPr>
          <w:t>70 percent of disabled people to unemployment</w:t>
        </w:r>
      </w:hyperlink>
      <w:r w:rsidRPr="00F933AF">
        <w:rPr>
          <w:rFonts w:cs="Calibri"/>
          <w:color w:val="222222"/>
          <w:sz w:val="16"/>
        </w:rPr>
        <w:t xml:space="preserve"> in the United States alone. When someone with a disability is employed, they tend to earn far less than any abled person. Inadequate housing, living conditions, and the like also disproportionately affect disabled people. Some disabilities can be noted almost as soon as a child is born, and they are immediately tested for other disabilities as well. Early detection is not the issue in and of itself, however. The problem is that mainstream systems of care generally treat such children as problems to be cured or as expenses to the state. Many of these programs are justified not because we have a moral obligation to help one another, but because they are “cheaper than the alternative” of letting disabled people struggle on their own. Parents are generally advised to take measures, whether medical or therapeutic, to make their child as “normal” as possible. They face tremendous pressure to pathologize their children instead of working to make their lives as meaningful as possible. </w:t>
      </w:r>
      <w:r w:rsidRPr="00F933AF">
        <w:rPr>
          <w:rFonts w:cs="Calibri"/>
          <w:color w:val="222222"/>
          <w:u w:val="single"/>
        </w:rPr>
        <w:t>Ableist ideas have existed in public and private education for as long as either has existed.</w:t>
      </w:r>
      <w:r w:rsidRPr="00F933AF">
        <w:rPr>
          <w:rFonts w:cs="Calibri"/>
          <w:color w:val="222222"/>
          <w:sz w:val="16"/>
        </w:rPr>
        <w:t xml:space="preserve"> In the United States, disabled children were historically, and often still are segregated from their abled counterparts. As a result, abled children may not see their peers with disabilities as part of the same society, and may fail to make even the simplest of accommodations. Likewise, disabled children themselves are often made to see themselves as apart from the mainstream. This engenders ideas of weakness in them. They grow to believe they are not capable of doing the kinds of things their peers can do. This is a harmful atmosphere for all of us. These ideas about disabled people continue into adulthood, most importantly surfacing in employment. Employers are encouraged to see people with disabilities as problems or expenses, just like parents and educators. Unemployed disabled people are thus forced to rely on disability stipends and other government programs. Just like other such programs in the United States, the state demands the right to interfere in the most intimate details of a person’s life just to judge them worthy of receiving a small monthly check. </w:t>
      </w:r>
      <w:r w:rsidRPr="00F933AF">
        <w:rPr>
          <w:rFonts w:cs="Calibri"/>
          <w:color w:val="222222"/>
          <w:u w:val="single"/>
        </w:rPr>
        <w:t>Ableism in the United States promotes the idea that disability is a personal tragedy</w:t>
      </w:r>
      <w:r w:rsidRPr="00F933AF">
        <w:rPr>
          <w:rFonts w:cs="Calibri"/>
          <w:color w:val="222222"/>
          <w:sz w:val="16"/>
        </w:rPr>
        <w:t xml:space="preserve">. As we have seen, nothing could be further from the truth. The personal tragedy narrative is about the idea of “overcoming” disability through rehab or surgery, or else acknowledging their impairment and bravely going on in spite of it. In both cases, we are encouraged to look at disability as simply a set of obstacles that inexplicably arise to thwart us, rather than examining the barriers capitalist society puts in front of us. </w:t>
      </w:r>
      <w:r w:rsidRPr="00F933AF">
        <w:rPr>
          <w:rFonts w:cs="Calibri"/>
          <w:b/>
          <w:color w:val="222222"/>
          <w:u w:val="single"/>
        </w:rPr>
        <w:t>The individual is not the problem. We must consider the economic and societal factors that promote ableism and oppression. Disability and ableism were created through collective institutions, and can only be overcome through collective struggle</w:t>
      </w:r>
      <w:r w:rsidRPr="00F933AF">
        <w:rPr>
          <w:rFonts w:cs="Calibri"/>
          <w:color w:val="222222"/>
          <w:sz w:val="16"/>
        </w:rPr>
        <w:t>.</w:t>
      </w:r>
    </w:p>
    <w:p w:rsidR="00D61738" w:rsidRPr="00C01F73" w:rsidRDefault="00D61738" w:rsidP="00D61738">
      <w:pPr>
        <w:pStyle w:val="Heading4"/>
      </w:pPr>
      <w:r>
        <w:t>Aff removes liberalism’s discrimination against nonproductive bodies, paving the way for neoliberalism’s promotion of all bodies as non-autonomous in need of health care market dissemination</w:t>
      </w:r>
    </w:p>
    <w:p w:rsidR="00D61738" w:rsidRPr="00C01F73" w:rsidRDefault="00D61738" w:rsidP="00D61738">
      <w:r w:rsidRPr="00BC615D">
        <w:rPr>
          <w:rStyle w:val="Style13ptBold"/>
        </w:rPr>
        <w:t>Mitchell 15</w:t>
      </w:r>
      <w:r>
        <w:t xml:space="preserve"> (David T. </w:t>
      </w:r>
      <w:r w:rsidRPr="00BC615D">
        <w:t>Mitchell, faculty member in the Department of Disability and Human Development at the University of Illinois at Chicago, coeditor of Corporealities: Discourses of Disability, author of Precarity, Geopolitics, and the Matter of Disability, Ed. Sharon L. Snyder, 2015, “The Biopolitics of Disability neoliberalism, ablenationalism, and peripheral embodiment”, University of Michigan Press, https://www.press.umich.edu/7331366)/CWB</w:t>
      </w:r>
    </w:p>
    <w:p w:rsidR="00CE6D10" w:rsidRPr="002B3A0E" w:rsidRDefault="00D61738" w:rsidP="00CE6D10">
      <w:pPr>
        <w:rPr>
          <w:sz w:val="14"/>
        </w:rPr>
      </w:pPr>
      <w:r w:rsidRPr="00CC5EF3">
        <w:rPr>
          <w:sz w:val="14"/>
        </w:rPr>
        <w:t xml:space="preserve">The historical shift from liberalism’s carceral restraints on deviant bodies to neoliberalism’s referencing of deficiencies across all bodies provides a key transition in historically distinct approaches to body management. </w:t>
      </w:r>
      <w:r w:rsidRPr="00C01F73">
        <w:rPr>
          <w:rStyle w:val="StyleUnderline"/>
        </w:rPr>
        <w:t xml:space="preserve">Whereas liberalism recognized some bodies as normatively capacitated for a competitive labor market and other bodies as nonproductive due to their incapacitation (their defining, in-built impairment effects), neoliberalism tends to produce all bodies as languishing through excessive demands of productivity, exacerbated social anxieties, and excessive exposures to toxic environments in order to exploit new treatment markets. </w:t>
      </w:r>
      <w:r w:rsidRPr="001912F1">
        <w:rPr>
          <w:rStyle w:val="StyleUnderline"/>
        </w:rPr>
        <w:t>Whereas a prior era celebrated autonomous bodies rich in capacity, the era of biopolitics turns the corner and proliferates pathologies as opportunities for new product dissemination opportunities (that is,</w:t>
      </w:r>
      <w:r w:rsidRPr="00CC5EF3">
        <w:rPr>
          <w:sz w:val="14"/>
        </w:rPr>
        <w:t xml:space="preserve"> forms of addiction now promoted as </w:t>
      </w:r>
      <w:r w:rsidRPr="001912F1">
        <w:rPr>
          <w:rStyle w:val="StyleUnderline"/>
        </w:rPr>
        <w:t>body-altering solutions). Incapacitated bodies are now the standard to an increasing degree, and for-profit healthcare corporations recognize them as rich veins of data for ailments largely social in their making but often realized at the level of materiality</w:t>
      </w:r>
      <w:r w:rsidRPr="00CC5EF3">
        <w:rPr>
          <w:sz w:val="14"/>
        </w:rPr>
        <w:t xml:space="preserve">. Such interventions are delivered through the acquisition of over-the counter medications and other forms of body-alleviating consumption. This </w:t>
      </w:r>
      <w:r w:rsidRPr="001912F1">
        <w:rPr>
          <w:rStyle w:val="StyleUnderline"/>
        </w:rPr>
        <w:t>shift to contemporary bodies as incapacitated rather than “autonomously” independent marks a massive shift in the operation of a normalizing contemporary marketplace. Under neoliberalism the body is targeted as inherently lacking, and the pharmaceutical and medical industries promise not to remove but mask social symptoms as individualized adjustments to states of a universally beleaguered embodiment. Nowhere in this marketing scheme is</w:t>
      </w:r>
      <w:r w:rsidRPr="00CC5EF3">
        <w:rPr>
          <w:sz w:val="14"/>
        </w:rPr>
        <w:t xml:space="preserve"> there a direct address of toxic environments, workplaces, or oppressive living arrangements as the appropriate objects of critique or </w:t>
      </w:r>
      <w:r w:rsidRPr="001912F1">
        <w:rPr>
          <w:rStyle w:val="StyleUnderline"/>
        </w:rPr>
        <w:t>suspect sources of bodily debility</w:t>
      </w:r>
      <w:r w:rsidRPr="00CC5EF3">
        <w:rPr>
          <w:sz w:val="14"/>
        </w:rPr>
        <w:t xml:space="preserve">. This loss of the exploitation of environment as causal agent brings full circle a shift in emphasis from the early eugenics period that identified urbanity as the origins of modern maladjustment and “pastoral cure” (removal to rural institutions to reestablish one’s connection with nature for the rejuvenation of ailing spirits) as the appropriate intervention. </w:t>
      </w:r>
      <w:r w:rsidRPr="001912F1">
        <w:rPr>
          <w:rStyle w:val="StyleUnderline"/>
        </w:rPr>
        <w:t>The move from liberal to neoliberal disability, then, becomes identifiable as an effect of historical forces that shift from fetishizations of full capacity to fetishizations of minor, yet prolific, incapacitations</w:t>
      </w:r>
      <w:r w:rsidRPr="00CC5EF3">
        <w:rPr>
          <w:sz w:val="14"/>
        </w:rPr>
        <w:t xml:space="preserve"> (that which Puar terms “debility” [“Coda” 149]). </w:t>
      </w:r>
      <w:r w:rsidRPr="001912F1">
        <w:rPr>
          <w:rStyle w:val="StyleUnderline"/>
        </w:rPr>
        <w:t>This ebb and flow of ideas of dysfunctional embodiment reveals the outlines of an artificially tailored infrastructure that excludes and then includes as the terms for retrofitting bodies to a new market-driven formula. Incapacity transforms into “the new normal” and, in this process, we lose an ability to recognize alternative maps for living evolved within alternative crip/queer contexts. Normalization drives the matter of corporeality underground, so to speak, in the press to flatten differences into the multicultural mosaic that continues to champion normative modes of existence while seeming to become more flexible and therefore in line with key facets of neoliberal adaptability.</w:t>
      </w:r>
      <w:r>
        <w:rPr>
          <w:rStyle w:val="StyleUnderline"/>
        </w:rPr>
        <w:t xml:space="preserve"> </w:t>
      </w:r>
      <w:r w:rsidRPr="00CC5EF3">
        <w:rPr>
          <w:sz w:val="14"/>
        </w:rPr>
        <w:t xml:space="preserve">Neoliberal Disability and the Ablenationalism to Come The era of normalization that marks a </w:t>
      </w:r>
      <w:r w:rsidRPr="00CC5EF3">
        <w:rPr>
          <w:rStyle w:val="StyleUnderline"/>
        </w:rPr>
        <w:t>turning point in the social management of disabled people from eugenic exclusionist practices to neoliberal inclusionist approaches, turns upon the mounting cultural capital of an ever expanding “disability business”</w:t>
      </w:r>
      <w:r w:rsidRPr="00CC5EF3">
        <w:rPr>
          <w:sz w:val="14"/>
        </w:rPr>
        <w:t xml:space="preserve"> (Albrecht 82). </w:t>
      </w:r>
      <w:r w:rsidRPr="00CC5EF3">
        <w:rPr>
          <w:rStyle w:val="StyleUnderline"/>
        </w:rPr>
        <w:t>Disability turns out to provide a key way of documenting the shift from production (Fordist) to the consumption (post-Fordist) end of capitalism’s perpetual historical renewal process intended to justify its founding inequalities and wealth disparities.</w:t>
      </w:r>
      <w:r w:rsidRPr="00CC5EF3">
        <w:rPr>
          <w:sz w:val="14"/>
        </w:rPr>
        <w:t xml:space="preserve"> The particularities of bodily accommodations necessarily </w:t>
      </w:r>
      <w:r w:rsidRPr="00CC5EF3">
        <w:rPr>
          <w:rStyle w:val="StyleUnderline"/>
        </w:rPr>
        <w:t>send people with disabilities into circulation as tangential consumers of social services. Social service systems are excessively dominated by those in</w:t>
      </w:r>
      <w:r w:rsidRPr="00CC5EF3">
        <w:rPr>
          <w:sz w:val="14"/>
        </w:rPr>
        <w:t xml:space="preserve"> the </w:t>
      </w:r>
      <w:r w:rsidRPr="00CC5EF3">
        <w:rPr>
          <w:rStyle w:val="StyleUnderline"/>
        </w:rPr>
        <w:t>control</w:t>
      </w:r>
      <w:r w:rsidRPr="00CC5EF3">
        <w:rPr>
          <w:sz w:val="14"/>
        </w:rPr>
        <w:t xml:space="preserve">ling professions: that is, authorized disability gatekeepers that tend to approve, disapprove, and </w:t>
      </w:r>
      <w:r w:rsidRPr="00CC5EF3">
        <w:rPr>
          <w:rStyle w:val="StyleUnderline"/>
        </w:rPr>
        <w:t>ultimately ensnare people with disabilities in the deliberations of</w:t>
      </w:r>
      <w:r w:rsidRPr="00CC5EF3">
        <w:rPr>
          <w:sz w:val="14"/>
        </w:rPr>
        <w:t xml:space="preserve"> improvement </w:t>
      </w:r>
      <w:r w:rsidRPr="00CC5EF3">
        <w:rPr>
          <w:rStyle w:val="StyleUnderline"/>
        </w:rPr>
        <w:t>regimes</w:t>
      </w:r>
      <w:r w:rsidRPr="00CC5EF3">
        <w:rPr>
          <w:sz w:val="14"/>
        </w:rPr>
        <w:t xml:space="preserve"> implemented by experts certified in middle-class professional training disciplines such as physical therapy, social work, occupational therapy, speech therapy, special education, psychology, and psychiatry. This </w:t>
      </w:r>
      <w:r w:rsidRPr="00CC5EF3">
        <w:rPr>
          <w:rStyle w:val="StyleUnderline"/>
        </w:rPr>
        <w:t>entry of disabled people as tangential consumers into market systems becomes an odd affair in that the basis of those classified as consumers usually requires at least a modicum of economic capacity to consume</w:t>
      </w:r>
      <w:r w:rsidRPr="00CC5EF3">
        <w:rPr>
          <w:sz w:val="14"/>
        </w:rPr>
        <w:t xml:space="preserve">. Further, the managerial oriented medical and caretaking professions developed around the social ministration of disabled people’s “severely” embodied lives often give way to alternative forms of minority exploitation, such as the widespread practice of hiring underpaid (lower than minimum wage) women of color in the United States and immigrant women from former Soviet bloc countries such as Yugoslavia and Czechoslovakia in Europe as body care workers (Kunow “Age and/as Disability”). Furthermore, and perhaps most to the purposes of understanding </w:t>
      </w:r>
      <w:r w:rsidRPr="00CC5EF3">
        <w:rPr>
          <w:rStyle w:val="StyleUnderline"/>
        </w:rPr>
        <w:t xml:space="preserve">disability experience </w:t>
      </w:r>
      <w:r w:rsidRPr="00CC5EF3">
        <w:rPr>
          <w:sz w:val="14"/>
        </w:rPr>
        <w:t xml:space="preserve">as </w:t>
      </w:r>
      <w:r w:rsidRPr="00CC5EF3">
        <w:rPr>
          <w:rStyle w:val="StyleUnderline"/>
        </w:rPr>
        <w:t>a hyper-driven market subjectivity within neoliberalism</w:t>
      </w:r>
      <w:r w:rsidRPr="00CC5EF3">
        <w:rPr>
          <w:sz w:val="14"/>
        </w:rPr>
        <w:t xml:space="preserve"> is the </w:t>
      </w:r>
      <w:r w:rsidRPr="00CC5EF3">
        <w:rPr>
          <w:rStyle w:val="StyleUnderline"/>
        </w:rPr>
        <w:t>demand to circulate as a paradigmatic patient-consumer with significant needs requiring product-based interventions. Efforts to meet expectations of individual upkeep within the era of biopolitics result in the susceptibility of crip/queer bodies to myriad bureaucratic onslaughts.</w:t>
      </w:r>
      <w:r w:rsidRPr="00CC5EF3">
        <w:rPr>
          <w:sz w:val="14"/>
        </w:rPr>
        <w:t xml:space="preserve"> Increasingly, </w:t>
      </w:r>
      <w:r w:rsidRPr="00CC5EF3">
        <w:rPr>
          <w:rStyle w:val="StyleUnderline"/>
        </w:rPr>
        <w:t>disabled people find themselves subject to</w:t>
      </w:r>
      <w:r w:rsidRPr="00CC5EF3">
        <w:rPr>
          <w:sz w:val="14"/>
        </w:rPr>
        <w:t xml:space="preserve"> other </w:t>
      </w:r>
      <w:r w:rsidRPr="00CC5EF3">
        <w:rPr>
          <w:rStyle w:val="StyleUnderline"/>
        </w:rPr>
        <w:t>experts’ rights to determine</w:t>
      </w:r>
      <w:r w:rsidRPr="00CC5EF3">
        <w:rPr>
          <w:sz w:val="14"/>
        </w:rPr>
        <w:t xml:space="preserve"> the coordinates of one’s </w:t>
      </w:r>
      <w:r w:rsidRPr="00CC5EF3">
        <w:rPr>
          <w:rStyle w:val="StyleUnderline"/>
        </w:rPr>
        <w:t>care</w:t>
      </w:r>
      <w:r w:rsidRPr="00CC5EF3">
        <w:rPr>
          <w:sz w:val="14"/>
        </w:rPr>
        <w:t xml:space="preserve">, support, inclusion, nonreproductive life, treatment level, </w:t>
      </w:r>
      <w:r w:rsidRPr="00CC5EF3">
        <w:rPr>
          <w:rStyle w:val="StyleUnderline"/>
        </w:rPr>
        <w:t>and social value</w:t>
      </w:r>
      <w:r w:rsidRPr="00CC5EF3">
        <w:rPr>
          <w:sz w:val="14"/>
        </w:rPr>
        <w:t>. Private decision-making about the nature of care is ceded to regulatory domains where payment is actually debated and negotiated among third parties (such as medical service organizations, assistive technology suppliers, home health care providers, and insurance companies). Self-advocacy policy-based initiatives implemented without an adequately remunerated labor force to implement them constitute the “best of all worlds” in this biopolitical order of things, whether in the form of “money follows the person” (as anti-institutionalization policy is sometimes referred to in the United States by disability rights communities) or recipients of Personal Independence Payments (PIP) buttressing neoliberal governance policies in the United Kingdom. The financial burden increasingly falls on disabled people to finance the terms of their own social existence.</w:t>
      </w:r>
    </w:p>
    <w:p w:rsidR="00CE6D10" w:rsidRPr="00F933AF" w:rsidRDefault="00CE6D10" w:rsidP="00CE6D10">
      <w:pPr>
        <w:pStyle w:val="Heading4"/>
        <w:rPr>
          <w:rFonts w:cs="Calibri"/>
        </w:rPr>
      </w:pPr>
      <w:r w:rsidRPr="00F933AF">
        <w:rPr>
          <w:rFonts w:cs="Calibri"/>
        </w:rPr>
        <w:t>Public charge enforces exclusion of those who don’t meet the neoliberal ideal citizen</w:t>
      </w:r>
    </w:p>
    <w:p w:rsidR="00CE6D10" w:rsidRPr="00F933AF" w:rsidRDefault="00CE6D10" w:rsidP="00CE6D10">
      <w:pPr>
        <w:rPr>
          <w:rFonts w:cs="Calibri"/>
        </w:rPr>
      </w:pPr>
      <w:r w:rsidRPr="00F933AF">
        <w:rPr>
          <w:rStyle w:val="Style13ptBold"/>
          <w:rFonts w:cs="Calibri"/>
        </w:rPr>
        <w:t>Schaeffer-Grabiel 6</w:t>
      </w:r>
      <w:r w:rsidRPr="00F933AF">
        <w:rPr>
          <w:rFonts w:cs="Calibri"/>
        </w:rPr>
        <w:t xml:space="preserve"> (Felicity Schaeffer-Grabiel, professor of feminist studies at UC Santa Cruz, PhD in American Studies and Feminist Studies from the University of Minnesota, September 2006, “Flexible Technologies of Subjectivity and Mobility across the Americas”, American Quarterly, Volume 58, Number 3, Johns Hopkins University Press, Project Muse)/CWB</w:t>
      </w:r>
    </w:p>
    <w:p w:rsidR="00CE6D10" w:rsidRPr="00F933AF" w:rsidRDefault="00CE6D10" w:rsidP="00CE6D10">
      <w:pPr>
        <w:rPr>
          <w:rFonts w:cs="Calibri"/>
          <w:sz w:val="16"/>
        </w:rPr>
      </w:pPr>
      <w:r w:rsidRPr="00F933AF">
        <w:rPr>
          <w:rFonts w:cs="Calibri"/>
          <w:sz w:val="16"/>
        </w:rPr>
        <w:t xml:space="preserve">It is also apparent that </w:t>
      </w:r>
      <w:r w:rsidRPr="00F933AF">
        <w:rPr>
          <w:rStyle w:val="StyleUnderline"/>
          <w:rFonts w:cs="Calibri"/>
        </w:rPr>
        <w:t>a new language of privilege and modernity is being articulated through cosmetic alterations. It is through one’s adherence to the norms of heterosexual femininity and male desire inscribed onto the body, rather than merely skin color, that one acquires a new language of global ascendancy. Cosmetic advances rearticulate long-enduring colonial legacies of racial difference as biologically based to create identities that are pliable</w:t>
      </w:r>
      <w:r w:rsidRPr="00F933AF">
        <w:rPr>
          <w:rFonts w:cs="Calibri"/>
          <w:sz w:val="16"/>
        </w:rPr>
        <w:t xml:space="preserve">, “democratically” available, and reliant on innovative technologies. Being civilized is equated with technologies of self-cultivation, with working hard, taking a risk, and jumping at opportunities that come your way. </w:t>
      </w:r>
      <w:r w:rsidRPr="00F933AF">
        <w:rPr>
          <w:rStyle w:val="StyleUnderline"/>
          <w:rFonts w:cs="Calibri"/>
        </w:rPr>
        <w:t>This is directly related to the role of U.S. state immigration in discouraging citizenship to those who may become a public charge, in other words, accepting only those whose enterprising spirit will contribute to the surplus labor of the nation.</w:t>
      </w:r>
      <w:r w:rsidRPr="00F933AF">
        <w:rPr>
          <w:rFonts w:cs="Calibri"/>
          <w:sz w:val="16"/>
        </w:rPr>
        <w:t xml:space="preserve"> Conclusion Internet dating and marriage across the Americas </w:t>
      </w:r>
      <w:r w:rsidRPr="00F933AF">
        <w:rPr>
          <w:rStyle w:val="StyleUnderline"/>
          <w:rFonts w:cs="Calibri"/>
        </w:rPr>
        <w:t>reveal tensions in the debate</w:t>
      </w:r>
      <w:r w:rsidRPr="00F933AF">
        <w:rPr>
          <w:rFonts w:cs="Calibri"/>
          <w:sz w:val="16"/>
        </w:rPr>
        <w:t xml:space="preserve"> over how subjects use technology to become part of the visible machinery of global mobility. </w:t>
      </w:r>
      <w:r w:rsidRPr="00F933AF">
        <w:rPr>
          <w:rStyle w:val="StyleUnderline"/>
          <w:rFonts w:cs="Calibri"/>
        </w:rPr>
        <w:t>Chicana/Latina scholarship is often left out</w:t>
      </w:r>
      <w:r w:rsidRPr="00F933AF">
        <w:rPr>
          <w:rFonts w:cs="Calibri"/>
          <w:sz w:val="16"/>
        </w:rPr>
        <w:t xml:space="preserve"> of the debate on globalization that has tended to focus on the cosmopolitan subjects of flows rather than on those whose bodies disrupt the gears of technologies that promise flexibility and mobility. </w:t>
      </w:r>
      <w:r w:rsidRPr="00F933AF">
        <w:rPr>
          <w:rStyle w:val="StyleUnderline"/>
          <w:rFonts w:cs="Calibri"/>
        </w:rPr>
        <w:t>The understanding that a flexible sense of self is expressed in the departure from the body and geography is entangled in neoliberalism and a post-body utopia of liberal individualism</w:t>
      </w:r>
      <w:r w:rsidRPr="00F933AF">
        <w:rPr>
          <w:rFonts w:cs="Calibri"/>
          <w:sz w:val="16"/>
        </w:rPr>
        <w:t xml:space="preserve">. Technological representations celebrating flexible identities elide the uneven access bodies have to flows, yet </w:t>
      </w:r>
      <w:r w:rsidRPr="00F933AF">
        <w:rPr>
          <w:rStyle w:val="StyleUnderline"/>
          <w:rFonts w:cs="Calibri"/>
        </w:rPr>
        <w:t>also generate new gendered tactics</w:t>
      </w:r>
      <w:r w:rsidRPr="00F933AF">
        <w:rPr>
          <w:rFonts w:cs="Calibri"/>
          <w:sz w:val="16"/>
        </w:rPr>
        <w:t xml:space="preserve">. Women turn to foreign men and circuits for a better life, but must confront the realities that their movement as spouses across borders does not assure equal rights as citizens without the fear of discrimination or estrangement from the benefits of belonging. I have demonstrated the ways technological embodiments of the self render insidious the narrative of development. Instead, values of rugged individualism take on new forms as the unsuccessful bodies of late capitalism are defined by their need for technological uplift, subjects who lack initiative. In “choosing” to alter themselves through the pliable modes afforded by technological practices, these </w:t>
      </w:r>
      <w:r w:rsidRPr="00F933AF">
        <w:rPr>
          <w:rStyle w:val="StyleUnderline"/>
          <w:rFonts w:cs="Calibri"/>
        </w:rPr>
        <w:t>women are encouraged to imagine themselves gaining membership into global citizenship.</w:t>
      </w:r>
      <w:r w:rsidRPr="00F933AF">
        <w:rPr>
          <w:rFonts w:cs="Calibri"/>
          <w:sz w:val="16"/>
        </w:rPr>
        <w:t xml:space="preserve"> For women who choose to genetically enhance their bodies, improving the self through contact with modern technology and foreign </w:t>
      </w:r>
      <w:r w:rsidRPr="00F933AF">
        <w:rPr>
          <w:rStyle w:val="StyleUnderline"/>
          <w:rFonts w:cs="Calibri"/>
        </w:rPr>
        <w:t>culture offers a model for the ideal citizen whose worth can be exchanged for a higher value in the foreign marketplace. If we are to follow the flows of power across borders, then we are in dire need of a critical “postnational” American studies paradigm that interrogates the continued influence of Western individualism and hides the uneven consequences of flexible citizenship for diasporic Latina/o populations on both sides of the border</w:t>
      </w:r>
      <w:r w:rsidRPr="00F933AF">
        <w:rPr>
          <w:rFonts w:cs="Calibri"/>
          <w:sz w:val="16"/>
        </w:rPr>
        <w:t>. Corporate marketing of flexible strategies cautions us not to be too easily seduced by mobile identities as a means of achieving democracy, freedom from the constraints of the body, and liberal ideals of choice.</w:t>
      </w:r>
    </w:p>
    <w:p w:rsidR="009F7A23" w:rsidRPr="00F933AF" w:rsidRDefault="009F7A23" w:rsidP="009F7A23">
      <w:pPr>
        <w:pStyle w:val="Heading4"/>
        <w:rPr>
          <w:rFonts w:cs="Calibri"/>
        </w:rPr>
      </w:pPr>
      <w:r w:rsidRPr="00F933AF">
        <w:rPr>
          <w:rFonts w:cs="Calibri"/>
        </w:rPr>
        <w:t>Public charge enables the government to mold the idea of the “perfect citizen”</w:t>
      </w:r>
    </w:p>
    <w:p w:rsidR="009F7A23" w:rsidRPr="00F933AF" w:rsidRDefault="009F7A23" w:rsidP="009F7A23">
      <w:pPr>
        <w:spacing w:after="0"/>
        <w:rPr>
          <w:rFonts w:cs="Calibri"/>
        </w:rPr>
      </w:pPr>
      <w:r w:rsidRPr="00F933AF">
        <w:rPr>
          <w:rStyle w:val="Style13ptBold"/>
          <w:rFonts w:cs="Calibri"/>
        </w:rPr>
        <w:t>Ngai 3</w:t>
      </w:r>
      <w:r w:rsidRPr="00F933AF">
        <w:rPr>
          <w:rFonts w:cs="Calibri"/>
        </w:rPr>
        <w:t xml:space="preserve"> (Mae, assistant professor of history at the University of Chicago. Law and History Review, Vol. 21, No. 1 (</w:t>
      </w:r>
      <w:proofErr w:type="gramStart"/>
      <w:r w:rsidRPr="00F933AF">
        <w:rPr>
          <w:rFonts w:cs="Calibri"/>
        </w:rPr>
        <w:t>Spring</w:t>
      </w:r>
      <w:proofErr w:type="gramEnd"/>
      <w:r w:rsidRPr="00F933AF">
        <w:rPr>
          <w:rFonts w:cs="Calibri"/>
        </w:rPr>
        <w:t>, 2003), pp. 69-107, “The Strange Career of the Illegal Alien: Immigration Restriction and Deportation Policy in the United States, 1921-1965,” American Society for Legal History, JSTOR)</w:t>
      </w:r>
    </w:p>
    <w:p w:rsidR="009F7A23" w:rsidRPr="00F933AF" w:rsidRDefault="009F7A23" w:rsidP="009F7A23">
      <w:pPr>
        <w:spacing w:after="0"/>
        <w:rPr>
          <w:rFonts w:cs="Calibri"/>
        </w:rPr>
      </w:pPr>
      <w:r w:rsidRPr="00F933AF">
        <w:rPr>
          <w:rFonts w:cs="Calibri"/>
        </w:rPr>
        <w:t xml:space="preserve"> http://www.jstor.org/stable/3595069</w:t>
      </w:r>
    </w:p>
    <w:p w:rsidR="009F7A23" w:rsidRPr="00F933AF" w:rsidRDefault="009F7A23" w:rsidP="009F7A23">
      <w:pPr>
        <w:spacing w:after="0"/>
        <w:rPr>
          <w:rStyle w:val="StyleUnderline"/>
          <w:rFonts w:cs="Calibri"/>
        </w:rPr>
      </w:pPr>
      <w:r w:rsidRPr="00F933AF">
        <w:rPr>
          <w:rFonts w:cs="Calibri"/>
          <w:sz w:val="16"/>
        </w:rPr>
        <w:t xml:space="preserve">The illegal aliens deported during the late 1920s and early 1930s comprised both unauthorized border crossers and visa violators and those who entered lawfully but committed a deportable offense subsequent to entry. Each category included immigrants who had already settled in the country and acquired jobs, property, and families. These illegal immigrants had in ef- INS Annual Report, 1930, p. 16; Lawrence Herzog, "Border Commuter Workers and Trans- frontier Metropolitan Structure along the U.S.-Mexico Border," in U.S.-Mexico Borderlands: Historical and Contemporary Perspectives, ed. Oscar Martinez (Wilmington, Del: Scholar- ly Resources, 1996), 179; on the bath requirement, see Jose Cruz Burciaga interview by Oscar Martinez, Feb. 16, 1972, transcript of tape 148, Institute of Oral History, University of Tex- as-El Paso, 20-22. 62. "Immigration Border Patrol," 18; Lawrence Cardoso, Mexican Emigration to the United States, 1897-1931 (Tucson: University of Arizona Press, 1980), 94; Paul Taylor, "Mexican Labor in the U.S.: Migration Statistics," University of California Publications in Economics 6.3 (July 31, 1929): 244. 89 This content downloaded from 67.194.23.38 on Wed, 11 Jul 2018 17:48:09 UTC All use subject to http://about.jstor.org/terms Law and History Review, Spring 2003 feet become members of American society. But if their </w:t>
      </w:r>
      <w:r w:rsidRPr="00F933AF">
        <w:rPr>
          <w:rStyle w:val="StyleUnderline"/>
          <w:rFonts w:cs="Calibri"/>
        </w:rPr>
        <w:t xml:space="preserve">inclusion in the nation was a social reality, it was also </w:t>
      </w:r>
      <w:r w:rsidRPr="00F933AF">
        <w:rPr>
          <w:rStyle w:val="Emphasis"/>
          <w:rFonts w:cs="Calibri"/>
        </w:rPr>
        <w:t>a legal impossibility</w:t>
      </w:r>
      <w:r w:rsidRPr="00F933AF">
        <w:rPr>
          <w:rFonts w:cs="Calibri"/>
          <w:sz w:val="16"/>
        </w:rPr>
        <w:t xml:space="preserve">. </w:t>
      </w:r>
      <w:r w:rsidRPr="00F933AF">
        <w:rPr>
          <w:rStyle w:val="StyleUnderline"/>
          <w:rFonts w:cs="Calibri"/>
        </w:rPr>
        <w:t>Resolving that contradiction by means of deportation caused hardship and suffering to these immigrants and their families</w:t>
      </w:r>
      <w:r w:rsidRPr="00F933AF">
        <w:rPr>
          <w:rFonts w:cs="Calibri"/>
          <w:sz w:val="16"/>
        </w:rPr>
        <w:t xml:space="preserve">. It struck many as simply unjust. Testifying before Congress in 1934, Nicholas Grisanti of the Federation of Italian Societies in Buffalo, New York, cited a typical case of an unjust deportation. An Italian immigrant had lived most of his life in Buffalo. He was married with three small children and was gainfully employed. But, Grisanti explained, "at some previous year he had taken as a boy a half bag of coal from the railroad tracks to help keep his family warm," for which crime he was convicted and given a suspended sentence. Years later, he went to Canada for a summer vacation. The Immigration Service considered his return a "new entry" and ordered him deported, on grounds that he had been convicted of a crime involving moral turpitude before "time of entry." His deportation was thwarted after a public outcry led acting New York Gov- ernor Herbert Lehman to pardon the "little offensive."63 In a sense, the protest against unjust deportations stemmed from the fact that European and Canadian immigrants had come face-to-face with a sys- tem that had historically evolved to justify arbitrary and summary treatment of Chinese and other Asian immigrants. It seemed that the warning sounded by Justice Brewer's dissent in Fong Yue Ting had come true. Justice Brew- er had acknowledged that the absolute power of the state to expel unwant- </w:t>
      </w:r>
      <w:proofErr w:type="gramStart"/>
      <w:r w:rsidRPr="00F933AF">
        <w:rPr>
          <w:rFonts w:cs="Calibri"/>
          <w:sz w:val="16"/>
        </w:rPr>
        <w:t>ed</w:t>
      </w:r>
      <w:proofErr w:type="gramEnd"/>
      <w:r w:rsidRPr="00F933AF">
        <w:rPr>
          <w:rFonts w:cs="Calibri"/>
          <w:sz w:val="16"/>
        </w:rPr>
        <w:t xml:space="preserve"> aliens was "directed only against the obnoxious Chinese, but," he asked, "if the power exists, who shall say it will not be exercised tomorrow against other classes and other people?"64 Indeed, as early as 1920, in the aftermath of the Palmer Raids, legal scholars noted that </w:t>
      </w:r>
      <w:r w:rsidRPr="00F933AF">
        <w:rPr>
          <w:rStyle w:val="StyleUnderline"/>
          <w:rFonts w:cs="Calibri"/>
        </w:rPr>
        <w:t>alleged anarchists in deportation proceedings were deprived of their civil liberties according to the "methods applied in the Chinese deportation cases</w:t>
      </w:r>
      <w:r w:rsidRPr="00F933AF">
        <w:rPr>
          <w:rFonts w:cs="Calibri"/>
          <w:sz w:val="16"/>
        </w:rPr>
        <w:t xml:space="preserve">."65 After 1924, not only anarchists but also Euro- peans who unlawfully entered the country were caught in the legal machin- ery designed for the "obnoxious Chinese." Thus during the late 1920s and early 1930s </w:t>
      </w:r>
      <w:r w:rsidRPr="00F933AF">
        <w:rPr>
          <w:rStyle w:val="StyleUnderline"/>
          <w:rFonts w:cs="Calibri"/>
        </w:rPr>
        <w:t>a critique of deportation policy emerged among social welfare advocates and legal reformers.</w:t>
      </w:r>
      <w:r w:rsidRPr="00F933AF">
        <w:rPr>
          <w:rFonts w:cs="Calibri"/>
          <w:sz w:val="16"/>
        </w:rPr>
        <w:t xml:space="preserve"> </w:t>
      </w:r>
      <w:r w:rsidRPr="00F933AF">
        <w:rPr>
          <w:rStyle w:val="StyleUnderline"/>
          <w:rFonts w:cs="Calibri"/>
        </w:rPr>
        <w:t>They</w:t>
      </w:r>
      <w:r w:rsidRPr="00F933AF">
        <w:rPr>
          <w:rFonts w:cs="Calibri"/>
          <w:sz w:val="16"/>
        </w:rPr>
        <w:t xml:space="preserve"> did not directly </w:t>
      </w:r>
      <w:r w:rsidRPr="00F933AF">
        <w:rPr>
          <w:rStyle w:val="Emphasis"/>
          <w:rFonts w:cs="Calibri"/>
        </w:rPr>
        <w:t>challenge</w:t>
      </w:r>
      <w:r w:rsidRPr="00F933AF">
        <w:rPr>
          <w:rFonts w:cs="Calibri"/>
          <w:sz w:val="16"/>
        </w:rPr>
        <w:t xml:space="preserve"> deportation as a prerogative of the nation's sov- ereign power, but </w:t>
      </w:r>
      <w:r w:rsidRPr="00F933AF">
        <w:rPr>
          <w:rStyle w:val="StyleUnderline"/>
          <w:rFonts w:cs="Calibri"/>
        </w:rPr>
        <w:t>the</w:t>
      </w:r>
      <w:r w:rsidRPr="00F933AF">
        <w:rPr>
          <w:rFonts w:cs="Calibri"/>
          <w:sz w:val="16"/>
        </w:rPr>
        <w:t xml:space="preserve">y did search for </w:t>
      </w:r>
      <w:r w:rsidRPr="00F933AF">
        <w:rPr>
          <w:rStyle w:val="Emphasis"/>
          <w:rFonts w:cs="Calibri"/>
        </w:rPr>
        <w:t>ways to reconcile conflicting imper- atives of national sovereignty and individual rights</w:t>
      </w:r>
      <w:r w:rsidRPr="00F933AF">
        <w:rPr>
          <w:rFonts w:cs="Calibri"/>
          <w:sz w:val="16"/>
        </w:rPr>
        <w:t xml:space="preserve">. During the early 1930s several legal </w:t>
      </w:r>
      <w:r w:rsidRPr="00F933AF">
        <w:rPr>
          <w:rStyle w:val="StyleUnderline"/>
          <w:rFonts w:cs="Calibri"/>
        </w:rPr>
        <w:t>studies called for administrative law reform in deportation</w:t>
      </w:r>
      <w:r w:rsidRPr="00F933AF">
        <w:rPr>
          <w:rFonts w:cs="Calibri"/>
          <w:sz w:val="16"/>
        </w:rPr>
        <w:t xml:space="preserve">. 63. U.S. Congress, Senate, Committee on Immigration, "Deportation of Criminals, Pres- ervation of Family Units, Permit Noncriminal Aliens to Legalize their Status," 74th Con- gress, Second Session, Feb. 29, 1934, p. 122. 64. Fong Yue ling v. U.S., at 743, 737. 65. "Deportation of Aliens (Notes)," Columbia Law Review 20 (June 1920): 683. 90 This content downloaded from 67.194.23.38 on Wed, 11 Jul 2018 17:48:09 UTC All use subject to http://about.jstor.org/terms The Strange Career of the Illegal Alien These included Deportation ofAliens from the United States to Europe, by Jane Perry Clark, a Barnard political scientist; a report on deportation by the National Commission on Law Observance and Enforcement (Wicker- sham Commission); and Administrative Control of Aliens: A Study in Ad- ministrative Law and Procedures, by William Van Vleck, dean of George Washington University Law School. All three studies based their findings on an examination of actual </w:t>
      </w:r>
      <w:r w:rsidRPr="00F933AF">
        <w:rPr>
          <w:rStyle w:val="StyleUnderline"/>
          <w:rFonts w:cs="Calibri"/>
        </w:rPr>
        <w:t>deportation cases and</w:t>
      </w:r>
      <w:r w:rsidRPr="00F933AF">
        <w:rPr>
          <w:rFonts w:cs="Calibri"/>
          <w:sz w:val="16"/>
        </w:rPr>
        <w:t xml:space="preserve"> other administrative records of the Immigration Service.66 Clark, Van Vleck, and the Wickersham Commission reached essential- ly the same two general conclusions. First, they believed deportation </w:t>
      </w:r>
      <w:r w:rsidRPr="00F933AF">
        <w:rPr>
          <w:rStyle w:val="StyleUnderline"/>
          <w:rFonts w:cs="Calibri"/>
        </w:rPr>
        <w:t xml:space="preserve">pol- icy was applied in </w:t>
      </w:r>
      <w:r w:rsidRPr="00F933AF">
        <w:rPr>
          <w:rStyle w:val="Emphasis"/>
          <w:rFonts w:cs="Calibri"/>
        </w:rPr>
        <w:t>arbitrary and unnecessarily harsh ways</w:t>
      </w:r>
      <w:r w:rsidRPr="00F933AF">
        <w:rPr>
          <w:rFonts w:cs="Calibri"/>
          <w:sz w:val="16"/>
        </w:rPr>
        <w:t xml:space="preserve">, </w:t>
      </w:r>
      <w:r w:rsidRPr="00F933AF">
        <w:rPr>
          <w:rStyle w:val="StyleUnderline"/>
          <w:rFonts w:cs="Calibri"/>
        </w:rPr>
        <w:t>resulting in great personal hardship</w:t>
      </w:r>
      <w:r w:rsidRPr="00F933AF">
        <w:rPr>
          <w:rFonts w:cs="Calibri"/>
          <w:sz w:val="16"/>
        </w:rPr>
        <w:t xml:space="preserve"> on individuals and in the separation of families, </w:t>
      </w:r>
      <w:r w:rsidRPr="00F933AF">
        <w:rPr>
          <w:rStyle w:val="StyleUnderline"/>
          <w:rFonts w:cs="Calibri"/>
        </w:rPr>
        <w:t>with no social benefit</w:t>
      </w:r>
      <w:r w:rsidRPr="00F933AF">
        <w:rPr>
          <w:rFonts w:cs="Calibri"/>
          <w:sz w:val="16"/>
        </w:rPr>
        <w:t xml:space="preserve">. Second, in terms of procedure, they concluded that depor- tation policy frequently operated in the breach of established traditions of Anglo American jurisprudence, especially those concerning judicial review and due process. As Lucy Salyer has shown, during the late nineteenth and early twentieth century the </w:t>
      </w:r>
      <w:r w:rsidRPr="00F933AF">
        <w:rPr>
          <w:rStyle w:val="StyleUnderline"/>
          <w:rFonts w:cs="Calibri"/>
        </w:rPr>
        <w:t>federal courts generally upheld the summary character of immigration proceedings.</w:t>
      </w:r>
      <w:r w:rsidRPr="00F933AF">
        <w:rPr>
          <w:rFonts w:cs="Calibri"/>
          <w:sz w:val="16"/>
        </w:rPr>
        <w:t xml:space="preserve"> </w:t>
      </w:r>
      <w:r w:rsidRPr="00F933AF">
        <w:rPr>
          <w:rStyle w:val="StyleUnderline"/>
          <w:rFonts w:cs="Calibri"/>
        </w:rPr>
        <w:t>This was despite</w:t>
      </w:r>
      <w:r w:rsidRPr="00F933AF">
        <w:rPr>
          <w:rFonts w:cs="Calibri"/>
          <w:sz w:val="16"/>
        </w:rPr>
        <w:t xml:space="preserve"> the </w:t>
      </w:r>
      <w:r w:rsidRPr="00F933AF">
        <w:rPr>
          <w:rStyle w:val="StyleUnderline"/>
          <w:rFonts w:cs="Calibri"/>
        </w:rPr>
        <w:t>principle es- tablished by the Supreme Court in 1903</w:t>
      </w:r>
      <w:r w:rsidRPr="00F933AF">
        <w:rPr>
          <w:rFonts w:cs="Calibri"/>
          <w:sz w:val="16"/>
        </w:rPr>
        <w:t xml:space="preserve"> in the Japanese Immigrant Case that aliens in immigration proceedings had rights derived from "fundamen- tal principles that inhere in due process of law." By the 1920s aliens had won only a few procedural rights, among them the right to an administra- tive hearing and the right to counsel.67 </w:t>
      </w:r>
      <w:proofErr w:type="gramStart"/>
      <w:r w:rsidRPr="00F933AF">
        <w:rPr>
          <w:rFonts w:cs="Calibri"/>
          <w:sz w:val="16"/>
        </w:rPr>
        <w:t>But</w:t>
      </w:r>
      <w:proofErr w:type="gramEnd"/>
      <w:r w:rsidRPr="00F933AF">
        <w:rPr>
          <w:rFonts w:cs="Calibri"/>
          <w:sz w:val="16"/>
        </w:rPr>
        <w:t xml:space="preserve"> critics found even these grave- ly lacking, or undermined by the lack of other procedural safeguards, and cited a broad range of abuses. The Wickersham Commission noted the danger at hand: "The very investigations to see whether suspected persons are subject to deportation, by their nature, involve possible interference of the gravest kind with the rights of personal liberty ... These investigations are not public, and they often involve American citizens."68 Specifically, critics charged, aliens were often "forcibly detained." The boards of special inquiry, which conducted formal deportation hearings, were often one-man tribunals, with the immigration inspector often appear- ing simultaneously as arresting officer, prosecutor, and judge.69 The boards 66. Clark, Deportation of Aliens; U.S. National Commission on Law Observance and Enforcement, Report on the Enforcement of the Deportation Laws of the United States (Washington, D.C.: GPO, 1931) (hereafter "Wickersham Report"); Van Vleck, Administra- tive Control. 67. Lucy Salyer, Laws Harsh as Tigers: Chinese Immigrants and the Shaping of Modern Immigration Law (Chapel Hill: University of North Carolina Press, 1995), 172-83; Japa- nese Immigrant Case (Yamata v. Fisher), 189 U.S. 86 (1903). 68. Wickersham Report, 29. 69. Van Vleck, Administrative Control, 26, 90-95; Wickersham Report, 65, 157-58, 170-71. 91 This content downloaded from 67.194.23.38 on Wed, 11 Jul 2018 17:48:09 UTC </w:t>
      </w:r>
      <w:proofErr w:type="gramStart"/>
      <w:r w:rsidRPr="00F933AF">
        <w:rPr>
          <w:rFonts w:cs="Calibri"/>
          <w:sz w:val="16"/>
        </w:rPr>
        <w:t>All</w:t>
      </w:r>
      <w:proofErr w:type="gramEnd"/>
      <w:r w:rsidRPr="00F933AF">
        <w:rPr>
          <w:rFonts w:cs="Calibri"/>
          <w:sz w:val="16"/>
        </w:rPr>
        <w:t xml:space="preserve"> use subject to http://about.jstor.org/terms Law and History Review, Spring 2003 operated without rules of evidence, readily admitting hearsay, opinion, anonymous letters, and "confidential information." The alien also bore the burden of proof "to show cause ... why he should not be deported." One study found that only one-sixth of aliens in deportation proceedings had legal representation, ranging from 1 or 2 percent along the Mexican bor- der to 20 percent in New York City.70 Moreover, the service interpreted the statute in ways that grossly stretched the law's meaning in order to justify grounds for deportation. For example, it interpreted "entry without proper inspection" to cover not only aliens who circumvented inspection but also instances where the examin- ing inspector had failed to ask a question that would have revealed the alien's excludability.71 The greatest abuse surrounded the application of the provision "</w:t>
      </w:r>
      <w:r w:rsidRPr="00F933AF">
        <w:rPr>
          <w:rStyle w:val="StyleUnderline"/>
          <w:rFonts w:cs="Calibri"/>
        </w:rPr>
        <w:t>liable to become a public charge</w:t>
      </w:r>
      <w:r w:rsidRPr="00F933AF">
        <w:rPr>
          <w:rFonts w:cs="Calibri"/>
          <w:sz w:val="16"/>
        </w:rPr>
        <w:t xml:space="preserve"> at time of entry," or "LPC," which, Clark said, was "shaken on deportation cases as though with a large pepper shaker." </w:t>
      </w:r>
      <w:r w:rsidRPr="00F933AF">
        <w:rPr>
          <w:rStyle w:val="StyleUnderline"/>
          <w:rFonts w:cs="Calibri"/>
        </w:rPr>
        <w:t>The service deported immigrants</w:t>
      </w:r>
      <w:r w:rsidRPr="00F933AF">
        <w:rPr>
          <w:rFonts w:cs="Calibri"/>
          <w:sz w:val="16"/>
        </w:rPr>
        <w:t xml:space="preserve"> who committed minor crimes or violated norms of sexual morality, such as bearing children out of wedlock, which were not deportable offenses, on grounds that they were "LPC before entry." In other words, the Immigration Service considered lapses or misfortune subsequent to entry to be the teleological outcome of a prior condition, which it adduced by way of retroactive judgment.72 </w:t>
      </w:r>
      <w:proofErr w:type="gramStart"/>
      <w:r w:rsidRPr="00F933AF">
        <w:rPr>
          <w:rFonts w:cs="Calibri"/>
          <w:sz w:val="16"/>
        </w:rPr>
        <w:t>Finally</w:t>
      </w:r>
      <w:proofErr w:type="gramEnd"/>
      <w:r w:rsidRPr="00F933AF">
        <w:rPr>
          <w:rFonts w:cs="Calibri"/>
          <w:sz w:val="16"/>
        </w:rPr>
        <w:t xml:space="preserve">, immigrants under warrants of deportation had few avenues of appeal. The Labor Department's board of review, which made recommen- dations to the secretary of labor, had no statutory authority. </w:t>
      </w:r>
      <w:r w:rsidRPr="00F933AF">
        <w:rPr>
          <w:rStyle w:val="StyleUnderline"/>
          <w:rFonts w:cs="Calibri"/>
        </w:rPr>
        <w:t>Judicial review was</w:t>
      </w:r>
      <w:r w:rsidRPr="00F933AF">
        <w:rPr>
          <w:rFonts w:cs="Calibri"/>
          <w:sz w:val="16"/>
        </w:rPr>
        <w:t xml:space="preserve"> extremely </w:t>
      </w:r>
      <w:r w:rsidRPr="00F933AF">
        <w:rPr>
          <w:rStyle w:val="StyleUnderline"/>
          <w:rFonts w:cs="Calibri"/>
        </w:rPr>
        <w:t>rare because the federal courts historically practiced great restraint in immigration cases</w:t>
      </w:r>
      <w:r w:rsidRPr="00F933AF">
        <w:rPr>
          <w:rFonts w:cs="Calibri"/>
          <w:sz w:val="16"/>
        </w:rPr>
        <w:t xml:space="preserve">, having progressively narrowed the grounds for judicial review in Chinese exclusion cases over the years. During the late 1920s and 1930s the courts heard fewer than three hundred writs of habeas corpus in deportation cases and found nearly 70 percent of them in favor of the Immigration Service.73 The legal critique of deportation policy evinced the preoccupations of legal realism during the years between the two world wars: a rejection of categorical thinking and a desire to transform differences of kind into dif- ferences of degree; the privileging of experience over formal logic; and, consequently, a belief in the need for administrative discretion in the emerg- ing regulatory state.74 According to the legal critics, deportation policy 70. Van Vleck, Administrative Control, 99-100, 107; Clark, Deportation of Aliens, 324; Kohler, Immigration and Aliens, 413; Wickersham Report, 107-8. 71. Van Vleck, Administrative Control, 237. 72. Clark, Deportation of Aliens, 309; Van Vleck, Administrative Control, 97-98, 119-25. 73. INS Annual Report, 1928-1932; Secretary of Labor, Annual Report, 1933-1936. 74. Morton Horwitz, The Transformation ofAmerican Law: The Critique of Legal Ortho- doxy, 1870-1960 (New York: Oxford University Press, 1992), 189, 199. 92 This content downloaded from 67.194.23.38 on Wed, 11 Jul 2018 17:48:09 UTC All use subject to http://about.jstor.org/terms The Strange Career of the Illegal Alien seemed to be law gone amok. They believed that the problem perhaps came less from politics than from the administration of law based on rigid cate- gories without room for discretion or experience. Because the main thrust of the criticisms concerned problems in procedure and enforcement, ad- ministrative law reform provided an alternative, less contentious route for reforming deportation policy than the more overtly political tack taken by liberal social welfare and immigration advocates. The latter had few friends in Congress during the Depression, when work was scarce and there were renewed calls for restriction and deportations. In fact, the gaze of admin- istrative law reformers was aimed not so much at Congress as it was to- ward the judiciary, where they believed progress might be made in more clearly defining the limits of executive power in matters of deportation.75 Yet embedded in the arguments for administrative law reform was a pow- erful political critique. </w:t>
      </w:r>
      <w:r w:rsidRPr="00F933AF">
        <w:rPr>
          <w:rStyle w:val="Emphasis"/>
          <w:rFonts w:cs="Calibri"/>
        </w:rPr>
        <w:t>That critique challenged the eugenical premises of immigration policy</w:t>
      </w:r>
      <w:r w:rsidRPr="00F933AF">
        <w:rPr>
          <w:rFonts w:cs="Calibri"/>
          <w:sz w:val="16"/>
        </w:rPr>
        <w:t xml:space="preserve">, that is, </w:t>
      </w:r>
      <w:r w:rsidRPr="00F933AF">
        <w:rPr>
          <w:rStyle w:val="StyleUnderline"/>
          <w:rFonts w:cs="Calibri"/>
        </w:rPr>
        <w:t>the idea that social undesirability derived from innate character deficiencies, which were perceived to be rooted biologi- cally in race, gender, or "bad blood."</w:t>
      </w:r>
      <w:r w:rsidRPr="00F933AF">
        <w:rPr>
          <w:rFonts w:cs="Calibri"/>
          <w:sz w:val="16"/>
        </w:rPr>
        <w:t xml:space="preserve"> In a sense, adm</w:t>
      </w:r>
      <w:r w:rsidRPr="00F933AF">
        <w:rPr>
          <w:rStyle w:val="StyleUnderline"/>
          <w:rFonts w:cs="Calibri"/>
        </w:rPr>
        <w:t>inistrative law reform was a stalking horse for a broader cultural challenge to nativist politics, chal- lenging, in particular, late nineteenth- and early twentieth-century theories about social degeneracy and, more specifically, ideas about gender roles, sexual morality, and crime. These normative standards of social desirabil- ity and moral fitness for citizenship continued to define the qualitative stan- dards for immigrant admission and deportation in the Immigration Act of 1924, even as they were eclipsed by the law's new emphasis on numerical restriction. In the late 1920s and 1930s legal critics challenged the appli- cation of these qualitative standards in deportation cases.</w:t>
      </w:r>
    </w:p>
    <w:p w:rsidR="009F7A23" w:rsidRPr="00F933AF" w:rsidRDefault="009F7A23" w:rsidP="009F7A23">
      <w:pPr>
        <w:spacing w:after="0"/>
        <w:rPr>
          <w:rStyle w:val="StyleUnderline"/>
          <w:rFonts w:cs="Calibri"/>
        </w:rPr>
      </w:pPr>
    </w:p>
    <w:p w:rsidR="009F7A23" w:rsidRPr="00F933AF" w:rsidRDefault="009F7A23" w:rsidP="009F7A23">
      <w:pPr>
        <w:pStyle w:val="Heading4"/>
        <w:rPr>
          <w:rFonts w:cs="Calibri"/>
        </w:rPr>
      </w:pPr>
      <w:r w:rsidRPr="00F933AF">
        <w:rPr>
          <w:rFonts w:cs="Calibri"/>
        </w:rPr>
        <w:t>Immigration reform reinforces colorblindness by framing success as just “hard work”</w:t>
      </w:r>
    </w:p>
    <w:p w:rsidR="009F7A23" w:rsidRPr="00F933AF" w:rsidRDefault="009F7A23" w:rsidP="009F7A23">
      <w:pPr>
        <w:spacing w:after="0"/>
        <w:rPr>
          <w:rFonts w:cs="Calibri"/>
        </w:rPr>
      </w:pPr>
      <w:r w:rsidRPr="00F933AF">
        <w:rPr>
          <w:rStyle w:val="Style13ptBold"/>
          <w:rFonts w:cs="Calibri"/>
        </w:rPr>
        <w:t>Perry 16</w:t>
      </w:r>
      <w:r w:rsidRPr="00F933AF">
        <w:rPr>
          <w:rFonts w:cs="Calibri"/>
        </w:rPr>
        <w:t xml:space="preserve"> (Leah, Assistant Professor of Cultural Studies at SUNY-Empire State College. She received her doctorate from George Mason University's Cultural Studies program, a Master's of Arts from New York University in Humanities and Social Thought, a second Master's of Arts and Religion from Yale Divinity School, and a Bachelor's in English from Manhattanville College (magna cum laude). Her research and teaching interests encompass gender and sexuality, American Studies, immigration, race and ethnicity, and media and popular culture. She is the author of The Cultural Politics of U.S. Immigration: Gender, Race, and Media (New York University Press, forthcoming 2016). Her work can also be seen in journals such as Cultural Studies and Lateral, and in the book collections Cultural Studies and the 'Juridical Turn': Culture, Law, and Legitimacy in the Era of Neoliberal Capitalism (Routledge, 2016) and American Shame: Stigma and the Body Politic (University of Indiana Press, 2016). “The Cultural Politics of U.S. Immigration,” NYU Press, 2016, chapter 1, Project Muse) NREM/Lil’ GBN</w:t>
      </w:r>
    </w:p>
    <w:p w:rsidR="009F7A23" w:rsidRPr="00F933AF" w:rsidRDefault="009F7A23" w:rsidP="009F7A23">
      <w:pPr>
        <w:spacing w:after="0"/>
        <w:rPr>
          <w:rFonts w:cs="Calibri"/>
          <w:sz w:val="16"/>
        </w:rPr>
      </w:pPr>
      <w:r w:rsidRPr="00F933AF">
        <w:rPr>
          <w:rFonts w:cs="Calibri"/>
          <w:sz w:val="16"/>
        </w:rPr>
        <w:t xml:space="preserve">Additionally, the deliberately selective </w:t>
      </w:r>
      <w:r w:rsidRPr="00F933AF">
        <w:rPr>
          <w:rStyle w:val="StyleUnderline"/>
          <w:rFonts w:cs="Calibri"/>
        </w:rPr>
        <w:t>diversification of the racial allotment</w:t>
      </w:r>
      <w:r w:rsidRPr="00F933AF">
        <w:rPr>
          <w:rFonts w:cs="Calibri"/>
          <w:sz w:val="16"/>
        </w:rPr>
        <w:t xml:space="preserve"> under the INA </w:t>
      </w:r>
      <w:r w:rsidRPr="00F933AF">
        <w:rPr>
          <w:rStyle w:val="StyleUnderline"/>
          <w:rFonts w:cs="Calibri"/>
        </w:rPr>
        <w:t>emblematized the reconfiguration of racism</w:t>
      </w:r>
      <w:r w:rsidRPr="00F933AF">
        <w:rPr>
          <w:rFonts w:cs="Calibri"/>
          <w:sz w:val="16"/>
        </w:rPr>
        <w:t xml:space="preserve"> both after World War II and in response to the civil rights movement. While </w:t>
      </w:r>
      <w:r w:rsidRPr="00F933AF">
        <w:rPr>
          <w:rStyle w:val="StyleUnderline"/>
          <w:rFonts w:cs="Calibri"/>
        </w:rPr>
        <w:t>the liberal climate of the 1960s underscored the immigration reforms and is often pointed to as their impetus, they are</w:t>
      </w:r>
      <w:r w:rsidRPr="00F933AF">
        <w:rPr>
          <w:rFonts w:cs="Calibri"/>
          <w:sz w:val="16"/>
        </w:rPr>
        <w:t xml:space="preserve"> also </w:t>
      </w:r>
      <w:r w:rsidRPr="00F933AF">
        <w:rPr>
          <w:rStyle w:val="StyleUnderline"/>
          <w:rFonts w:cs="Calibri"/>
        </w:rPr>
        <w:t>attributable to changing foreign</w:t>
      </w:r>
      <w:r w:rsidRPr="00F933AF">
        <w:rPr>
          <w:rFonts w:cs="Calibri"/>
          <w:sz w:val="16"/>
        </w:rPr>
        <w:t xml:space="preserve"> 60 | Immigration as Emergency policy goals: the </w:t>
      </w:r>
      <w:r w:rsidRPr="00F933AF">
        <w:rPr>
          <w:rStyle w:val="StyleUnderline"/>
          <w:rFonts w:cs="Calibri"/>
        </w:rPr>
        <w:t>exclusive bent of earlier immigration policy contradicted the new U.S. interest in global expansion and leadership</w:t>
      </w:r>
      <w:r w:rsidRPr="00F933AF">
        <w:rPr>
          <w:rFonts w:cs="Calibri"/>
          <w:sz w:val="16"/>
        </w:rPr>
        <w:t xml:space="preserve">.103 Seemingly magnanimous foreign policy served a nation in the process of globalizing—and </w:t>
      </w:r>
      <w:r w:rsidRPr="00F933AF">
        <w:rPr>
          <w:rStyle w:val="StyleUnderline"/>
          <w:rFonts w:cs="Calibri"/>
        </w:rPr>
        <w:t xml:space="preserve">this was </w:t>
      </w:r>
      <w:r w:rsidRPr="00F933AF">
        <w:rPr>
          <w:rStyle w:val="Emphasis"/>
          <w:rFonts w:cs="Calibri"/>
        </w:rPr>
        <w:t>crucial as neoliberalism began</w:t>
      </w:r>
      <w:r w:rsidRPr="00F933AF">
        <w:rPr>
          <w:rStyle w:val="StyleUnderline"/>
          <w:rFonts w:cs="Calibri"/>
        </w:rPr>
        <w:t xml:space="preserve"> to take cohesive shape</w:t>
      </w:r>
      <w:r w:rsidRPr="00F933AF">
        <w:rPr>
          <w:rFonts w:cs="Calibri"/>
          <w:sz w:val="16"/>
        </w:rPr>
        <w:t>. Continuing President John F. Kennedy’s commitment to end the quota system</w:t>
      </w:r>
      <w:proofErr w:type="gramStart"/>
      <w:r w:rsidRPr="00F933AF">
        <w:rPr>
          <w:rFonts w:cs="Calibri"/>
          <w:sz w:val="16"/>
        </w:rPr>
        <w:t>,104</w:t>
      </w:r>
      <w:proofErr w:type="gramEnd"/>
      <w:r w:rsidRPr="00F933AF">
        <w:rPr>
          <w:rFonts w:cs="Calibri"/>
          <w:sz w:val="16"/>
        </w:rPr>
        <w:t xml:space="preserve"> Lyndon B. Johnson proclaimed in his 1965 State of the Union Address, “Let a just nation throw open the city of promise to those in other lands seeking [the] promise of America, through an immigration law based on the work a man can do and not where he was born or how he spells his name.”105 Here was </w:t>
      </w:r>
      <w:r w:rsidRPr="00F933AF">
        <w:rPr>
          <w:rStyle w:val="StyleUnderline"/>
          <w:rFonts w:cs="Calibri"/>
        </w:rPr>
        <w:t>the language of inclusion and equal opportunity for all</w:t>
      </w:r>
      <w:r w:rsidRPr="00F933AF">
        <w:rPr>
          <w:rFonts w:cs="Calibri"/>
          <w:sz w:val="16"/>
        </w:rPr>
        <w:t xml:space="preserve">, a statement of official anti-racism and a prototype for the Reaganite version of the “nation of immigrants” trope. The passage of the INA, along with Johnson’s other race reform legislation—the Civil Rights Act of 1964 and the Voting Rights Act of 1965—were also obviously connected to civil rights, but this rhetoric also </w:t>
      </w:r>
      <w:r w:rsidRPr="00F933AF">
        <w:rPr>
          <w:rStyle w:val="StyleUnderline"/>
          <w:rFonts w:cs="Calibri"/>
        </w:rPr>
        <w:t>masked ongoing racial inequalities by disconnecting race from material conditions</w:t>
      </w:r>
      <w:r w:rsidRPr="00F933AF">
        <w:rPr>
          <w:rFonts w:cs="Calibri"/>
          <w:sz w:val="16"/>
        </w:rPr>
        <w:t xml:space="preserve">. That is, </w:t>
      </w:r>
      <w:r w:rsidRPr="00F933AF">
        <w:rPr>
          <w:rStyle w:val="StyleUnderline"/>
          <w:rFonts w:cs="Calibri"/>
        </w:rPr>
        <w:t>invisibility of race in law—“colorblindness”—became shorthand for equality for all subjects</w:t>
      </w:r>
      <w:r w:rsidRPr="00F933AF">
        <w:rPr>
          <w:rFonts w:cs="Calibri"/>
          <w:sz w:val="16"/>
        </w:rPr>
        <w:t xml:space="preserve">, and racism was reframed as an anomaly rather than a systemic problem. As critical race theorists have shown, in response to the civil rights movement’s exposure of the structural production and maintenance of white supremacy, the concept of colorblindness became the new dominant conduit of white supremacy; it severed racism from material conditions and reinvented antiracism as individual rights.106 </w:t>
      </w:r>
      <w:r w:rsidRPr="00F933AF">
        <w:rPr>
          <w:rStyle w:val="StyleUnderline"/>
          <w:rFonts w:cs="Calibri"/>
        </w:rPr>
        <w:t xml:space="preserve">Proof </w:t>
      </w:r>
      <w:r w:rsidRPr="00F933AF">
        <w:rPr>
          <w:rStyle w:val="Emphasis"/>
          <w:rFonts w:cs="Calibri"/>
        </w:rPr>
        <w:t>of ongoing white supremacy</w:t>
      </w:r>
      <w:r w:rsidRPr="00F933AF">
        <w:rPr>
          <w:rFonts w:cs="Calibri"/>
          <w:sz w:val="16"/>
        </w:rPr>
        <w:t xml:space="preserve"> </w:t>
      </w:r>
      <w:r w:rsidRPr="00F933AF">
        <w:rPr>
          <w:rStyle w:val="StyleUnderline"/>
          <w:rFonts w:cs="Calibri"/>
        </w:rPr>
        <w:t>was tangible</w:t>
      </w:r>
      <w:r w:rsidRPr="00F933AF">
        <w:rPr>
          <w:rFonts w:cs="Calibri"/>
          <w:sz w:val="16"/>
        </w:rPr>
        <w:t xml:space="preserve"> as proponents explicitly stated that the bill would not diversify the country much. As one sponsor of the bill, Representative Emanuel Celler (D-NY) put it, “There will not be, comparatively, many Asians or Africans entering this country. . . . Since the people of Africa and Asia have very few relatives here, comparatively few could immigrate [sic</w:t>
      </w:r>
      <w:proofErr w:type="gramStart"/>
      <w:r w:rsidRPr="00F933AF">
        <w:rPr>
          <w:rFonts w:cs="Calibri"/>
          <w:sz w:val="16"/>
        </w:rPr>
        <w:t>]from</w:t>
      </w:r>
      <w:proofErr w:type="gramEnd"/>
      <w:r w:rsidRPr="00F933AF">
        <w:rPr>
          <w:rFonts w:cs="Calibri"/>
          <w:sz w:val="16"/>
        </w:rPr>
        <w:t xml:space="preserve"> those countries because they have no family ties in the U.S”107 The INA was also connected also to the racial politics of the ethnic revival and the reconfiguration of white supremacy that they inaugurated. Matthew Jacobson shows how, in the 1960s and 1970s in response to the civil rights movement, the ethnic revival cast white ethnic immigrants and their descendants as the victims rather than the perpetrators of racism, canonizing a national narrative of hardworking Ellis Island immigrants who pulled themselves up by their bootstraps in order to succeed.108 This was </w:t>
      </w:r>
      <w:r w:rsidRPr="00F933AF">
        <w:rPr>
          <w:rStyle w:val="StyleUnderline"/>
          <w:rFonts w:cs="Calibri"/>
        </w:rPr>
        <w:t>the prototype for the “nation of immigrants”</w:t>
      </w:r>
      <w:r w:rsidRPr="00F933AF">
        <w:rPr>
          <w:rFonts w:cs="Calibri"/>
          <w:sz w:val="16"/>
        </w:rPr>
        <w:t xml:space="preserve"> trope of the 1980s. </w:t>
      </w:r>
      <w:r w:rsidRPr="00F933AF">
        <w:rPr>
          <w:rStyle w:val="StyleUnderline"/>
          <w:rFonts w:cs="Calibri"/>
        </w:rPr>
        <w:t>By allegedly overcoming ubiquitous poverty and racism with nothing but hard work and tenacity,</w:t>
      </w:r>
      <w:r w:rsidRPr="00F933AF">
        <w:rPr>
          <w:rFonts w:cs="Calibri"/>
          <w:sz w:val="16"/>
        </w:rPr>
        <w:t xml:space="preserve"> </w:t>
      </w:r>
      <w:r w:rsidRPr="00F933AF">
        <w:rPr>
          <w:rStyle w:val="StyleUnderline"/>
          <w:rFonts w:cs="Calibri"/>
        </w:rPr>
        <w:t>white ethnics became quintessential models of assimilation and self-sufficient upward mobility for immigrants and minorities at a moment when people of</w:t>
      </w:r>
      <w:r w:rsidRPr="00F933AF">
        <w:rPr>
          <w:rFonts w:cs="Calibri"/>
          <w:sz w:val="16"/>
        </w:rPr>
        <w:t xml:space="preserve"> Immigration as Emergency | 61 </w:t>
      </w:r>
      <w:r w:rsidRPr="00F933AF">
        <w:rPr>
          <w:rStyle w:val="StyleUnderline"/>
          <w:rFonts w:cs="Calibri"/>
        </w:rPr>
        <w:t xml:space="preserve">color were fighting for and gaining rights at unprecedented </w:t>
      </w:r>
      <w:r w:rsidRPr="00F933AF">
        <w:rPr>
          <w:rFonts w:cs="Calibri"/>
          <w:sz w:val="16"/>
        </w:rPr>
        <w:t xml:space="preserve">levels. Like the ascendant rhetoric of “colorblindness,” “diversity,” and soon “multiculturalism,” </w:t>
      </w:r>
      <w:r w:rsidRPr="00F933AF">
        <w:rPr>
          <w:rStyle w:val="StyleUnderline"/>
          <w:rFonts w:cs="Calibri"/>
        </w:rPr>
        <w:t>this new narrative</w:t>
      </w:r>
      <w:r w:rsidRPr="00F933AF">
        <w:rPr>
          <w:rFonts w:cs="Calibri"/>
          <w:sz w:val="16"/>
        </w:rPr>
        <w:t xml:space="preserve"> of national identity, which borrowed from the group identity politics of the civil rights movement, </w:t>
      </w:r>
      <w:r w:rsidRPr="00F933AF">
        <w:rPr>
          <w:rStyle w:val="Emphasis"/>
          <w:rFonts w:cs="Calibri"/>
        </w:rPr>
        <w:t>was deceptive</w:t>
      </w:r>
      <w:r w:rsidRPr="00F933AF">
        <w:rPr>
          <w:rFonts w:cs="Calibri"/>
          <w:sz w:val="16"/>
        </w:rPr>
        <w:t xml:space="preserve">. </w:t>
      </w:r>
      <w:r w:rsidRPr="00F933AF">
        <w:rPr>
          <w:rStyle w:val="Emphasis"/>
          <w:rFonts w:cs="Calibri"/>
        </w:rPr>
        <w:t>It occluded the structural racism that non-white minority groups had long been subject to and made success simply a matter of hard work.</w:t>
      </w:r>
      <w:r w:rsidRPr="00F933AF">
        <w:rPr>
          <w:rFonts w:cs="Calibri"/>
          <w:sz w:val="16"/>
        </w:rPr>
        <w:t xml:space="preserve"> Moreover, the economic assimilation of white ethnic immigrants occurred with a substantial amount of government aid. Civil rights politics eclipsed divisions among whites (codified with Johnson-Reed quotas) in a way that would not have occurred without the New Deal–era establishment of what David Roediger called “interimmigrant unities.” These unities were furthered in trade unions like the Congress of Industrial Organizations (CIO), and by New Deal mass politics and government aid programs such as welfare and Social Security, especially those that racialized federal aid policies, like a two-tier housing policy that served the working poor according to Jim Crow practices. Simultaneously, popular rhetoric characterized black Americans in need as “feckless” welfare seekers, whereas government support for private housing that “massively and deliberately benefitted white homeowners and white prospective buyers” was not viewed as welfare.109 Despite this </w:t>
      </w:r>
      <w:r w:rsidRPr="00F933AF">
        <w:rPr>
          <w:rStyle w:val="StyleUnderline"/>
          <w:rFonts w:cs="Calibri"/>
        </w:rPr>
        <w:t>federal aid given to white ethnic immigrants</w:t>
      </w:r>
      <w:r w:rsidRPr="00F933AF">
        <w:rPr>
          <w:rFonts w:cs="Calibri"/>
          <w:sz w:val="16"/>
        </w:rPr>
        <w:t xml:space="preserve">, turn-of-the century poverty and social stigmatization rationalized the disavowal of white privilege that characterized the ethnic revival, and </w:t>
      </w:r>
      <w:r w:rsidRPr="00F933AF">
        <w:rPr>
          <w:rStyle w:val="StyleUnderline"/>
          <w:rFonts w:cs="Calibri"/>
        </w:rPr>
        <w:t>legitimated white ethnic favoritism under the INA and later under IRCA</w:t>
      </w:r>
      <w:r w:rsidRPr="00F933AF">
        <w:rPr>
          <w:rFonts w:cs="Calibri"/>
          <w:sz w:val="16"/>
        </w:rPr>
        <w:t xml:space="preserve">. This was emphatically reflected in and informed by the culture at large. Thus, for example, Nathan Glazer and Patrick Moynihan claimed in Beyond the Melting Pot: The Negroes, Puerto Ricans, Jews, Italians, and Irish of New York City (1963) that ethnic groups such as “Negroes” and Puerto Ricans could achieve equal standing through organization and self-help because white ethnic European immigrants did, despite their failure to fully assimilate or “melt.” </w:t>
      </w:r>
      <w:r w:rsidRPr="00F933AF">
        <w:rPr>
          <w:rStyle w:val="StyleUnderline"/>
          <w:rFonts w:cs="Calibri"/>
        </w:rPr>
        <w:t>This assertion that people of color</w:t>
      </w:r>
      <w:r w:rsidRPr="00F933AF">
        <w:rPr>
          <w:rFonts w:cs="Calibri"/>
          <w:sz w:val="16"/>
        </w:rPr>
        <w:t xml:space="preserve">, like white groups, </w:t>
      </w:r>
      <w:r w:rsidRPr="00F933AF">
        <w:rPr>
          <w:rStyle w:val="StyleUnderline"/>
          <w:rFonts w:cs="Calibri"/>
        </w:rPr>
        <w:t>could achieve equality with organization and self-help erased the racial hierarchies of privilege and power that slavery, colonialism, immigration policy, and government aid policy had produced</w:t>
      </w:r>
      <w:r w:rsidRPr="00F933AF">
        <w:rPr>
          <w:rFonts w:cs="Calibri"/>
          <w:sz w:val="16"/>
        </w:rPr>
        <w:t xml:space="preserve">. Along similar lines, in 1971, Michael Novak asserted in Unmeltable Ethnics: Politics and Culture in American Life that the most salient quality of white ethnic sensibility was that white ethnics do not have white privilege. In the spirit of civil rights identity politics, he advocated the formation of ethnically specific left coalitions to tackle subjective conditions. In his view, white Anglo Saxon Protestants (WASPs) were the shared enemy of both people of color and white ethnics. He also emphatically opposed modernism, capitalism, and intellectualism. Other similarly themed books such as Andrew Greely’s Why 62 | Immigration as </w:t>
      </w:r>
      <w:proofErr w:type="gramStart"/>
      <w:r w:rsidRPr="00F933AF">
        <w:rPr>
          <w:rFonts w:cs="Calibri"/>
          <w:sz w:val="16"/>
        </w:rPr>
        <w:t>Emergency Can’t They Be Like</w:t>
      </w:r>
      <w:proofErr w:type="gramEnd"/>
      <w:r w:rsidRPr="00F933AF">
        <w:rPr>
          <w:rFonts w:cs="Calibri"/>
          <w:sz w:val="16"/>
        </w:rPr>
        <w:t xml:space="preserve"> Us? Facts and Fallacies about Ethnic Differences and Group Conflicts in America (1969) and Richard Gambino’s Blood of My Blood (1974), which focused exclusively on Italian Americans, were popular at the time. Despite the initial left leanings of ethnic revival discourse, neoconservatives appropriated it to support the erosion of the welfare state. Beyond the Melting Pot and Unmeltable Ethnics became foundational texts for neoconservative opposition to affirmative action, and Novak moved to the Right, joining the American Enterprise Institute in 1978. In short, as in the case of INA, an inaccurate understanding of white ethnic self-sufficiency was extolled to justify white privilege. Later, in the 1980s, that same fictive self-sufficiency was invoked to justify the denial of public services to people of color according to the logic that says “they” are poor because they fail to take personal responsibility. Given that white ethnics provided </w:t>
      </w:r>
      <w:r w:rsidRPr="00F933AF">
        <w:rPr>
          <w:rStyle w:val="StyleUnderline"/>
          <w:rFonts w:cs="Calibri"/>
        </w:rPr>
        <w:t>the prototype for the “nation of immigrants” trope</w:t>
      </w:r>
      <w:r w:rsidRPr="00F933AF">
        <w:rPr>
          <w:rFonts w:cs="Calibri"/>
          <w:sz w:val="16"/>
        </w:rPr>
        <w:t xml:space="preserve">, racialized exclusion </w:t>
      </w:r>
      <w:r w:rsidRPr="00F933AF">
        <w:rPr>
          <w:rStyle w:val="StyleUnderline"/>
          <w:rFonts w:cs="Calibri"/>
        </w:rPr>
        <w:t>was built</w:t>
      </w:r>
      <w:r w:rsidRPr="00F933AF">
        <w:rPr>
          <w:rFonts w:cs="Calibri"/>
          <w:sz w:val="16"/>
        </w:rPr>
        <w:t xml:space="preserve"> into an allegedly inclusive national narrative. The INA’s connections with the ethnic revival were explicit: lawmakers “intended to redress the grievances of European ethnic groups and to give more than token representation to Asians.”110 President Johnson said that the reforms of 1965 were supposed to amend the wrong done to persons from “southern and eastern Europe” in the 1920s by restrictive quotas.111 As in earlier legislation, spouses and the children of immigrants were exempted from restrictions, and a new emphasis on kin-based immigration was established with a fifth preference category for adult siblings of U.S. citizens. These updated family reunification provisions favored groups already present—not coincidentally, white groups that had economically assimilated—within a framework that made heterosexual kinship arrangements a conduit of immigrant racial formation. As with the McCarran-Walter Act, it was assumed that Asian Pacific populations would not increase much under this legislation because not many were present given decades of Asian exclusion; they would presumably not have much family to reunify, but white ethnics would.112 </w:t>
      </w:r>
      <w:r w:rsidRPr="00F933AF">
        <w:rPr>
          <w:rStyle w:val="StyleUnderline"/>
          <w:rFonts w:cs="Calibri"/>
        </w:rPr>
        <w:t>The INA</w:t>
      </w:r>
      <w:r w:rsidRPr="00F933AF">
        <w:rPr>
          <w:rFonts w:cs="Calibri"/>
          <w:sz w:val="16"/>
        </w:rPr>
        <w:t xml:space="preserve"> was thus designed to function like the national origins system, </w:t>
      </w:r>
      <w:r w:rsidRPr="00F933AF">
        <w:rPr>
          <w:rStyle w:val="StyleUnderline"/>
          <w:rFonts w:cs="Calibri"/>
        </w:rPr>
        <w:t>encouraging migration among “desirable” racial and ethnic groups while discouraging it among “undesirable” groups.</w:t>
      </w:r>
      <w:r w:rsidRPr="00F933AF">
        <w:rPr>
          <w:rFonts w:cs="Calibri"/>
          <w:sz w:val="16"/>
        </w:rPr>
        <w:t xml:space="preserve"> Although some Irish and eastern and southern European immigrants entered under the INA, the decline in European immigration continued. </w:t>
      </w:r>
      <w:r w:rsidRPr="00F933AF">
        <w:rPr>
          <w:rStyle w:val="StyleUnderline"/>
          <w:rFonts w:cs="Calibri"/>
        </w:rPr>
        <w:t>European countries became immigrant destinations as Europe’s economies began to thrive</w:t>
      </w:r>
      <w:r w:rsidRPr="00F933AF">
        <w:rPr>
          <w:rFonts w:cs="Calibri"/>
          <w:sz w:val="16"/>
        </w:rPr>
        <w:t xml:space="preserve"> in the 1960s. “</w:t>
      </w:r>
      <w:r w:rsidRPr="00F933AF">
        <w:rPr>
          <w:rStyle w:val="Emphasis"/>
          <w:rFonts w:cs="Calibri"/>
        </w:rPr>
        <w:t>Likely to Become a Public Charge</w:t>
      </w:r>
      <w:r w:rsidRPr="00F933AF">
        <w:rPr>
          <w:rFonts w:cs="Calibri"/>
          <w:sz w:val="16"/>
        </w:rPr>
        <w:t xml:space="preserve">” (LPC) </w:t>
      </w:r>
      <w:r w:rsidRPr="00F933AF">
        <w:rPr>
          <w:rStyle w:val="StyleUnderline"/>
          <w:rFonts w:cs="Calibri"/>
        </w:rPr>
        <w:t>and other restrictions</w:t>
      </w:r>
      <w:r w:rsidRPr="00F933AF">
        <w:rPr>
          <w:rFonts w:cs="Calibri"/>
          <w:sz w:val="16"/>
        </w:rPr>
        <w:t xml:space="preserve"> along with Cold War </w:t>
      </w:r>
      <w:r w:rsidRPr="00F933AF">
        <w:rPr>
          <w:rStyle w:val="StyleUnderline"/>
          <w:rFonts w:cs="Calibri"/>
        </w:rPr>
        <w:t>controls also kept western and eastern European immigration to a minimum</w:t>
      </w:r>
      <w:r w:rsidRPr="00F933AF">
        <w:rPr>
          <w:rFonts w:cs="Calibri"/>
          <w:sz w:val="16"/>
        </w:rPr>
        <w:t xml:space="preserve">. By the mid-1970s the European family reunification backlog was resolved.113 Thus by 1980, over four-fifths of legal immigrants came from Latin America or Asia (see figure 1.1). Immigration as Emergency | 63 </w:t>
      </w:r>
      <w:proofErr w:type="gramStart"/>
      <w:r w:rsidRPr="00F933AF">
        <w:rPr>
          <w:rFonts w:cs="Calibri"/>
          <w:sz w:val="16"/>
        </w:rPr>
        <w:t>In</w:t>
      </w:r>
      <w:proofErr w:type="gramEnd"/>
      <w:r w:rsidRPr="00F933AF">
        <w:rPr>
          <w:rFonts w:cs="Calibri"/>
          <w:sz w:val="16"/>
        </w:rPr>
        <w:t xml:space="preserve"> part, this can be attributed to chain migration. When siblings’ spouses naturalized, they utilized immediate family preferences, and this continued with other immediate family members. Under the INA, overall exempt admissions increased from 50,000 to 150,000 in 1980.114 Immigrants from nonEuropean countries were more likely to utilize family reunification provisions since their backlog was unresolved. The demographic changes INA engendered hence led to a nativist fixation on family reunification in the 1980s, as can be clearly seen in the SCIRP and IEA debates. In its final sessions, SCIRP debated family reunification, and family became the center of the first round of IRCA debates and the “immigration emergency” and “nation of immigrants” dance. There was no mistaking that those most impacted by policy would be Asian and Latin American immigrant groups. As Representative Hamilton Fish IV (R-NY) reminded the floor, “So it is going to be China and India and the Philippines and Korea and the Dominican Republic and Mexico and Cuba and Columbia. That is going to be the next generation of immigrants into the United States through our family reunification policy, because people who have been here for 40 or 60 years do not have parents and spouses and children abroad.”115 Many lawmakers were alarmed by this prospect, perhaps none more than Simpson. It is thus no surprise that, as will be described in the next chapter, Simpson proposed several restrictions to family reunification in the first draft of IRCA.</w:t>
      </w:r>
    </w:p>
    <w:p w:rsidR="00CE6D10" w:rsidRPr="00F933AF" w:rsidRDefault="00CE6D10" w:rsidP="00CE6D10">
      <w:pPr>
        <w:rPr>
          <w:rFonts w:cs="Calibri"/>
        </w:rPr>
      </w:pPr>
    </w:p>
    <w:p w:rsidR="00E21E86" w:rsidRPr="00F933AF" w:rsidRDefault="00E21E86" w:rsidP="00E21E86">
      <w:pPr>
        <w:pStyle w:val="Heading3"/>
        <w:rPr>
          <w:rFonts w:cs="Calibri"/>
        </w:rPr>
      </w:pPr>
      <w:r w:rsidRPr="00F933AF">
        <w:rPr>
          <w:rFonts w:cs="Calibri"/>
        </w:rPr>
        <w:t>Link – Biopower</w:t>
      </w:r>
    </w:p>
    <w:p w:rsidR="00E21E86" w:rsidRPr="00F933AF" w:rsidRDefault="00E21E86" w:rsidP="00E21E86">
      <w:pPr>
        <w:pStyle w:val="Heading4"/>
        <w:rPr>
          <w:rFonts w:cs="Calibri"/>
        </w:rPr>
      </w:pPr>
      <w:r w:rsidRPr="00F933AF">
        <w:rPr>
          <w:rFonts w:cs="Calibri"/>
        </w:rPr>
        <w:t xml:space="preserve">The medicalization and institutionalization of the disabled subject is rooted in biopower—through the creation of a carceral archipelago, the Sovereign has deemed disabled bodies “unproductive,” suspending them access to governance that enables life. The aff investment of hope in juridical conceptions like the social model only obscures the productive and subtle machinations of biopower, reincorporating oppressed populations into a disciplinary regime </w:t>
      </w:r>
    </w:p>
    <w:p w:rsidR="00E21E86" w:rsidRPr="00F933AF" w:rsidRDefault="00E21E86" w:rsidP="00E21E86">
      <w:pPr>
        <w:rPr>
          <w:rFonts w:cs="Calibri"/>
        </w:rPr>
      </w:pPr>
      <w:r w:rsidRPr="00F933AF">
        <w:rPr>
          <w:rFonts w:cs="Calibri"/>
          <w:b/>
        </w:rPr>
        <w:t xml:space="preserve">Tremain 15 </w:t>
      </w:r>
      <w:r w:rsidRPr="00F933AF">
        <w:rPr>
          <w:rFonts w:cs="Calibri"/>
          <w:sz w:val="18"/>
          <w:szCs w:val="18"/>
        </w:rPr>
        <w:t xml:space="preserve">(Shelley Lynn Tremain, Project Muse, “Foucault and the Government of Disability,” Critical Disability Theory </w:t>
      </w:r>
      <w:proofErr w:type="gramStart"/>
      <w:r w:rsidRPr="00F933AF">
        <w:rPr>
          <w:rFonts w:cs="Calibri"/>
          <w:sz w:val="18"/>
          <w:szCs w:val="18"/>
        </w:rPr>
        <w:t>With</w:t>
      </w:r>
      <w:proofErr w:type="gramEnd"/>
      <w:r w:rsidRPr="00F933AF">
        <w:rPr>
          <w:rFonts w:cs="Calibri"/>
          <w:sz w:val="18"/>
          <w:szCs w:val="18"/>
        </w:rPr>
        <w:t xml:space="preserve"> Foucault, pg. 12-15, 2015)//jy</w:t>
      </w:r>
    </w:p>
    <w:p w:rsidR="00E21E86" w:rsidRPr="00F933AF" w:rsidRDefault="00E21E86" w:rsidP="00E21E86">
      <w:pPr>
        <w:rPr>
          <w:rFonts w:cs="Calibri"/>
          <w:b/>
          <w:u w:val="single"/>
        </w:rPr>
      </w:pPr>
      <w:r w:rsidRPr="00F933AF">
        <w:rPr>
          <w:rFonts w:cs="Calibri"/>
          <w:sz w:val="12"/>
        </w:rPr>
        <w:t xml:space="preserve">From Aristotle to Locke and Rousseau, and on to Rawls, political philosophy has concerned itself with questions about legitimation and sovereignty. What are the foundations of legitimate rule? What is the nature of sovereignty? What is the most just form of government? On what grounds can rights be based? Although Foucault did not reject outright the significance of these questions for political thinking, he did refuse the idea of primal, or natural, rights that is presupposed by the juridical conceptions of political power from which these questions arise. </w:t>
      </w:r>
      <w:r w:rsidRPr="00F933AF">
        <w:rPr>
          <w:rFonts w:cs="Calibri"/>
          <w:u w:val="single"/>
        </w:rPr>
        <w:t>In</w:t>
      </w:r>
      <w:r w:rsidRPr="00F933AF">
        <w:rPr>
          <w:rFonts w:cs="Calibri"/>
          <w:sz w:val="12"/>
        </w:rPr>
        <w:t xml:space="preserve"> the terms of </w:t>
      </w:r>
      <w:r w:rsidRPr="00F933AF">
        <w:rPr>
          <w:rFonts w:cs="Calibri"/>
          <w:u w:val="single"/>
        </w:rPr>
        <w:t>juridical conceptions, the individual possesses power</w:t>
      </w:r>
      <w:r w:rsidRPr="00F933AF">
        <w:rPr>
          <w:rFonts w:cs="Calibri"/>
          <w:sz w:val="12"/>
        </w:rPr>
        <w:t xml:space="preserve"> (as one would possess a commodity) </w:t>
      </w:r>
      <w:r w:rsidRPr="00F933AF">
        <w:rPr>
          <w:rFonts w:cs="Calibri"/>
          <w:u w:val="single"/>
        </w:rPr>
        <w:t>in the form of inherent, inalienable rights, the transfer or surrender of which</w:t>
      </w:r>
      <w:r w:rsidRPr="00F933AF">
        <w:rPr>
          <w:rFonts w:cs="Calibri"/>
          <w:sz w:val="12"/>
        </w:rPr>
        <w:t xml:space="preserve"> (through a juridical act or a contract) </w:t>
      </w:r>
      <w:r w:rsidRPr="00F933AF">
        <w:rPr>
          <w:rFonts w:cs="Calibri"/>
          <w:u w:val="single"/>
        </w:rPr>
        <w:t>constitutes a sovereign</w:t>
      </w:r>
      <w:r w:rsidRPr="00F933AF">
        <w:rPr>
          <w:rFonts w:cs="Calibri"/>
          <w:sz w:val="12"/>
        </w:rPr>
        <w:t xml:space="preserve">. In his lecture of January 7, 1976, Foucault argued to the contrary that </w:t>
      </w:r>
      <w:r w:rsidRPr="00F933AF">
        <w:rPr>
          <w:rFonts w:cs="Calibri"/>
          <w:u w:val="single"/>
        </w:rPr>
        <w:t>power is not something that is exchanged, given, or taken back, but rather is exercised and exists only in action</w:t>
      </w:r>
      <w:r w:rsidRPr="00F933AF">
        <w:rPr>
          <w:rFonts w:cs="Calibri"/>
          <w:sz w:val="12"/>
        </w:rPr>
        <w:t xml:space="preserve">. In addition, </w:t>
      </w:r>
      <w:r w:rsidRPr="00F933AF">
        <w:rPr>
          <w:rFonts w:cs="Calibri"/>
          <w:u w:val="single"/>
        </w:rPr>
        <w:t>Foucault disputed the assumption of</w:t>
      </w:r>
      <w:r w:rsidRPr="00F933AF">
        <w:rPr>
          <w:rFonts w:cs="Calibri"/>
          <w:sz w:val="12"/>
        </w:rPr>
        <w:t xml:space="preserve"> many </w:t>
      </w:r>
      <w:r w:rsidRPr="00F933AF">
        <w:rPr>
          <w:rFonts w:cs="Calibri"/>
          <w:u w:val="single"/>
        </w:rPr>
        <w:t xml:space="preserve">juridical conceptions that posits that power is fundamentally repressive. </w:t>
      </w:r>
      <w:r w:rsidRPr="00F933AF">
        <w:rPr>
          <w:rFonts w:cs="Calibri"/>
          <w:sz w:val="12"/>
        </w:rPr>
        <w:t xml:space="preserve">Though consensus and violence are the instruments or results of power, he remarked, they do not amount to its essential nature (2003a, Foucault, Governmentality, and Critical Disability • 13 2RPP 13). As he put it, “The exercise of power can produce as much acceptance as may be wished for: it can pile up the dead and shelter itself behind whatever threats it can imagine. </w:t>
      </w:r>
      <w:r w:rsidRPr="00F933AF">
        <w:rPr>
          <w:rFonts w:cs="Calibri"/>
          <w:u w:val="single"/>
        </w:rPr>
        <w:t>In itself the exercise of power is not violence; nor is it a consent, which, implicitly, is renewable</w:t>
      </w:r>
      <w:r w:rsidRPr="00F933AF">
        <w:rPr>
          <w:rFonts w:cs="Calibri"/>
          <w:sz w:val="12"/>
        </w:rPr>
        <w:t xml:space="preserve">” (Foucault 1982, 220). For Foucault, the question that political philosophy should ask about power is this: How, that is, by what means, is it exercised? (217). Indeed, one of the most original features of Foucault’s analysis is the idea that </w:t>
      </w:r>
      <w:r w:rsidRPr="00F933AF">
        <w:rPr>
          <w:rFonts w:cs="Calibri"/>
          <w:u w:val="single"/>
        </w:rPr>
        <w:t>power functions best when it is exercised through productive constraints, that is, when it enables subjects to act in order to constrain them</w:t>
      </w:r>
      <w:r w:rsidRPr="00F933AF">
        <w:rPr>
          <w:rFonts w:cs="Calibri"/>
          <w:sz w:val="12"/>
        </w:rPr>
        <w:t xml:space="preserve"> (Tremain 2001, 2002). He argued, furthermore, that the continued preoccupation with </w:t>
      </w:r>
      <w:r w:rsidRPr="00F933AF">
        <w:rPr>
          <w:rFonts w:cs="Calibri"/>
          <w:b/>
          <w:u w:val="single"/>
        </w:rPr>
        <w:t>juridical conceptions of power in modern political philosophy has obscured the productive capacity and subtle machinations of</w:t>
      </w:r>
      <w:r w:rsidRPr="00F933AF">
        <w:rPr>
          <w:rFonts w:cs="Calibri"/>
          <w:u w:val="single"/>
        </w:rPr>
        <w:t xml:space="preserve"> </w:t>
      </w:r>
      <w:r w:rsidRPr="00F933AF">
        <w:rPr>
          <w:rFonts w:cs="Calibri"/>
          <w:sz w:val="12"/>
        </w:rPr>
        <w:t xml:space="preserve">a form of power that began to coalesce at the end of the eighteenth century, namely, </w:t>
      </w:r>
      <w:r w:rsidRPr="00F933AF">
        <w:rPr>
          <w:rFonts w:cs="Calibri"/>
          <w:b/>
          <w:u w:val="single"/>
        </w:rPr>
        <w:t>biopower</w:t>
      </w:r>
      <w:r w:rsidRPr="00F933AF">
        <w:rPr>
          <w:rFonts w:cs="Calibri"/>
          <w:u w:val="single"/>
        </w:rPr>
        <w:t xml:space="preserve">. </w:t>
      </w:r>
      <w:r w:rsidRPr="00F933AF">
        <w:rPr>
          <w:rFonts w:cs="Calibri"/>
          <w:sz w:val="12"/>
        </w:rPr>
        <w:t xml:space="preserve">This new technology of power—this biopower—that emerges in the second half of the eighteenth century takes as its object life itself, the life of the human qua living being, that is, the life of the human insofar as it is a living being. In his lecture of March 17, 1976, Foucault remarked that this new technology of power, this biopower, this biopolitics that begins to establish itself in the late eighteenth century, involves a set of </w:t>
      </w:r>
      <w:r w:rsidRPr="00F933AF">
        <w:rPr>
          <w:rFonts w:cs="Calibri"/>
          <w:u w:val="single"/>
        </w:rPr>
        <w:t>measurements such as the ratio of births to deaths, the rate of reproduction, and the fertility of a population</w:t>
      </w:r>
      <w:r w:rsidRPr="00F933AF">
        <w:rPr>
          <w:rFonts w:cs="Calibri"/>
          <w:sz w:val="12"/>
        </w:rPr>
        <w:t xml:space="preserve">. These processes, </w:t>
      </w:r>
      <w:r w:rsidRPr="00F933AF">
        <w:rPr>
          <w:rFonts w:cs="Calibri"/>
          <w:u w:val="single"/>
        </w:rPr>
        <w:t>together with a whole set of related economic and political problems, become biopower’s first objects of knowledge and the targets that it seeks to control.</w:t>
      </w:r>
      <w:r w:rsidRPr="00F933AF">
        <w:rPr>
          <w:rFonts w:cs="Calibri"/>
          <w:sz w:val="12"/>
        </w:rPr>
        <w:t xml:space="preserve"> It was in this historical moment, Foucault noted, that the first demographers began to measure these phenomena in statistical terms. </w:t>
      </w:r>
      <w:r w:rsidRPr="00F933AF">
        <w:rPr>
          <w:rFonts w:cs="Calibri"/>
          <w:u w:val="single"/>
        </w:rPr>
        <w:t>As these phenomena began</w:t>
      </w:r>
      <w:r w:rsidRPr="00F933AF">
        <w:rPr>
          <w:rFonts w:cs="Calibri"/>
          <w:sz w:val="12"/>
        </w:rPr>
        <w:t xml:space="preserve"> to be taken into account,</w:t>
      </w:r>
      <w:r w:rsidRPr="00F933AF">
        <w:rPr>
          <w:rFonts w:cs="Calibri"/>
          <w:u w:val="single"/>
        </w:rPr>
        <w:t xml:space="preserve"> a new type of medicine developed, whose main function was public hygiene and whose institutions centralized the power of the new medicine, normalized its knowledge, and coordinated the care that is distributed under its auspices.</w:t>
      </w:r>
      <w:r w:rsidRPr="00F933AF">
        <w:rPr>
          <w:rFonts w:cs="Calibri"/>
          <w:sz w:val="12"/>
        </w:rPr>
        <w:t xml:space="preserve"> There were campaigns to educate the public and medicalize the population. In order </w:t>
      </w:r>
      <w:r w:rsidRPr="00F933AF">
        <w:rPr>
          <w:rFonts w:cs="Calibri"/>
          <w:u w:val="single"/>
        </w:rPr>
        <w:t>to deal with accidents, illnesses, and various anomalies, biopower established charitable institutions and economically rational mechanisms such as insurance, individual and collective savings, and safety measures</w:t>
      </w:r>
      <w:r w:rsidRPr="00F933AF">
        <w:rPr>
          <w:rFonts w:cs="Calibri"/>
          <w:sz w:val="12"/>
        </w:rPr>
        <w:t>. Since the phenomena with which this biopolitics (this biopower) was concerned became pertinent only on a mass level, constants that pertained to the collective had to be established. In this regard, biopolitics involves the introduction of mechanisms whose functions include forecasts, statistical estimates, and overall measures, and whose purpose is to intervene at the level of generality 14 • Foucault and the Government of Disability 2RPP of these phenomena. Regulatory mechanisms are put into place that prescribe norms, adjust to an equilibrium, maintain an average, and compensate for variations within the “general population,” a group of living human beings whose constitution as a “population” is in large part due to this form of power, and especially to the surveillance of “sex” that it requires. In addition, security mechanisms partition the random element of populations from the collective at large in order to maximize the conditions conducive to life (Foucault 2003b, 238–63). In volume 1 of The History of Sexuality (1978), Foucault explained the rationale behind biopower’s normalizing strategies: [</w:t>
      </w:r>
      <w:r w:rsidRPr="00F933AF">
        <w:rPr>
          <w:rFonts w:cs="Calibri"/>
          <w:u w:val="single"/>
        </w:rPr>
        <w:t>A] power whose task is to take charge of life needs continuous regulatory and corrective mechanisms. . . . Such a power has to qualify, measure, appraise, and hierarchize, rather than display itself in its murderous splendor; it does not have to draw the line that separates the enemies of the sovereign from his obedient subjects</w:t>
      </w:r>
      <w:r w:rsidRPr="00F933AF">
        <w:rPr>
          <w:rFonts w:cs="Calibri"/>
          <w:sz w:val="12"/>
        </w:rPr>
        <w:t xml:space="preserve">; .  .  .  </w:t>
      </w:r>
      <w:proofErr w:type="gramStart"/>
      <w:r w:rsidRPr="00F933AF">
        <w:rPr>
          <w:rFonts w:cs="Calibri"/>
          <w:sz w:val="12"/>
        </w:rPr>
        <w:t>it</w:t>
      </w:r>
      <w:proofErr w:type="gramEnd"/>
      <w:r w:rsidRPr="00F933AF">
        <w:rPr>
          <w:rFonts w:cs="Calibri"/>
          <w:sz w:val="12"/>
        </w:rPr>
        <w:t xml:space="preserve"> effects distributions around the norm.  .  .  . [</w:t>
      </w:r>
      <w:r w:rsidRPr="00F933AF">
        <w:rPr>
          <w:rFonts w:cs="Calibri"/>
          <w:u w:val="single"/>
        </w:rPr>
        <w:t>T]he law operates more and more as a norm, and . . . the juridical institution is increasingly incorporated into a continuum of apparatuses (medical, administrative, and so on) whose functions are for the most part regulatory</w:t>
      </w:r>
      <w:r w:rsidRPr="00F933AF">
        <w:rPr>
          <w:rFonts w:cs="Calibri"/>
          <w:sz w:val="12"/>
        </w:rPr>
        <w:t xml:space="preserve">. A normalizing society is the historical outcome of a technology of power centered on life. (144) As the first edition of Foucault and the Government of Disability demonstrated, </w:t>
      </w:r>
      <w:r w:rsidRPr="00F933AF">
        <w:rPr>
          <w:rFonts w:cs="Calibri"/>
          <w:b/>
          <w:u w:val="single"/>
        </w:rPr>
        <w:t>the importance of</w:t>
      </w:r>
      <w:r w:rsidRPr="00F933AF">
        <w:rPr>
          <w:rFonts w:cs="Calibri"/>
          <w:sz w:val="12"/>
        </w:rPr>
        <w:t xml:space="preserve"> critical work on </w:t>
      </w:r>
      <w:r w:rsidRPr="00F933AF">
        <w:rPr>
          <w:rFonts w:cs="Calibri"/>
          <w:b/>
          <w:u w:val="single"/>
        </w:rPr>
        <w:t>biopower</w:t>
      </w:r>
      <w:r w:rsidRPr="00F933AF">
        <w:rPr>
          <w:rFonts w:cs="Calibri"/>
          <w:u w:val="single"/>
        </w:rPr>
        <w:t xml:space="preserve"> </w:t>
      </w:r>
      <w:r w:rsidRPr="00F933AF">
        <w:rPr>
          <w:rFonts w:cs="Calibri"/>
          <w:sz w:val="12"/>
        </w:rPr>
        <w:t xml:space="preserve">(biopolitics) </w:t>
      </w:r>
      <w:r w:rsidRPr="00F933AF">
        <w:rPr>
          <w:rFonts w:cs="Calibri"/>
          <w:b/>
          <w:u w:val="single"/>
        </w:rPr>
        <w:t>to analyses of disability should not be underestimated.</w:t>
      </w:r>
      <w:r w:rsidRPr="00F933AF">
        <w:rPr>
          <w:rFonts w:cs="Calibri"/>
          <w:sz w:val="12"/>
        </w:rPr>
        <w:t xml:space="preserve"> For during the past two centuries, in particular</w:t>
      </w:r>
      <w:r w:rsidRPr="00F933AF">
        <w:rPr>
          <w:rFonts w:cs="Calibri"/>
          <w:u w:val="single"/>
        </w:rPr>
        <w:t>, a vast apparatus, erected to secure the well-being of the general population, has caused the contemporary disabled subject to emerge into discourse and social existence</w:t>
      </w:r>
      <w:r w:rsidRPr="00F933AF">
        <w:rPr>
          <w:rFonts w:cs="Calibri"/>
          <w:sz w:val="12"/>
        </w:rPr>
        <w:t xml:space="preserve">. Among the items that have comprised this expansive apparatus are </w:t>
      </w:r>
      <w:r w:rsidRPr="00F933AF">
        <w:rPr>
          <w:rFonts w:cs="Calibri"/>
          <w:u w:val="single"/>
        </w:rPr>
        <w:t>asylums, income support programs, quality of life assessments, workers’ compensation benefits,</w:t>
      </w:r>
      <w:r w:rsidRPr="00F933AF">
        <w:rPr>
          <w:rFonts w:cs="Calibri"/>
          <w:sz w:val="12"/>
        </w:rPr>
        <w:t xml:space="preserve"> special education programs, regimes of rehabilitation, parallel transit systems, prostheses, home care services, telethons, sheltered workshops, poster child campaigns</w:t>
      </w:r>
      <w:r w:rsidRPr="00F933AF">
        <w:rPr>
          <w:rFonts w:cs="Calibri"/>
          <w:u w:val="single"/>
        </w:rPr>
        <w:t>, and</w:t>
      </w:r>
      <w:r w:rsidRPr="00F933AF">
        <w:rPr>
          <w:rFonts w:cs="Calibri"/>
          <w:sz w:val="12"/>
        </w:rPr>
        <w:t xml:space="preserve"> prenatal diagnosis. These (and a host of </w:t>
      </w:r>
      <w:r w:rsidRPr="00F933AF">
        <w:rPr>
          <w:rFonts w:cs="Calibri"/>
          <w:u w:val="single"/>
        </w:rPr>
        <w:t>other) practices</w:t>
      </w:r>
      <w:r w:rsidRPr="00F933AF">
        <w:rPr>
          <w:rFonts w:cs="Calibri"/>
          <w:sz w:val="12"/>
        </w:rPr>
        <w:t xml:space="preserve">, procedures, and policies </w:t>
      </w:r>
      <w:r w:rsidRPr="00F933AF">
        <w:rPr>
          <w:rFonts w:cs="Calibri"/>
          <w:u w:val="single"/>
        </w:rPr>
        <w:t>have created,</w:t>
      </w:r>
      <w:r w:rsidRPr="00F933AF">
        <w:rPr>
          <w:rFonts w:cs="Calibri"/>
          <w:sz w:val="12"/>
        </w:rPr>
        <w:t xml:space="preserve"> classified, codified, managed, </w:t>
      </w:r>
      <w:r w:rsidRPr="00F933AF">
        <w:rPr>
          <w:rFonts w:cs="Calibri"/>
          <w:u w:val="single"/>
        </w:rPr>
        <w:t>and controlled social anomalies through which some people have been divided from others and objectivized as</w:t>
      </w:r>
      <w:r w:rsidRPr="00F933AF">
        <w:rPr>
          <w:rFonts w:cs="Calibri"/>
          <w:sz w:val="12"/>
        </w:rPr>
        <w:t xml:space="preserve"> (for instance) </w:t>
      </w:r>
      <w:r w:rsidRPr="00F933AF">
        <w:rPr>
          <w:rFonts w:cs="Calibri"/>
          <w:u w:val="single"/>
        </w:rPr>
        <w:t>physically impaired, insane, handicapped, mentally ill, retarded, or deaf</w:t>
      </w:r>
      <w:r w:rsidRPr="00F933AF">
        <w:rPr>
          <w:rFonts w:cs="Calibri"/>
          <w:sz w:val="12"/>
        </w:rPr>
        <w:t xml:space="preserve">. Foucault argued that, in recent times, </w:t>
      </w:r>
      <w:r w:rsidRPr="00F933AF">
        <w:rPr>
          <w:rFonts w:cs="Calibri"/>
          <w:b/>
          <w:u w:val="single"/>
        </w:rPr>
        <w:t>practices of division, classification, and ordering around a norm have become the primary means by which people are individualized, come to be understood scientifically, and even come to understand themselves in this mode.</w:t>
      </w:r>
    </w:p>
    <w:p w:rsidR="00E21E86" w:rsidRPr="00F933AF" w:rsidRDefault="00E21E86" w:rsidP="00E21E86">
      <w:pPr>
        <w:rPr>
          <w:rStyle w:val="Style13ptBold"/>
          <w:rFonts w:cs="Calibri"/>
        </w:rPr>
      </w:pPr>
    </w:p>
    <w:p w:rsidR="00E21E86" w:rsidRPr="00F933AF" w:rsidRDefault="00E21E86" w:rsidP="00E21E86">
      <w:pPr>
        <w:pStyle w:val="Heading4"/>
        <w:rPr>
          <w:rStyle w:val="Style13ptBold"/>
          <w:rFonts w:cs="Calibri"/>
          <w:b/>
        </w:rPr>
      </w:pPr>
      <w:r w:rsidRPr="00F933AF">
        <w:rPr>
          <w:rStyle w:val="Style13ptBold"/>
          <w:rFonts w:cs="Calibri"/>
          <w:b/>
        </w:rPr>
        <w:t xml:space="preserve">The ableism in biopolitical power is not political, but a network of thought that can never be addressed by the law or political change – questioning the negative ontology of disability is a prior question </w:t>
      </w:r>
    </w:p>
    <w:p w:rsidR="00E21E86" w:rsidRPr="00F933AF" w:rsidRDefault="00E21E86" w:rsidP="00E21E86">
      <w:pPr>
        <w:rPr>
          <w:rFonts w:cs="Calibri"/>
          <w:sz w:val="20"/>
          <w:szCs w:val="20"/>
        </w:rPr>
      </w:pPr>
      <w:r w:rsidRPr="00F933AF">
        <w:rPr>
          <w:rStyle w:val="Style13ptBold"/>
          <w:rFonts w:cs="Calibri"/>
        </w:rPr>
        <w:t xml:space="preserve">Campbell 01 </w:t>
      </w:r>
      <w:r w:rsidRPr="00F933AF">
        <w:rPr>
          <w:rStyle w:val="Style13ptBold"/>
          <w:rFonts w:cs="Calibri"/>
          <w:b w:val="0"/>
          <w:sz w:val="16"/>
          <w:szCs w:val="16"/>
        </w:rPr>
        <w:t xml:space="preserve">Fiona K- </w:t>
      </w:r>
      <w:r w:rsidRPr="00F933AF">
        <w:rPr>
          <w:rFonts w:cs="Calibri"/>
          <w:sz w:val="16"/>
          <w:szCs w:val="16"/>
        </w:rPr>
        <w:t>PhD Candidate, Faculty of Creative Industries, Queensland University of Technology and Sessional Lecturer, School of Human Services, Griffith University.</w:t>
      </w:r>
      <w:r w:rsidRPr="00F933AF">
        <w:rPr>
          <w:rFonts w:cs="Calibri"/>
          <w:color w:val="222222"/>
          <w:sz w:val="16"/>
          <w:szCs w:val="16"/>
          <w:shd w:val="clear" w:color="auto" w:fill="FFFFFF"/>
        </w:rPr>
        <w:t xml:space="preserve"> “Inciting Legal Fictions: ‘Disability’s’ Date with Ontology and the Ableist Body of Law” Griffith Law Review 2001pg. 43-45//mr</w:t>
      </w:r>
    </w:p>
    <w:p w:rsidR="00E21E86" w:rsidRPr="00F933AF" w:rsidRDefault="00E21E86" w:rsidP="00E21E86">
      <w:pPr>
        <w:rPr>
          <w:rFonts w:cs="Calibri"/>
          <w:sz w:val="16"/>
        </w:rPr>
      </w:pPr>
      <w:r w:rsidRPr="00F933AF">
        <w:rPr>
          <w:rFonts w:cs="Calibri"/>
          <w:u w:val="single"/>
        </w:rPr>
        <w:t>Sociological inquiry or legal investigations into disability' implicitly return to and usually at some point have to negotiate matters of 'disability' at an ontological level</w:t>
      </w:r>
      <w:r w:rsidRPr="00F933AF">
        <w:rPr>
          <w:rFonts w:cs="Calibri"/>
          <w:sz w:val="16"/>
        </w:rPr>
        <w:t xml:space="preserve">. 2 I say implicitly, because the </w:t>
      </w:r>
      <w:r w:rsidRPr="00F933AF">
        <w:rPr>
          <w:rFonts w:cs="Calibri"/>
          <w:u w:val="single"/>
        </w:rPr>
        <w:t>predominant forms of socio- therapeutic analysis of disability adopt a reductionist approach - situating 'the problem' of disability at the level of attitudes or bias leading to devaluation</w:t>
      </w:r>
      <w:r w:rsidRPr="00F933AF">
        <w:rPr>
          <w:rFonts w:cs="Calibri"/>
          <w:sz w:val="16"/>
        </w:rPr>
        <w:t xml:space="preserve">. </w:t>
      </w:r>
      <w:r w:rsidRPr="00F933AF">
        <w:rPr>
          <w:rFonts w:cs="Calibri"/>
          <w:u w:val="single"/>
        </w:rPr>
        <w:t xml:space="preserve">Rarely is the matter of </w:t>
      </w:r>
      <w:r w:rsidRPr="00F933AF">
        <w:rPr>
          <w:rFonts w:cs="Calibri"/>
          <w:sz w:val="16"/>
        </w:rPr>
        <w:t xml:space="preserve">ontology - </w:t>
      </w:r>
      <w:r w:rsidRPr="00F933AF">
        <w:rPr>
          <w:rFonts w:cs="Calibri"/>
          <w:u w:val="single"/>
        </w:rPr>
        <w:t>negative ontologies</w:t>
      </w:r>
      <w:r w:rsidRPr="00F933AF">
        <w:rPr>
          <w:rFonts w:cs="Calibri"/>
          <w:sz w:val="16"/>
        </w:rPr>
        <w:t xml:space="preserve"> in this case - </w:t>
      </w:r>
      <w:r w:rsidRPr="00F933AF">
        <w:rPr>
          <w:rFonts w:cs="Calibri"/>
          <w:u w:val="single"/>
        </w:rPr>
        <w:t>considered a paramount focal concern in unpacking disability subjectification.</w:t>
      </w:r>
      <w:r w:rsidRPr="00F933AF">
        <w:rPr>
          <w:rFonts w:cs="Calibri"/>
          <w:sz w:val="16"/>
        </w:rPr>
        <w:t xml:space="preserve"> This article seeks to redress this imbalance, first by foregrounding the ontology question, and second by discussing disability negative ontologies as they are inflected in the practices and effects of law. Ontology Wars and the 'Unthinkability' of Disability </w:t>
      </w:r>
      <w:proofErr w:type="gramStart"/>
      <w:r w:rsidRPr="00F933AF">
        <w:rPr>
          <w:rFonts w:cs="Calibri"/>
          <w:sz w:val="16"/>
        </w:rPr>
        <w:t>A</w:t>
      </w:r>
      <w:proofErr w:type="gramEnd"/>
      <w:r w:rsidRPr="00F933AF">
        <w:rPr>
          <w:rFonts w:cs="Calibri"/>
          <w:sz w:val="16"/>
        </w:rPr>
        <w:t xml:space="preserve"> system of thought ... is founded on a series of acts of partition whose ambiguity, here as elsewhere, is to open up the terrain of their transgression at the very moment when they mark off a limit. </w:t>
      </w:r>
      <w:r w:rsidRPr="00F933AF">
        <w:rPr>
          <w:rFonts w:cs="Calibri"/>
          <w:u w:val="single"/>
        </w:rPr>
        <w:t>To discover the complete horizon of a society's symbolic values, it is also necessary to map out its transgressions, its deviants.</w:t>
      </w:r>
      <w:r w:rsidRPr="00F933AF">
        <w:rPr>
          <w:rFonts w:cs="Calibri"/>
          <w:sz w:val="16"/>
        </w:rPr>
        <w:t xml:space="preserve"> 3 </w:t>
      </w:r>
      <w:r w:rsidRPr="00F933AF">
        <w:rPr>
          <w:rFonts w:cs="Calibri"/>
          <w:u w:val="single"/>
        </w:rPr>
        <w:t xml:space="preserve">Activists with disabilities have placed great trust in the legal system to deliver freedoms in the form of equality rights and protections against discrimination. Whilst such equalisation initiatives have provided remedies in the lives of some individuals with disabilities, </w:t>
      </w:r>
      <w:r w:rsidRPr="00F933AF">
        <w:rPr>
          <w:rFonts w:cs="Calibri"/>
          <w:b/>
          <w:u w:val="single"/>
        </w:rPr>
        <w:t>the sub-text of disability as negative ontology has remained substantially unchallenged</w:t>
      </w:r>
      <w:r w:rsidRPr="00F933AF">
        <w:rPr>
          <w:rFonts w:cs="Calibri"/>
          <w:sz w:val="16"/>
        </w:rPr>
        <w:t xml:space="preserve">. </w:t>
      </w:r>
      <w:r w:rsidRPr="00F933AF">
        <w:rPr>
          <w:rFonts w:cs="Calibri"/>
          <w:u w:val="single"/>
        </w:rPr>
        <w:t>We need to keep returning continually to the matter of disability as negative ontology, a malignancy, a body constituted by</w:t>
      </w:r>
      <w:r w:rsidRPr="00F933AF">
        <w:rPr>
          <w:rFonts w:cs="Calibri"/>
          <w:sz w:val="16"/>
        </w:rPr>
        <w:t xml:space="preserve"> what Michael Oliver terms </w:t>
      </w:r>
      <w:r w:rsidRPr="00F933AF">
        <w:rPr>
          <w:rFonts w:cs="Calibri"/>
          <w:b/>
          <w:u w:val="single"/>
        </w:rPr>
        <w:t>'the personal tragedy theory of disability', wherein disability cannot be spoken about as anything other than an anathema:</w:t>
      </w:r>
      <w:r w:rsidRPr="00F933AF">
        <w:rPr>
          <w:rFonts w:cs="Calibri"/>
          <w:sz w:val="16"/>
        </w:rPr>
        <w:t xml:space="preserve"> 'disability is some terrible chance event which occurs at random to unfortunate individuals' . </w:t>
      </w:r>
      <w:r w:rsidRPr="00F933AF">
        <w:rPr>
          <w:rFonts w:cs="Calibri"/>
          <w:u w:val="single"/>
        </w:rPr>
        <w:t xml:space="preserve">Disability is assumed to be ontologically intolerable, inherently negative. Such an attitude of mind underpins most claims of social injury within the welfare state and is imbricated in compensatory initiatives and </w:t>
      </w:r>
      <w:r w:rsidRPr="00F933AF">
        <w:rPr>
          <w:rFonts w:cs="Calibri"/>
          <w:b/>
          <w:u w:val="single"/>
        </w:rPr>
        <w:t>the compulsion towards therapeutic interventions</w:t>
      </w:r>
      <w:r w:rsidRPr="00F933AF">
        <w:rPr>
          <w:rFonts w:cs="Calibri"/>
          <w:u w:val="single"/>
        </w:rPr>
        <w:t>.</w:t>
      </w:r>
      <w:r w:rsidRPr="00F933AF">
        <w:rPr>
          <w:rFonts w:cs="Calibri"/>
          <w:sz w:val="16"/>
        </w:rPr>
        <w:t xml:space="preserve"> The presence of disability, I argue, upsets the modernist craving for ontological security. </w:t>
      </w:r>
      <w:r w:rsidRPr="00F933AF">
        <w:rPr>
          <w:rFonts w:cs="Calibri"/>
          <w:u w:val="single"/>
        </w:rPr>
        <w:t>The conundrum is not a mere fear of the unknown</w:t>
      </w:r>
      <w:r w:rsidRPr="00F933AF">
        <w:rPr>
          <w:rFonts w:cs="Calibri"/>
          <w:sz w:val="16"/>
        </w:rPr>
        <w:t xml:space="preserve">, an apprehensiveness towards that which is foreign or strange - the subaltern. </w:t>
      </w:r>
      <w:r w:rsidRPr="00F933AF">
        <w:rPr>
          <w:rFonts w:cs="Calibri"/>
          <w:u w:val="single"/>
        </w:rPr>
        <w:t>Rather, disability and disabled bodies are positioned in the nether regions of 'unthought'.</w:t>
      </w:r>
      <w:r w:rsidRPr="00F933AF">
        <w:rPr>
          <w:rFonts w:cs="Calibri"/>
          <w:sz w:val="16"/>
        </w:rPr>
        <w:t xml:space="preserve"> Let me explain further. </w:t>
      </w:r>
      <w:r w:rsidRPr="00F933AF">
        <w:rPr>
          <w:rFonts w:cs="Calibri"/>
          <w:b/>
          <w:u w:val="single"/>
        </w:rPr>
        <w:t>The ongoing stability of ableism, a diffuse network of thought, depends upon the capacity of that network to 'shut away', to exteriorise and unthink disability and its resemblance to the essential (ableist) human self.</w:t>
      </w:r>
      <w:r w:rsidRPr="00F933AF">
        <w:rPr>
          <w:rFonts w:cs="Calibri"/>
          <w:sz w:val="16"/>
        </w:rPr>
        <w:t xml:space="preserve"> French philosopher-historian Michel Foucault explains: </w:t>
      </w:r>
      <w:r w:rsidRPr="00F933AF">
        <w:rPr>
          <w:rFonts w:cs="Calibri"/>
          <w:u w:val="single"/>
        </w:rPr>
        <w:t>The unthought</w:t>
      </w:r>
      <w:r w:rsidRPr="00F933AF">
        <w:rPr>
          <w:rFonts w:cs="Calibri"/>
          <w:sz w:val="16"/>
        </w:rPr>
        <w:t xml:space="preserve"> (whatever name we give it) is not lodged in man [sic] like a shrivelled up nature or a stratified history; it </w:t>
      </w:r>
      <w:r w:rsidRPr="00F933AF">
        <w:rPr>
          <w:rFonts w:cs="Calibri"/>
          <w:u w:val="single"/>
        </w:rPr>
        <w:t>is in relation to man, the Other</w:t>
      </w:r>
      <w:r w:rsidRPr="00F933AF">
        <w:rPr>
          <w:rFonts w:cs="Calibri"/>
          <w:sz w:val="16"/>
        </w:rPr>
        <w:t xml:space="preserve">: the Other that is not only a brother but a twin, born not of man, nor in man, but beside him and at the same time, in an identical newness, in an unavoidable duality. 6 </w:t>
      </w:r>
      <w:r w:rsidRPr="00F933AF">
        <w:rPr>
          <w:rFonts w:cs="Calibri"/>
          <w:u w:val="single"/>
        </w:rPr>
        <w:t xml:space="preserve">We can see that, for the notion of 'ableness' to exist and be transmogrified into the sovereign subject of liberalism, there is a requirement for its constitutive outside: </w:t>
      </w:r>
      <w:r w:rsidRPr="00F933AF">
        <w:rPr>
          <w:rFonts w:cs="Calibri"/>
          <w:b/>
          <w:u w:val="single"/>
        </w:rPr>
        <w:t>a logic of supplementarity</w:t>
      </w:r>
      <w:r w:rsidRPr="00F933AF">
        <w:rPr>
          <w:rFonts w:cs="Calibri"/>
          <w:sz w:val="16"/>
        </w:rPr>
        <w:t xml:space="preserve">. So, even though we can speak in ontological terms of disability as a history of unthought, this figuring should not be confused with notions of erasure by way of mere absence or exclusion. Rather, </w:t>
      </w:r>
      <w:r w:rsidRPr="00F933AF">
        <w:rPr>
          <w:rFonts w:cs="Calibri"/>
          <w:u w:val="single"/>
        </w:rPr>
        <w:t>disability is always present, despite its absence in the ableist talk of normalcy, normalisation and humanness. In turn, the truth claims of disability are dependent upon discourses of ableism for their very legitimation</w:t>
      </w:r>
      <w:r w:rsidRPr="00F933AF">
        <w:rPr>
          <w:rFonts w:cs="Calibri"/>
          <w:sz w:val="16"/>
        </w:rPr>
        <w:t xml:space="preserve">. This logic of supplementarity, imbued within modernism's unitary subject that produces the Other in a liminal space, in addition deploys what we may call a 'compulsion towards terror' - a terror, ontological and actual, of 'falling away' and 'crossing over' into an uncertain void of disease. Such effects of terror may produce instances of disability hate crimes, 7 disability vilification and disability panic. 8 </w:t>
      </w:r>
      <w:r w:rsidRPr="00F933AF">
        <w:rPr>
          <w:rFonts w:cs="Calibri"/>
          <w:b/>
          <w:u w:val="single"/>
        </w:rPr>
        <w:t>Manifestations generated by this terror rarely enter the public domains, being excluded from law's permissible inquiry and codification</w:t>
      </w:r>
      <w:r w:rsidRPr="00F933AF">
        <w:rPr>
          <w:rFonts w:cs="Calibri"/>
          <w:sz w:val="16"/>
        </w:rPr>
        <w:t xml:space="preserve">. In other words, such erasure forecloses the possibility of pursuing legal remedies through the refusal of law's power to name and countenance oppositional disability discourses. </w:t>
      </w:r>
      <w:r w:rsidRPr="00F933AF">
        <w:rPr>
          <w:rFonts w:cs="Calibri"/>
          <w:u w:val="single"/>
        </w:rPr>
        <w:t>Disability 'harms' and 'injuries' are only deemed bonafide within a framework of scaled-down disability fictions</w:t>
      </w:r>
      <w:r w:rsidRPr="00F933AF">
        <w:rPr>
          <w:rFonts w:cs="Calibri"/>
          <w:sz w:val="16"/>
        </w:rPr>
        <w:t xml:space="preserve"> (read: definitions) </w:t>
      </w:r>
      <w:r w:rsidRPr="00F933AF">
        <w:rPr>
          <w:rFonts w:cs="Calibri"/>
          <w:u w:val="single"/>
        </w:rPr>
        <w:t>rendered viable in law</w:t>
      </w:r>
      <w:r w:rsidRPr="00F933AF">
        <w:rPr>
          <w:rFonts w:cs="Calibri"/>
          <w:sz w:val="16"/>
        </w:rPr>
        <w:t>. Law's collusion with bio-medical discourses not only tells us about modes of disability subjectification, but more importantly informs us and exposes the meaning of being 'human' under the reign of ableism. Let us stop for a moment and recap. What I have attempted to do thus far is introduce matters ontological into our discussion, not at the periphery but rather at the centre - revealing the ontological terror, the unthought of disability as a significant actor in the promulgation of ableism within law in liberal society.</w:t>
      </w:r>
    </w:p>
    <w:p w:rsidR="00E21E86" w:rsidRPr="00F933AF" w:rsidRDefault="00E21E86" w:rsidP="00E21E86">
      <w:pPr>
        <w:pStyle w:val="Heading4"/>
        <w:rPr>
          <w:rFonts w:cs="Calibri"/>
        </w:rPr>
      </w:pPr>
      <w:r w:rsidRPr="00F933AF">
        <w:rPr>
          <w:rFonts w:cs="Calibri"/>
        </w:rPr>
        <w:t>Liberalist calls for progress forecloses alternative perspectives and allows the recuperation of flaws to paper over ableism rooted in the law – this notion of progress serves as a crutch for lawmakers to excuse ableist rendering of disability in society writ large</w:t>
      </w:r>
    </w:p>
    <w:p w:rsidR="00E21E86" w:rsidRPr="00F933AF" w:rsidRDefault="00E21E86" w:rsidP="00E21E86">
      <w:pPr>
        <w:rPr>
          <w:rFonts w:cs="Calibri"/>
          <w:sz w:val="20"/>
          <w:szCs w:val="20"/>
        </w:rPr>
      </w:pPr>
      <w:r w:rsidRPr="00F933AF">
        <w:rPr>
          <w:rStyle w:val="Style13ptBold"/>
          <w:rFonts w:cs="Calibri"/>
        </w:rPr>
        <w:t xml:space="preserve">Campbell 01 </w:t>
      </w:r>
      <w:r w:rsidRPr="00F933AF">
        <w:rPr>
          <w:rStyle w:val="Style13ptBold"/>
          <w:rFonts w:cs="Calibri"/>
          <w:b w:val="0"/>
          <w:sz w:val="16"/>
          <w:szCs w:val="16"/>
        </w:rPr>
        <w:t xml:space="preserve">Fiona K- </w:t>
      </w:r>
      <w:r w:rsidRPr="00F933AF">
        <w:rPr>
          <w:rFonts w:cs="Calibri"/>
          <w:sz w:val="16"/>
          <w:szCs w:val="16"/>
        </w:rPr>
        <w:t>PhD Candidate, Faculty of Creative Industries, Queensland University of Technology and Sessional Lecturer, School of Human Services, Griffith University.</w:t>
      </w:r>
      <w:r w:rsidRPr="00F933AF">
        <w:rPr>
          <w:rFonts w:cs="Calibri"/>
          <w:color w:val="222222"/>
          <w:sz w:val="16"/>
          <w:szCs w:val="16"/>
          <w:shd w:val="clear" w:color="auto" w:fill="FFFFFF"/>
        </w:rPr>
        <w:t xml:space="preserve"> “Inciting Legal Fictions: ‘Disability’s’ Date with Ontology and the Ableist Body of Law” Griffith Law Review 2001pg. 43-45 </w:t>
      </w:r>
      <w:r>
        <w:rPr>
          <w:rFonts w:cs="Calibri"/>
          <w:color w:val="222222"/>
          <w:sz w:val="16"/>
          <w:szCs w:val="16"/>
          <w:shd w:val="clear" w:color="auto" w:fill="FFFFFF"/>
        </w:rPr>
        <w:t>//mr</w:t>
      </w:r>
    </w:p>
    <w:p w:rsidR="00E21E86" w:rsidRPr="00F933AF" w:rsidRDefault="00E21E86" w:rsidP="00E21E86">
      <w:pPr>
        <w:rPr>
          <w:rFonts w:cs="Calibri"/>
          <w:sz w:val="16"/>
        </w:rPr>
      </w:pPr>
      <w:r w:rsidRPr="00F933AF">
        <w:rPr>
          <w:rFonts w:cs="Calibri"/>
          <w:u w:val="single"/>
        </w:rPr>
        <w:t>Freedom is neither a philosophical absolute nor a tangible entity but a relational and contextual practice that takes shape in opposition to whatever is locally and ideologically conceived as unfreedom</w:t>
      </w:r>
      <w:r w:rsidRPr="00F933AF">
        <w:rPr>
          <w:rFonts w:cs="Calibri"/>
          <w:sz w:val="16"/>
        </w:rPr>
        <w:t xml:space="preserve">. 2 8 Attempts have been made by feminist legal scholars to re-work and engage with liberalism; to find some way out of the deadlock that focuses on procedural rights without effecting substantive change. One feminist strategy that has gained currency is the concept of social injury, a device that translates once-privatised injuries into collectivist raced, sexed and disablised domains, 29 from which to claim remedies. 30 What I want to attend to in this section is argument put by Wendy Brown and Margaret Thornton concerning the development of oppositional strategies of legal engagement. In the opening pages of States of Injury, Wendy Brown asks: 'What kinds of domination are enacted by practices of freedom?' 31 </w:t>
      </w:r>
      <w:r w:rsidRPr="00F933AF">
        <w:rPr>
          <w:rFonts w:cs="Calibri"/>
          <w:u w:val="single"/>
        </w:rPr>
        <w:t>The evolution of anti- discrimination law -has led to the codification of injury, victimhood and dependency within an overall context of docile subject positions.</w:t>
      </w:r>
      <w:r w:rsidRPr="00F933AF">
        <w:rPr>
          <w:rFonts w:cs="Calibri"/>
          <w:sz w:val="16"/>
        </w:rPr>
        <w:t xml:space="preserve"> Brown comments that the social injury project establishes certain harms as 'morally heinous in the law'. 3 2 But exactly what 'harms' are we talking about? What kinds of 'harm' have legitimacy? I argue that, at best, </w:t>
      </w:r>
      <w:r w:rsidRPr="00F933AF">
        <w:rPr>
          <w:rFonts w:cs="Calibri"/>
          <w:u w:val="single"/>
        </w:rPr>
        <w:t>an uncritical approach to social injury establishes certain authenticated specific sites and instances of 'disability discrimination'. 33 However, this discovery has not extended to uncovering 'ableism' as the very font of that 'harm'</w:t>
      </w:r>
      <w:r w:rsidRPr="00F933AF">
        <w:rPr>
          <w:rFonts w:cs="Calibri"/>
          <w:sz w:val="16"/>
        </w:rPr>
        <w:t xml:space="preserve">. 34 'Disability discrimination', I suggest, is an effect of the practices of 'ableism' and not the converse. Both Brown and Thornton utilise Nietzsche's 35 concept of ressentiment as part of their analysis. Such analysis, Brown explains involves developing: </w:t>
      </w:r>
      <w:r w:rsidRPr="00F933AF">
        <w:rPr>
          <w:rFonts w:cs="Calibri"/>
          <w:u w:val="single"/>
        </w:rPr>
        <w:t>a righteous critique of power from the perspective of the injured</w:t>
      </w:r>
      <w:r w:rsidRPr="00F933AF">
        <w:rPr>
          <w:rFonts w:cs="Calibri"/>
          <w:sz w:val="16"/>
        </w:rPr>
        <w:t xml:space="preserve">, it delimits a specific site of blame for suffering by constituting sovereign subjects and events as responsible for the 'injury' of social subordination. 3 6 Part of this process, according to Brown, </w:t>
      </w:r>
      <w:r w:rsidRPr="00F933AF">
        <w:rPr>
          <w:rFonts w:cs="Calibri"/>
          <w:u w:val="single"/>
        </w:rPr>
        <w:t>involves a refusal to be absorbed into liberal positionalities. Given that liberal undertakings of disability are an entry point into law</w:t>
      </w:r>
      <w:r w:rsidRPr="00F933AF">
        <w:rPr>
          <w:rFonts w:cs="Calibri"/>
          <w:sz w:val="16"/>
        </w:rPr>
        <w:t xml:space="preserve">, we can rightly question the extent to which disabled people have engaged in this process of refusal. </w:t>
      </w:r>
      <w:r w:rsidRPr="00F933AF">
        <w:rPr>
          <w:rFonts w:cs="Calibri"/>
          <w:u w:val="single"/>
        </w:rPr>
        <w:t>The conditions of engagement within the emancipatory project require that 'the injured' give up their investment in a harmed politicised identity in order to be free.</w:t>
      </w:r>
      <w:r w:rsidRPr="00F933AF">
        <w:rPr>
          <w:rFonts w:cs="Calibri"/>
          <w:sz w:val="16"/>
        </w:rPr>
        <w:t xml:space="preserve"> But does it work that way? What kind of ontologies of disability are being traded in, renegotiated and maintained? Isn't the use of legal mechanisms to structure political demand an act of self-subversion enforcing an internalised ableism? The political identity of disability (the disabled citizen) within law not only contributes to an essentialised and interiorised ontology, but normalises and delimits 'disability' in order to make it regulative. So we can build on Brown's analysis here by saying that </w:t>
      </w:r>
      <w:r w:rsidRPr="00F933AF">
        <w:rPr>
          <w:rFonts w:cs="Calibri"/>
          <w:u w:val="single"/>
        </w:rPr>
        <w:t>the language of (disability) recognition in law: becomes the language of unfreedom ... becomes a vehicle of subordination through individualisation, normalisation, and regulation, even as it strives to produce visibility and acceptance</w:t>
      </w:r>
      <w:r w:rsidRPr="00F933AF">
        <w:rPr>
          <w:rFonts w:cs="Calibri"/>
          <w:sz w:val="16"/>
        </w:rPr>
        <w:t xml:space="preserve">. 3 7 In other words, </w:t>
      </w:r>
      <w:r w:rsidRPr="00F933AF">
        <w:rPr>
          <w:rFonts w:cs="Calibri"/>
          <w:b/>
          <w:u w:val="single"/>
        </w:rPr>
        <w:t>the inscribing of certain figurations of legal disability insists on regulating disabled people's 'experiences' within the confines of juridical formations, ultimately foreclosing any alternative perspectives</w:t>
      </w:r>
      <w:r w:rsidRPr="00F933AF">
        <w:rPr>
          <w:rFonts w:cs="Calibri"/>
          <w:sz w:val="16"/>
        </w:rPr>
        <w:t xml:space="preserve">. The message conveyed suggests that, </w:t>
      </w:r>
      <w:r w:rsidRPr="00F933AF">
        <w:rPr>
          <w:rFonts w:cs="Calibri"/>
          <w:b/>
          <w:u w:val="single"/>
        </w:rPr>
        <w:t>in order to be free within neo-liberal societies, one must submit to the strictures of ableist renderings of disability in law and embrace a personal tragedy view of disability</w:t>
      </w:r>
      <w:r w:rsidRPr="00F933AF">
        <w:rPr>
          <w:rFonts w:cs="Calibri"/>
          <w:sz w:val="16"/>
        </w:rPr>
        <w:t xml:space="preserve">. 3 8 In 'Neo-liberalism, Discrimination and the Politics of Ressentiment', Margaret </w:t>
      </w:r>
      <w:r w:rsidRPr="00F933AF">
        <w:rPr>
          <w:rFonts w:cs="Calibri"/>
          <w:u w:val="single"/>
        </w:rPr>
        <w:t>Thornton</w:t>
      </w:r>
      <w:r w:rsidRPr="00F933AF">
        <w:rPr>
          <w:rFonts w:cs="Calibri"/>
          <w:sz w:val="16"/>
        </w:rPr>
        <w:t>, 39 in contrast</w:t>
      </w:r>
      <w:r w:rsidRPr="00F933AF">
        <w:rPr>
          <w:rFonts w:cs="Calibri"/>
          <w:u w:val="single"/>
        </w:rPr>
        <w:t>, provides an optimistic reading of a politics of ressentiment. Whilst this picture may appear attractive</w:t>
      </w:r>
      <w:r w:rsidRPr="00F933AF">
        <w:rPr>
          <w:rFonts w:cs="Calibri"/>
          <w:sz w:val="16"/>
        </w:rPr>
        <w:t xml:space="preserve"> in its treatment of disability subjectification, </w:t>
      </w:r>
      <w:r w:rsidRPr="00F933AF">
        <w:rPr>
          <w:rFonts w:cs="Calibri"/>
          <w:u w:val="single"/>
        </w:rPr>
        <w:t>Thornton's treatment fails to adequately consider the impact of negative ontologies of disability upon the formations of disability subjectivities in law</w:t>
      </w:r>
      <w:r w:rsidRPr="00F933AF">
        <w:rPr>
          <w:rFonts w:cs="Calibri"/>
          <w:sz w:val="16"/>
        </w:rPr>
        <w:t xml:space="preserve">. Whilst critically reviewing Australia's Disability Discrimination Act 1992 (Cth) (DDA), Thornton concludes that neo-liberalism and its shift from equal opportunities to equal responsibilities provides evidence that disabled people can only be assimilated (accommodated) if they appear like their benchmark confreres and do not make too many economic demands on the system. As Thornton puts it: 'Neo-liberalism is discomforted by prophylactic measures that are perceived as impediments to the freedom to pursue profits. 0 Indeed, </w:t>
      </w:r>
      <w:r w:rsidRPr="00F933AF">
        <w:rPr>
          <w:rFonts w:cs="Calibri"/>
          <w:u w:val="single"/>
        </w:rPr>
        <w:t xml:space="preserve">the tensions between the </w:t>
      </w:r>
      <w:proofErr w:type="gramStart"/>
      <w:r w:rsidRPr="00F933AF">
        <w:rPr>
          <w:rFonts w:cs="Calibri"/>
          <w:u w:val="single"/>
        </w:rPr>
        <w:t>necessity</w:t>
      </w:r>
      <w:proofErr w:type="gramEnd"/>
      <w:r w:rsidRPr="00F933AF">
        <w:rPr>
          <w:rFonts w:cs="Calibri"/>
          <w:u w:val="single"/>
        </w:rPr>
        <w:t xml:space="preserve"> to work on the 'unproductive' disabled body in order to make it 'productive' in a recessionist economy grow increasingly evident</w:t>
      </w:r>
      <w:r w:rsidRPr="00F933AF">
        <w:rPr>
          <w:rFonts w:cs="Calibri"/>
          <w:sz w:val="16"/>
        </w:rPr>
        <w:t xml:space="preserve">. 4 1 Despite this rather disastrous situation, </w:t>
      </w:r>
      <w:r w:rsidRPr="00F933AF">
        <w:rPr>
          <w:rFonts w:cs="Calibri"/>
          <w:u w:val="single"/>
        </w:rPr>
        <w:t>Thornton argues that not all is lost</w:t>
      </w:r>
      <w:r w:rsidRPr="00F933AF">
        <w:rPr>
          <w:rFonts w:cs="Calibri"/>
          <w:sz w:val="16"/>
        </w:rPr>
        <w:t xml:space="preserve">, for people with disabilities are still able to 'come out' about disability discrimination (by using anti-discrimination legislation) and thereby enact positive images of disability via a process of ressentiment. The forces of ressentiment, she argues, produce a groundswell of dissatisfaction by people with disabilities where such sentiment can be deployed as a positive force. Whilst recognising that ressentiment can produce other emotions aside from righteous anger - such as passivity or fear - the response Thornton suggests can be attributed to the vulnerability of a person speaking from an institutional location. 42 </w:t>
      </w:r>
      <w:r w:rsidRPr="00F933AF">
        <w:rPr>
          <w:rFonts w:cs="Calibri"/>
          <w:u w:val="single"/>
        </w:rPr>
        <w:t>I am less optimistic</w:t>
      </w:r>
      <w:r w:rsidRPr="00F933AF">
        <w:rPr>
          <w:rFonts w:cs="Calibri"/>
          <w:sz w:val="16"/>
        </w:rPr>
        <w:t xml:space="preserve">. It is not only those disabled people confined by an institutional location who display emotions of antipathy, ambivalence and fear. </w:t>
      </w:r>
      <w:r w:rsidRPr="00F933AF">
        <w:rPr>
          <w:rFonts w:cs="Calibri"/>
          <w:u w:val="single"/>
        </w:rPr>
        <w:t>All people with disabilities to some extent confront the daily challenges of internalised ableism when negotiating daily existence in a world that erases our value</w:t>
      </w:r>
      <w:r w:rsidRPr="00F933AF">
        <w:rPr>
          <w:rFonts w:cs="Calibri"/>
          <w:sz w:val="16"/>
        </w:rPr>
        <w:t xml:space="preserve">. 43 I am more inclined to propose that </w:t>
      </w:r>
      <w:r w:rsidRPr="00F933AF">
        <w:rPr>
          <w:rFonts w:cs="Calibri"/>
          <w:u w:val="single"/>
        </w:rPr>
        <w:t>neo-liberalism's engagement with minority identities provokes a politics of ressentiment on behalf of the 'majority'</w:t>
      </w:r>
      <w:r w:rsidRPr="00F933AF">
        <w:rPr>
          <w:rFonts w:cs="Calibri"/>
          <w:sz w:val="16"/>
        </w:rPr>
        <w:t xml:space="preserve">. 44 We only need to remind ourselves of the cries of 'special rights', legislative rollbacks and reactive campaigns both in Australia and in the United States. </w:t>
      </w:r>
      <w:r w:rsidRPr="00F933AF">
        <w:rPr>
          <w:rFonts w:cs="Calibri"/>
          <w:u w:val="single"/>
        </w:rPr>
        <w:t xml:space="preserve">The increased use of disability-related anti-discrimination legislation might induce a new way of thinking about citizenship, with disabled people having 'the tenacity and conviction that one is right to be able to complain of discrimination'. 4 5 </w:t>
      </w:r>
      <w:r w:rsidRPr="00F933AF">
        <w:rPr>
          <w:rFonts w:cs="Calibri"/>
          <w:b/>
          <w:u w:val="single"/>
        </w:rPr>
        <w:t>Yet disabled people's complaints are required to be funnelled into the enunciatory processes of reductionist and single-cause classifications, interpreted both within and outside law through a paradigm of ableism. 46 There are always possibilities for resistance; however, a positive politics of ressentiment is always in danger of being chipped away and unravelled when the legal prescriptions of disability</w:t>
      </w:r>
      <w:r w:rsidRPr="00F933AF">
        <w:rPr>
          <w:rFonts w:cs="Calibri"/>
          <w:u w:val="single"/>
        </w:rPr>
        <w:t xml:space="preserve"> and foregoing remedies foreclose oppositional renderings of disability and play into (provoke) the internalised ableism of the complainant</w:t>
      </w:r>
      <w:r w:rsidRPr="00F933AF">
        <w:rPr>
          <w:rFonts w:cs="Calibri"/>
          <w:sz w:val="16"/>
        </w:rPr>
        <w:t xml:space="preserve">. As a device of social change, is the concept of 'social injury' recuperative or transgressive of the structures of liberalism? As a tool of opposition, the 'social injury' approach appears to offer a way out of the loop of discriminatory practices. Yet </w:t>
      </w:r>
      <w:r w:rsidRPr="00F933AF">
        <w:rPr>
          <w:rFonts w:cs="Calibri"/>
          <w:u w:val="single"/>
        </w:rPr>
        <w:t xml:space="preserve">one cannot help being suspicious of a practice that fabricates the elasticity and inclusiveness of the liberal polis. </w:t>
      </w:r>
      <w:r w:rsidRPr="00F933AF">
        <w:rPr>
          <w:rFonts w:cs="Calibri"/>
          <w:b/>
          <w:u w:val="single"/>
        </w:rPr>
        <w:t>The enduring strength of liberalism lies in its capacity to rewrite and repair the edges of its domain and recuperate any flaws that may expose its fundamentalist and ableist basis/bias</w:t>
      </w:r>
      <w:r w:rsidRPr="00F933AF">
        <w:rPr>
          <w:rFonts w:cs="Calibri"/>
          <w:u w:val="single"/>
        </w:rPr>
        <w:t>.</w:t>
      </w:r>
      <w:r w:rsidRPr="00F933AF">
        <w:rPr>
          <w:rFonts w:cs="Calibri"/>
          <w:sz w:val="16"/>
        </w:rPr>
        <w:t xml:space="preserve"> What I have been attempting to do so far is foreground the problematic project of inserting 'disability' uncritically into the neo-liberal project of freedom claims without firstly examining the benchmark legal subject and its relationship to disability as negative ontology. In addition, I have considered the strategy of bringing complaints based on claims of 'social injury' and the limitation of that approach given the overwhelming deployment of internalised ableism. The fact remains that disability is not viewed as a neutral category. Rather, it is laden and underpinned by a view of tragedy that makes possibilities of 'pride' difficult. In the next section, I discuss a particular example of battles over the legal definition of 'disability'. </w:t>
      </w:r>
    </w:p>
    <w:p w:rsidR="00E21E86" w:rsidRPr="00F933AF" w:rsidRDefault="00E21E86" w:rsidP="00E21E86">
      <w:pPr>
        <w:rPr>
          <w:rFonts w:cs="Calibri"/>
          <w:b/>
          <w:u w:val="single"/>
        </w:rPr>
      </w:pPr>
    </w:p>
    <w:p w:rsidR="00E21E86" w:rsidRPr="00F933AF" w:rsidRDefault="00E21E86" w:rsidP="00E21E86">
      <w:pPr>
        <w:pStyle w:val="Heading3"/>
        <w:rPr>
          <w:rFonts w:cs="Calibri"/>
        </w:rPr>
      </w:pPr>
      <w:r w:rsidRPr="00F933AF">
        <w:rPr>
          <w:rFonts w:cs="Calibri"/>
        </w:rPr>
        <w:t>Link - Agamben</w:t>
      </w:r>
    </w:p>
    <w:p w:rsidR="00E21E86" w:rsidRPr="00F933AF" w:rsidRDefault="00E21E86" w:rsidP="00E21E86">
      <w:pPr>
        <w:pStyle w:val="Heading4"/>
        <w:rPr>
          <w:rStyle w:val="Style13ptBold"/>
          <w:rFonts w:cs="Calibri"/>
          <w:b/>
        </w:rPr>
      </w:pPr>
      <w:r w:rsidRPr="00F933AF">
        <w:rPr>
          <w:rStyle w:val="Style13ptBold"/>
          <w:rFonts w:cs="Calibri"/>
          <w:b/>
        </w:rPr>
        <w:t xml:space="preserve">The affirmative’s construction of those with disabilities reflects a broader state drive to demarcate and isolate disability within the law – this reinforces negative perceptions of disability and upholsters the state of exception it occupies in normative law </w:t>
      </w:r>
    </w:p>
    <w:p w:rsidR="00E21E86" w:rsidRPr="00F933AF" w:rsidRDefault="00E21E86" w:rsidP="00E21E86">
      <w:pPr>
        <w:rPr>
          <w:rStyle w:val="Style13ptBold"/>
          <w:rFonts w:cs="Calibri"/>
          <w:b w:val="0"/>
          <w:sz w:val="16"/>
          <w:szCs w:val="16"/>
        </w:rPr>
      </w:pPr>
      <w:r w:rsidRPr="00F933AF">
        <w:rPr>
          <w:rStyle w:val="Style13ptBold"/>
          <w:rFonts w:cs="Calibri"/>
        </w:rPr>
        <w:t xml:space="preserve">Campbell 09 </w:t>
      </w:r>
      <w:r w:rsidRPr="00F933AF">
        <w:rPr>
          <w:rStyle w:val="Style13ptBold"/>
          <w:rFonts w:cs="Calibri"/>
          <w:b w:val="0"/>
          <w:sz w:val="16"/>
          <w:szCs w:val="16"/>
        </w:rPr>
        <w:t xml:space="preserve">Fiona K- </w:t>
      </w:r>
      <w:r w:rsidRPr="00F933AF">
        <w:rPr>
          <w:rFonts w:cs="Calibri"/>
          <w:sz w:val="16"/>
          <w:szCs w:val="16"/>
        </w:rPr>
        <w:t>PhD Candidate, Faculty of Creative Industries, Queensland University of Technology and Sessional Lecturer, School of Human Services, Griffith University</w:t>
      </w:r>
      <w:r w:rsidRPr="00F933AF">
        <w:rPr>
          <w:rStyle w:val="Style13ptBold"/>
          <w:rFonts w:cs="Calibri"/>
          <w:b w:val="0"/>
          <w:sz w:val="16"/>
          <w:szCs w:val="16"/>
        </w:rPr>
        <w:t xml:space="preserve"> “States of Exceptionality: Provisional Disability, its Mitigation, and Citizenship” Ch. 19 pg. 274-77//mr </w:t>
      </w:r>
    </w:p>
    <w:p w:rsidR="00E21E86" w:rsidRPr="00F933AF" w:rsidRDefault="00E21E86" w:rsidP="00E21E86">
      <w:pPr>
        <w:rPr>
          <w:rFonts w:cs="Calibri"/>
          <w:sz w:val="16"/>
        </w:rPr>
      </w:pPr>
      <w:r w:rsidRPr="00F933AF">
        <w:rPr>
          <w:rFonts w:cs="Calibri"/>
          <w:sz w:val="23"/>
          <w:szCs w:val="23"/>
          <w:u w:val="single"/>
        </w:rPr>
        <w:t>Legal responses to the challenges of disablement persistently demonstrate a performative passion for sameness</w:t>
      </w:r>
      <w:r w:rsidRPr="00F933AF">
        <w:rPr>
          <w:rFonts w:cs="Calibri"/>
          <w:sz w:val="16"/>
          <w:szCs w:val="23"/>
        </w:rPr>
        <w:t xml:space="preserve"> (Stiker, 1999). Not just any sameness, but paradoxically and deliberately, </w:t>
      </w:r>
      <w:r w:rsidRPr="00F933AF">
        <w:rPr>
          <w:rFonts w:cs="Calibri"/>
          <w:sz w:val="23"/>
          <w:szCs w:val="23"/>
          <w:u w:val="single"/>
        </w:rPr>
        <w:t>a sameness underpinned by an ontological separation between abled and disabled, where mixtures are absorbed through processes of fabricating or simulating abledness.</w:t>
      </w:r>
      <w:r w:rsidRPr="00F933AF">
        <w:rPr>
          <w:rFonts w:cs="Calibri"/>
          <w:sz w:val="16"/>
          <w:szCs w:val="23"/>
        </w:rPr>
        <w:t xml:space="preserve"> In many ways, </w:t>
      </w:r>
      <w:r w:rsidRPr="00F933AF">
        <w:rPr>
          <w:rFonts w:cs="Calibri"/>
          <w:sz w:val="23"/>
          <w:szCs w:val="23"/>
          <w:u w:val="single"/>
        </w:rPr>
        <w:t>law is an attempt to create order out of disorder</w:t>
      </w:r>
      <w:r w:rsidRPr="00F933AF">
        <w:rPr>
          <w:rFonts w:cs="Calibri"/>
          <w:sz w:val="16"/>
          <w:szCs w:val="23"/>
        </w:rPr>
        <w:t xml:space="preserve"> (i.e., diversity and difference) </w:t>
      </w:r>
      <w:r w:rsidRPr="00F933AF">
        <w:rPr>
          <w:rFonts w:cs="Calibri"/>
          <w:b/>
          <w:sz w:val="23"/>
          <w:szCs w:val="23"/>
          <w:u w:val="single"/>
        </w:rPr>
        <w:t>through a process of purification</w:t>
      </w:r>
      <w:r w:rsidRPr="00F933AF">
        <w:rPr>
          <w:rFonts w:cs="Calibri"/>
          <w:sz w:val="16"/>
          <w:szCs w:val="23"/>
        </w:rPr>
        <w:t>—</w:t>
      </w:r>
      <w:r w:rsidRPr="00F933AF">
        <w:rPr>
          <w:rFonts w:cs="Calibri"/>
          <w:sz w:val="23"/>
          <w:szCs w:val="23"/>
          <w:u w:val="single"/>
        </w:rPr>
        <w:t>the establishment and demarcation of distinct zones (disabled/abled, human/nonhuman), and through a process of translation that acknowledges the reality of mixtures between these extremes.</w:t>
      </w:r>
      <w:r w:rsidRPr="00F933AF">
        <w:rPr>
          <w:rFonts w:cs="Calibri"/>
          <w:sz w:val="16"/>
          <w:szCs w:val="23"/>
        </w:rPr>
        <w:t xml:space="preserve"> States of disability and health are far more ambiguous and ambivalent than the establishment zones suggest. The health/disability continuum is continually meditated through context (e.g., certain mobility differences matter more in distinct environments than others), always fluid and fluctuating according to both internal (organic) and external (environmental) stressors and cultural modalities. </w:t>
      </w:r>
      <w:r w:rsidRPr="00F933AF">
        <w:rPr>
          <w:rFonts w:cs="Calibri"/>
          <w:sz w:val="23"/>
          <w:szCs w:val="23"/>
          <w:u w:val="single"/>
        </w:rPr>
        <w:t>Law is uneasy with bodies that ooze or are leaky, especially those that are fat, distressed, sick, dying, addicted, and appear impermanent</w:t>
      </w:r>
      <w:r w:rsidRPr="00F933AF">
        <w:rPr>
          <w:rFonts w:cs="Calibri"/>
          <w:sz w:val="16"/>
          <w:szCs w:val="23"/>
        </w:rPr>
        <w:t xml:space="preserve">. I argue that </w:t>
      </w:r>
      <w:r w:rsidRPr="00F933AF">
        <w:rPr>
          <w:rFonts w:cs="Calibri"/>
          <w:b/>
          <w:sz w:val="23"/>
          <w:szCs w:val="23"/>
          <w:u w:val="single"/>
        </w:rPr>
        <w:t>law reflects a broader desire to drive down disability —thus ensuring that this class of enumerated persons remains problematically in a state of exceptionality, defined by law, rather than being a significant part of a country’s population</w:t>
      </w:r>
      <w:r w:rsidRPr="00F933AF">
        <w:rPr>
          <w:rFonts w:cs="Calibri"/>
          <w:sz w:val="16"/>
          <w:szCs w:val="23"/>
        </w:rPr>
        <w:t xml:space="preserve">. </w:t>
      </w:r>
      <w:r w:rsidRPr="00F933AF">
        <w:rPr>
          <w:rFonts w:cs="Calibri"/>
          <w:b/>
          <w:sz w:val="23"/>
          <w:szCs w:val="23"/>
          <w:u w:val="single"/>
        </w:rPr>
        <w:t>The state of exceptionality refuses to conceive of disability as a form of difference within the population</w:t>
      </w:r>
      <w:r w:rsidRPr="00F933AF">
        <w:rPr>
          <w:rFonts w:cs="Calibri"/>
          <w:sz w:val="16"/>
          <w:szCs w:val="23"/>
        </w:rPr>
        <w:t xml:space="preserve">. The role of bio- medicalism coupled with </w:t>
      </w:r>
      <w:r w:rsidRPr="00F933AF">
        <w:rPr>
          <w:rFonts w:cs="Calibri"/>
          <w:sz w:val="23"/>
          <w:szCs w:val="23"/>
          <w:u w:val="single"/>
        </w:rPr>
        <w:t>regulative aspects of the law can be found in many legal definitions of disability</w:t>
      </w:r>
      <w:r w:rsidRPr="00F933AF">
        <w:rPr>
          <w:rFonts w:cs="Calibri"/>
          <w:sz w:val="16"/>
          <w:szCs w:val="23"/>
        </w:rPr>
        <w:t xml:space="preserve">. For instance, in the Indian Person with Disabilities (Equal Opportunities, Protection of Rights and Full Participation) Act (1995), disability is reduced to diagnostic types: s. 2 (i) and a “person with a disability” to “a person suffering from not less than 40% of any disability as certified by a medical authority” (s. 2 (t)). In this example, </w:t>
      </w:r>
      <w:r w:rsidRPr="00F933AF">
        <w:rPr>
          <w:rFonts w:cs="Calibri"/>
          <w:sz w:val="23"/>
          <w:szCs w:val="23"/>
          <w:u w:val="single"/>
        </w:rPr>
        <w:t>the legal enactment of purification zones attempts to settle the matter of disability by way of enumerative exactness and reduction of disability to a medical model</w:t>
      </w:r>
      <w:r w:rsidRPr="00F933AF">
        <w:rPr>
          <w:rFonts w:cs="Calibri"/>
          <w:sz w:val="16"/>
          <w:szCs w:val="23"/>
        </w:rPr>
        <w:t xml:space="preserve">. The motif of disability is much more than a state of being. </w:t>
      </w:r>
      <w:r w:rsidRPr="00F933AF">
        <w:rPr>
          <w:rFonts w:cs="Calibri"/>
          <w:b/>
          <w:sz w:val="23"/>
          <w:szCs w:val="23"/>
          <w:u w:val="single"/>
        </w:rPr>
        <w:t>Nationalism demands that the archetypal normative citizen be free from fl aws and matters of possible degeneracy. In these times of economic rationalism and panics over risk and terror,</w:t>
      </w:r>
      <w:r w:rsidRPr="00F933AF">
        <w:rPr>
          <w:rFonts w:cs="Calibri"/>
          <w:sz w:val="16"/>
          <w:szCs w:val="23"/>
        </w:rPr>
        <w:t xml:space="preserve"> the sentiments of famous U.S. eugenist case Buck v. Bell (274 U.S. 200) fi nd new credence: </w:t>
      </w:r>
      <w:r w:rsidRPr="00F933AF">
        <w:rPr>
          <w:rFonts w:cs="Calibri"/>
          <w:sz w:val="16"/>
        </w:rPr>
        <w:t>We have seen more than once that the public welfare may call upon the best citizens for their lives. It would be strange if it could not call upon those who already sap the strength of the State for these lesser sacrifices, often not felt to be such by those concerned, in order to prevent our being swamped with incompetence. It is better for all the world, if instead of waiting to execute degenerate offspring for crime, or to let them starve for their imbecility, soci- ety can prevent those who are manifestly unfi t from continuing their kind. . . .</w:t>
      </w:r>
      <w:r w:rsidRPr="00F933AF">
        <w:rPr>
          <w:rFonts w:cs="Calibri"/>
          <w:sz w:val="16"/>
          <w:szCs w:val="20"/>
        </w:rPr>
        <w:t xml:space="preserve"> </w:t>
      </w:r>
      <w:r w:rsidRPr="00F933AF">
        <w:rPr>
          <w:rFonts w:cs="Calibri"/>
          <w:sz w:val="16"/>
        </w:rPr>
        <w:t>Three generations of imbeciles are enough. (p. 208</w:t>
      </w:r>
      <w:r w:rsidRPr="00F933AF">
        <w:rPr>
          <w:rFonts w:cs="Calibri"/>
          <w:u w:val="single"/>
        </w:rPr>
        <w:t>)</w:t>
      </w:r>
      <w:r w:rsidRPr="00F933AF">
        <w:rPr>
          <w:rFonts w:cs="Calibri"/>
          <w:sz w:val="20"/>
          <w:szCs w:val="20"/>
          <w:u w:val="single"/>
        </w:rPr>
        <w:t xml:space="preserve"> </w:t>
      </w:r>
      <w:proofErr w:type="gramStart"/>
      <w:r w:rsidRPr="00F933AF">
        <w:rPr>
          <w:rFonts w:cs="Calibri"/>
          <w:sz w:val="23"/>
          <w:szCs w:val="23"/>
          <w:u w:val="single"/>
        </w:rPr>
        <w:t>The</w:t>
      </w:r>
      <w:proofErr w:type="gramEnd"/>
      <w:r w:rsidRPr="00F933AF">
        <w:rPr>
          <w:rFonts w:cs="Calibri"/>
          <w:sz w:val="23"/>
          <w:szCs w:val="23"/>
          <w:u w:val="single"/>
        </w:rPr>
        <w:t xml:space="preserve"> utilization of legal remedies by disabled people, especially after acqui- sition of impairment, occurs within a broader sociological context of an in- creasing “culture of blame.”</w:t>
      </w:r>
      <w:r w:rsidRPr="00F933AF">
        <w:rPr>
          <w:rFonts w:cs="Calibri"/>
          <w:sz w:val="16"/>
          <w:szCs w:val="23"/>
        </w:rPr>
        <w:t xml:space="preserve"> The disabled litigant is required to show that they have suffered (Brown, 1993, 1995). For example, when a court declares that a disabled litigant does or does not conform to a legal rendering of disability, the court has to first construct a narrative in which a character (the disabled plaintiff) is faced with an obstacle or conundrum (disability discrimination) posed by an antagonist (a disability discriminatory employer, for instance). In framing a disability discrimination case in this way, a court is assembling a set of circumstances into an intelligible whole, into a coherent narrative in which the actions and events are endowed with intentionality, meaning, and purpose. </w:t>
      </w:r>
      <w:r w:rsidRPr="00F933AF">
        <w:rPr>
          <w:rFonts w:cs="Calibri"/>
          <w:sz w:val="23"/>
          <w:szCs w:val="23"/>
          <w:u w:val="single"/>
        </w:rPr>
        <w:t>In analyzing the law as it pertains to disabled people, I have drawn on the concept of interest convergence, or situations where white people with power endure or foster black advancement only to the extent that such advancement promotes white interests</w:t>
      </w:r>
      <w:r w:rsidRPr="00F933AF">
        <w:rPr>
          <w:rFonts w:cs="Calibri"/>
          <w:sz w:val="16"/>
          <w:szCs w:val="23"/>
        </w:rPr>
        <w:t xml:space="preserve">. (Delgardo &amp; Stefancic, 2000). Within the arena of the subordination of people of color, Richmond v. Croson (488 U.S. 469, 1989) revealed the limits of race-based interest convergence. In that deci- </w:t>
      </w:r>
      <w:proofErr w:type="gramStart"/>
      <w:r w:rsidRPr="00F933AF">
        <w:rPr>
          <w:rFonts w:cs="Calibri"/>
          <w:sz w:val="16"/>
          <w:szCs w:val="23"/>
        </w:rPr>
        <w:t>sion</w:t>
      </w:r>
      <w:proofErr w:type="gramEnd"/>
      <w:r w:rsidRPr="00F933AF">
        <w:rPr>
          <w:rFonts w:cs="Calibri"/>
          <w:sz w:val="16"/>
          <w:szCs w:val="23"/>
        </w:rPr>
        <w:t xml:space="preserve">, the Court proclaimed that African Americans had accomplished racial equity with white people and, as a consequence of their “success,” could no longer rely on a history of racial discrimination to argue for the maintenance and introduction of affirmative action programs. Thus, the trend in courts of narrowing the defi nition of disability by re- framing disablement in terms of mitigation has already occurred in the United States and is likely to have international implications. </w:t>
      </w:r>
      <w:r w:rsidRPr="00F933AF">
        <w:rPr>
          <w:rFonts w:cs="Calibri"/>
          <w:sz w:val="23"/>
          <w:szCs w:val="23"/>
          <w:u w:val="single"/>
        </w:rPr>
        <w:t>Regardless of where we live, the notion of mitigation will transform civic understandings of disablement as something that is provisional and tentative. This trend is of concern when the tendency towards a universalized codification of disability (norms) is on the increase</w:t>
      </w:r>
      <w:r w:rsidRPr="00F933AF">
        <w:rPr>
          <w:rFonts w:cs="Calibri"/>
          <w:sz w:val="16"/>
          <w:szCs w:val="23"/>
        </w:rPr>
        <w:t xml:space="preserve">. </w:t>
      </w:r>
      <w:r w:rsidRPr="00F933AF">
        <w:rPr>
          <w:rFonts w:cs="Calibri"/>
          <w:sz w:val="23"/>
          <w:szCs w:val="23"/>
          <w:u w:val="single"/>
        </w:rPr>
        <w:t>Biomedicalism assumes that impairment has an existence that is accurate, significant, and impartial and is altogether independent of any social context or discursive representation, has encroached on the psychic life of the disabled person with a disability because it asserts that disability is internal, inaugurating a crisis within the person’s bodily or cerebral self. Disability is a state that warrants medical interventions, curative treatment, and mitigation of the impairment or compensatory legal remedies wherever possible.</w:t>
      </w:r>
      <w:r w:rsidRPr="00F933AF">
        <w:rPr>
          <w:rFonts w:cs="Calibri"/>
          <w:sz w:val="16"/>
          <w:szCs w:val="23"/>
        </w:rPr>
        <w:t xml:space="preserve"> </w:t>
      </w:r>
      <w:r w:rsidRPr="00F933AF">
        <w:rPr>
          <w:rFonts w:cs="Calibri"/>
          <w:sz w:val="16"/>
          <w:szCs w:val="16"/>
        </w:rPr>
        <w:t xml:space="preserve">1 </w:t>
      </w:r>
      <w:r w:rsidRPr="00F933AF">
        <w:rPr>
          <w:rFonts w:cs="Calibri"/>
          <w:sz w:val="16"/>
          <w:szCs w:val="23"/>
        </w:rPr>
        <w:t xml:space="preserve">Medicine in cooperation with law is brought in to assess the “damaged” body by using scaled enumerative scripts such as those typified by the Table of Maims, whose fiction is legislated into existence. </w:t>
      </w:r>
      <w:r w:rsidRPr="00F933AF">
        <w:rPr>
          <w:rFonts w:cs="Calibri"/>
          <w:sz w:val="23"/>
          <w:szCs w:val="23"/>
          <w:u w:val="single"/>
        </w:rPr>
        <w:t>Law’s investment in biomedicalism invokes a moral landscape wherein the unruly body is culpable and blameworthy (and thus held responsible), whereas the “real” ’ disabled body is innocent (thus deserving legal protection).</w:t>
      </w:r>
      <w:r w:rsidRPr="00F933AF">
        <w:rPr>
          <w:rFonts w:cs="Calibri"/>
          <w:sz w:val="16"/>
          <w:szCs w:val="23"/>
        </w:rPr>
        <w:t xml:space="preserve"> Discourses around medical research, new technologies, and practices con- tain implicit narratives of disability as a personal medical tragedy. This theory regards the existence of impairment and the experience of disability to be inherently negative. As Michael Oliver (1996) puts it: “</w:t>
      </w:r>
      <w:r w:rsidRPr="00F933AF">
        <w:rPr>
          <w:rFonts w:cs="Calibri"/>
          <w:sz w:val="23"/>
          <w:szCs w:val="23"/>
          <w:u w:val="single"/>
        </w:rPr>
        <w:t>disability is [viewed as] some terrible chance event which occurs at random to unfortunate individuals</w:t>
      </w:r>
      <w:r w:rsidRPr="00F933AF">
        <w:rPr>
          <w:rFonts w:cs="Calibri"/>
          <w:sz w:val="16"/>
          <w:szCs w:val="23"/>
        </w:rPr>
        <w:t xml:space="preserve">” (p. 32). Biomedical fabrications of ontologies of disability as tragic are policed by law that has the authorizing power to say what disability is and is not. </w:t>
      </w:r>
      <w:r w:rsidRPr="00F933AF">
        <w:rPr>
          <w:rFonts w:cs="Calibri"/>
          <w:sz w:val="23"/>
          <w:szCs w:val="23"/>
          <w:u w:val="single"/>
        </w:rPr>
        <w:t xml:space="preserve">Increasingly, legal regimes are used by disabled people to access greater resources and services to mitigate the effects of impairment and as a vehicle for the monetary compensation of loss. However, recent studies have sug- gested the emergence of a paradox, wherein the application for disability benefits and compensation can generate feelings of despondency as the disabled person engages in a process of altered perceptions and puts on the </w:t>
      </w:r>
      <w:r w:rsidRPr="00F933AF">
        <w:rPr>
          <w:rFonts w:cs="Calibri"/>
          <w:b/>
          <w:sz w:val="23"/>
          <w:szCs w:val="23"/>
          <w:u w:val="single"/>
        </w:rPr>
        <w:t>“clothes of a disabled identity”</w:t>
      </w:r>
      <w:r w:rsidRPr="00F933AF">
        <w:rPr>
          <w:rFonts w:cs="Calibri"/>
          <w:sz w:val="16"/>
          <w:szCs w:val="23"/>
        </w:rPr>
        <w:t xml:space="preserve"> (Holloway, 1994; Sayer, Spoont, &amp; Nelson, 2004). Throughout these processes, </w:t>
      </w:r>
      <w:r w:rsidRPr="00F933AF">
        <w:rPr>
          <w:rFonts w:cs="Calibri"/>
          <w:sz w:val="23"/>
          <w:szCs w:val="23"/>
          <w:u w:val="single"/>
        </w:rPr>
        <w:t>the disabled litigant is required to “identify” with the disabled person before even commencing the process of articulating a breach of rights or securing protective remedies</w:t>
      </w:r>
      <w:r w:rsidRPr="00F933AF">
        <w:rPr>
          <w:rFonts w:cs="Calibri"/>
          <w:sz w:val="16"/>
          <w:szCs w:val="23"/>
        </w:rPr>
        <w:t xml:space="preserve">. The litigant needs to draw on a wellspring of suffering and future damage. </w:t>
      </w:r>
      <w:r w:rsidRPr="00F933AF">
        <w:rPr>
          <w:rFonts w:cs="Calibri"/>
          <w:sz w:val="23"/>
          <w:szCs w:val="23"/>
          <w:u w:val="single"/>
        </w:rPr>
        <w:t xml:space="preserve">Under the Americans with Disabilities Act (ADA), disabled people are viewed as a </w:t>
      </w:r>
      <w:r w:rsidRPr="00F933AF">
        <w:rPr>
          <w:rFonts w:cs="Calibri"/>
          <w:b/>
          <w:sz w:val="23"/>
          <w:szCs w:val="23"/>
          <w:u w:val="single"/>
        </w:rPr>
        <w:t>“discrete, insular minority”</w:t>
      </w:r>
      <w:r w:rsidRPr="00F933AF">
        <w:rPr>
          <w:rFonts w:cs="Calibri"/>
          <w:b/>
          <w:sz w:val="16"/>
          <w:szCs w:val="23"/>
        </w:rPr>
        <w:t xml:space="preserve"> </w:t>
      </w:r>
      <w:r w:rsidRPr="00F933AF">
        <w:rPr>
          <w:rFonts w:cs="Calibri"/>
          <w:sz w:val="16"/>
          <w:szCs w:val="23"/>
        </w:rPr>
        <w:t xml:space="preserve">(Barhorst, 1999–2000, p. 139), </w:t>
      </w:r>
      <w:r w:rsidRPr="00F933AF">
        <w:rPr>
          <w:rFonts w:cs="Calibri"/>
          <w:b/>
          <w:sz w:val="23"/>
          <w:szCs w:val="23"/>
          <w:u w:val="single"/>
        </w:rPr>
        <w:t xml:space="preserve">reinforcing the belief that disability is exceptional rather than normative. </w:t>
      </w:r>
      <w:r w:rsidRPr="00F933AF">
        <w:rPr>
          <w:rFonts w:cs="Calibri"/>
          <w:sz w:val="23"/>
          <w:szCs w:val="23"/>
          <w:u w:val="single"/>
        </w:rPr>
        <w:t>This insular version of disablement carries</w:t>
      </w:r>
      <w:r w:rsidRPr="00F933AF">
        <w:rPr>
          <w:rFonts w:cs="Calibri"/>
          <w:sz w:val="16"/>
          <w:szCs w:val="23"/>
        </w:rPr>
        <w:t xml:space="preserve"> with it a negative connotation that Rovner (2001, p. 250) argued </w:t>
      </w:r>
      <w:r w:rsidRPr="00F933AF">
        <w:rPr>
          <w:rFonts w:cs="Calibri"/>
          <w:sz w:val="23"/>
          <w:szCs w:val="23"/>
          <w:u w:val="single"/>
        </w:rPr>
        <w:t xml:space="preserve">is </w:t>
      </w:r>
      <w:r w:rsidRPr="00F933AF">
        <w:rPr>
          <w:rFonts w:cs="Calibri"/>
          <w:b/>
          <w:sz w:val="23"/>
          <w:szCs w:val="23"/>
          <w:u w:val="single"/>
        </w:rPr>
        <w:t>“hard wired into law</w:t>
      </w:r>
      <w:r w:rsidRPr="00F933AF">
        <w:rPr>
          <w:rFonts w:cs="Calibri"/>
          <w:sz w:val="23"/>
          <w:szCs w:val="23"/>
          <w:u w:val="single"/>
        </w:rPr>
        <w:t xml:space="preserve">.” A good citizen is one who does the right thing by mitigating an assumed burden associated with their impairment. </w:t>
      </w:r>
      <w:r w:rsidRPr="00F933AF">
        <w:rPr>
          <w:rFonts w:cs="Calibri"/>
          <w:b/>
          <w:sz w:val="23"/>
          <w:szCs w:val="23"/>
          <w:u w:val="single"/>
        </w:rPr>
        <w:t>Legal discourses play a critical role in maintaining the distinction between those designated as sick, well, de- serving, and undeserving.</w:t>
      </w:r>
      <w:r w:rsidRPr="00F933AF">
        <w:rPr>
          <w:rFonts w:cs="Calibri"/>
          <w:sz w:val="16"/>
          <w:szCs w:val="23"/>
        </w:rPr>
        <w:t xml:space="preserve"> </w:t>
      </w:r>
      <w:r w:rsidRPr="00F933AF">
        <w:rPr>
          <w:rFonts w:cs="Calibri"/>
          <w:b/>
          <w:sz w:val="23"/>
          <w:szCs w:val="23"/>
          <w:u w:val="single"/>
        </w:rPr>
        <w:t>Disabled people’s interactions with law necessitate that people with disability act in ways that are in accordance with discourses norm of abled-ness.</w:t>
      </w:r>
      <w:r w:rsidRPr="00F933AF">
        <w:rPr>
          <w:rFonts w:cs="Calibri"/>
          <w:sz w:val="16"/>
          <w:szCs w:val="23"/>
        </w:rPr>
        <w:t xml:space="preserve"> Maybe </w:t>
      </w:r>
      <w:r w:rsidRPr="00F933AF">
        <w:rPr>
          <w:rFonts w:cs="Calibri"/>
          <w:sz w:val="23"/>
          <w:szCs w:val="23"/>
          <w:u w:val="single"/>
        </w:rPr>
        <w:t>the spectacle of a litigant with disability acting out a part (</w:t>
      </w:r>
      <w:r w:rsidRPr="00F933AF">
        <w:rPr>
          <w:rFonts w:cs="Calibri"/>
          <w:b/>
          <w:sz w:val="23"/>
          <w:szCs w:val="23"/>
          <w:u w:val="single"/>
        </w:rPr>
        <w:t>the “disabled role”</w:t>
      </w:r>
      <w:r w:rsidRPr="00F933AF">
        <w:rPr>
          <w:rFonts w:cs="Calibri"/>
          <w:sz w:val="23"/>
          <w:szCs w:val="23"/>
          <w:u w:val="single"/>
        </w:rPr>
        <w:t>)</w:t>
      </w:r>
      <w:r w:rsidRPr="00F933AF">
        <w:rPr>
          <w:rFonts w:cs="Calibri"/>
          <w:sz w:val="16"/>
          <w:szCs w:val="23"/>
        </w:rPr>
        <w:t xml:space="preserve"> in court would be amusing—</w:t>
      </w:r>
      <w:r w:rsidRPr="00F933AF">
        <w:rPr>
          <w:rFonts w:cs="Calibri"/>
          <w:sz w:val="23"/>
          <w:szCs w:val="23"/>
          <w:u w:val="single"/>
        </w:rPr>
        <w:t>a performance necessary to achieve a remedy, were it not for the enduring psychic consequences of playing to such a drama</w:t>
      </w:r>
      <w:r w:rsidRPr="00F933AF">
        <w:rPr>
          <w:rFonts w:cs="Calibri"/>
          <w:sz w:val="16"/>
          <w:szCs w:val="23"/>
        </w:rPr>
        <w:t xml:space="preserve">. It is important to not just look at what is confessed or how disability is spoken of in trial judgments; </w:t>
      </w:r>
      <w:r w:rsidRPr="00F933AF">
        <w:rPr>
          <w:rFonts w:cs="Calibri"/>
          <w:b/>
          <w:sz w:val="23"/>
          <w:szCs w:val="23"/>
          <w:u w:val="single"/>
        </w:rPr>
        <w:t>there is also a need to interrogate the silences and uncontested assumptions about disablement.</w:t>
      </w:r>
      <w:r w:rsidRPr="00F933AF">
        <w:rPr>
          <w:rFonts w:cs="Calibri"/>
          <w:sz w:val="16"/>
          <w:szCs w:val="23"/>
        </w:rPr>
        <w:t xml:space="preserve"> Injury then, and its companion response, mitigation of impairment, has become the interpretive lens through which to speak of the experiences of impairment and its performative and economic impacts. In short, </w:t>
      </w:r>
      <w:r w:rsidRPr="00F933AF">
        <w:rPr>
          <w:rFonts w:cs="Calibri"/>
          <w:sz w:val="23"/>
          <w:szCs w:val="23"/>
          <w:u w:val="single"/>
        </w:rPr>
        <w:t xml:space="preserve">the entry point of disability into law is through </w:t>
      </w:r>
      <w:r w:rsidRPr="00F933AF">
        <w:rPr>
          <w:rFonts w:cs="Calibri"/>
          <w:b/>
          <w:sz w:val="23"/>
          <w:szCs w:val="23"/>
          <w:u w:val="single"/>
        </w:rPr>
        <w:t>the doors of deficiency</w:t>
      </w:r>
      <w:r w:rsidRPr="00F933AF">
        <w:rPr>
          <w:rFonts w:cs="Calibri"/>
          <w:sz w:val="23"/>
          <w:szCs w:val="23"/>
          <w:u w:val="single"/>
        </w:rPr>
        <w:t>—an assumed deficiency in the body, merging into a deficiency in character.</w:t>
      </w:r>
      <w:r w:rsidRPr="00F933AF">
        <w:rPr>
          <w:rFonts w:cs="Calibri"/>
          <w:sz w:val="16"/>
          <w:szCs w:val="23"/>
        </w:rPr>
        <w:t xml:space="preserve"> The art of lawyering is a process that involves fictional creations of truth, where as Cain (1994) described “lawyers are imaginative traders in words. But these symbols traders are also creative. They invent categories and these categories constitute the practices and institutions within which their clients can achieve their objectives” (p. 33). I</w:t>
      </w:r>
      <w:r w:rsidRPr="00F933AF">
        <w:rPr>
          <w:rFonts w:cs="Calibri"/>
          <w:b/>
          <w:sz w:val="23"/>
          <w:szCs w:val="23"/>
          <w:u w:val="single"/>
        </w:rPr>
        <w:t>nsofar as deficiency and the tragedy of impairment are assumed, liminality created by an ableist culture, and the ways law culturally mediates difference and marginality become curtailed and hidden</w:t>
      </w:r>
      <w:r w:rsidRPr="00F933AF">
        <w:rPr>
          <w:rFonts w:cs="Calibri"/>
          <w:sz w:val="16"/>
          <w:szCs w:val="23"/>
        </w:rPr>
        <w:t xml:space="preserve">. </w:t>
      </w:r>
      <w:r w:rsidRPr="00F933AF">
        <w:rPr>
          <w:rFonts w:cs="Calibri"/>
          <w:sz w:val="23"/>
          <w:szCs w:val="23"/>
          <w:u w:val="single"/>
        </w:rPr>
        <w:t>The necessity to embrace the narrative of suffering signifies disability as a negative state.</w:t>
      </w:r>
      <w:r w:rsidRPr="00F933AF">
        <w:rPr>
          <w:rFonts w:cs="Calibri"/>
          <w:sz w:val="16"/>
          <w:szCs w:val="23"/>
        </w:rPr>
        <w:t xml:space="preserve"> The burden of negative formulations of disablement means that the litigant with disability would have difficulty if she wished to present an affirmative approach to living with an impairment colored by a mixture of joy and despair. Such a representation is diametrically in opposition to dominant cultural narratives of disablement as catastrophe and therefore as Rovner (2001) observed, “law’s constraints make it impossible for [those] stories . . . to be heard and recognized” (p. 277). In summary, </w:t>
      </w:r>
      <w:r w:rsidRPr="00F933AF">
        <w:rPr>
          <w:rFonts w:cs="Calibri"/>
          <w:sz w:val="23"/>
          <w:szCs w:val="23"/>
          <w:u w:val="single"/>
        </w:rPr>
        <w:t>the inscription of certain figurations of legal disability re- quires that disabled people’s experiences be regulated</w:t>
      </w:r>
      <w:r w:rsidRPr="00F933AF">
        <w:rPr>
          <w:rFonts w:cs="Calibri"/>
          <w:sz w:val="16"/>
          <w:szCs w:val="23"/>
        </w:rPr>
        <w:t xml:space="preserve"> within the confines of juridical formations, ultimately </w:t>
      </w:r>
      <w:r w:rsidRPr="00F933AF">
        <w:rPr>
          <w:rFonts w:cs="Calibri"/>
          <w:sz w:val="23"/>
          <w:szCs w:val="23"/>
          <w:u w:val="single"/>
        </w:rPr>
        <w:t>foreclosing any alternative perspectives</w:t>
      </w:r>
      <w:r w:rsidRPr="00F933AF">
        <w:rPr>
          <w:rFonts w:cs="Calibri"/>
          <w:sz w:val="16"/>
          <w:szCs w:val="23"/>
        </w:rPr>
        <w:t xml:space="preserve">. Interestingly, </w:t>
      </w:r>
      <w:r w:rsidRPr="00F933AF">
        <w:rPr>
          <w:rFonts w:cs="Calibri"/>
          <w:sz w:val="23"/>
          <w:szCs w:val="23"/>
          <w:u w:val="single"/>
        </w:rPr>
        <w:t>the delimitation and marking of certain bodies as disabled or in- jured, bears little resemblance to the views of people with impairments and is ostensibly “imposed through policies of repression and coercion” (</w:t>
      </w:r>
      <w:r w:rsidRPr="00F933AF">
        <w:rPr>
          <w:rFonts w:cs="Calibri"/>
          <w:sz w:val="16"/>
          <w:szCs w:val="23"/>
        </w:rPr>
        <w:t xml:space="preserve">Emecke, 2000, p. 494). </w:t>
      </w:r>
      <w:r w:rsidRPr="00F933AF">
        <w:rPr>
          <w:rFonts w:cs="Calibri"/>
          <w:sz w:val="23"/>
          <w:szCs w:val="23"/>
          <w:u w:val="single"/>
        </w:rPr>
        <w:t>Legal rendering of disability through statutory defi nitions and case law can produce a dissonance between those “offi cial” and private realities</w:t>
      </w:r>
      <w:r w:rsidRPr="00F933AF">
        <w:rPr>
          <w:rFonts w:cs="Calibri"/>
          <w:sz w:val="16"/>
          <w:szCs w:val="23"/>
        </w:rPr>
        <w:t xml:space="preserve">. </w:t>
      </w:r>
      <w:r w:rsidRPr="00F933AF">
        <w:rPr>
          <w:rFonts w:cs="Calibri"/>
          <w:sz w:val="16"/>
          <w:szCs w:val="16"/>
        </w:rPr>
        <w:t xml:space="preserve">2 </w:t>
      </w:r>
      <w:r w:rsidRPr="00F933AF">
        <w:rPr>
          <w:rFonts w:cs="Calibri"/>
          <w:sz w:val="16"/>
          <w:szCs w:val="23"/>
        </w:rPr>
        <w:t xml:space="preserve">“Mitigation compulsions or ‘the most envenomed serpents admit of some mitigation, and will not bite their benefactors’ ” (Josephus, 1974, p. xvii. v. 5). </w:t>
      </w:r>
    </w:p>
    <w:p w:rsidR="00E21E86" w:rsidRPr="00F933AF" w:rsidRDefault="00E21E86" w:rsidP="00E21E86">
      <w:pPr>
        <w:pStyle w:val="Heading4"/>
        <w:rPr>
          <w:rFonts w:cs="Calibri"/>
        </w:rPr>
      </w:pPr>
      <w:r w:rsidRPr="00F933AF">
        <w:rPr>
          <w:rFonts w:cs="Calibri"/>
        </w:rPr>
        <w:t>The affirmative puts the cart before the horse – their model of societal inclusion forces disability to assimilate into normative bodies of law that reinsc</w:t>
      </w:r>
      <w:r>
        <w:rPr>
          <w:rFonts w:cs="Calibri"/>
        </w:rPr>
        <w:t>ribe ableism – the mere act of letting people in</w:t>
      </w:r>
      <w:r w:rsidRPr="00F933AF">
        <w:rPr>
          <w:rFonts w:cs="Calibri"/>
        </w:rPr>
        <w:t xml:space="preserve"> papers over the liberalist unfreedoms of civil society </w:t>
      </w:r>
    </w:p>
    <w:p w:rsidR="00E21E86" w:rsidRPr="00F933AF" w:rsidRDefault="00E21E86" w:rsidP="00E21E86">
      <w:pPr>
        <w:rPr>
          <w:rFonts w:cs="Calibri"/>
          <w:sz w:val="20"/>
          <w:szCs w:val="20"/>
        </w:rPr>
      </w:pPr>
      <w:r w:rsidRPr="00F933AF">
        <w:rPr>
          <w:rStyle w:val="Style13ptBold"/>
          <w:rFonts w:cs="Calibri"/>
        </w:rPr>
        <w:t xml:space="preserve">Campbell 01 </w:t>
      </w:r>
      <w:r w:rsidRPr="00F933AF">
        <w:rPr>
          <w:rStyle w:val="Style13ptBold"/>
          <w:rFonts w:cs="Calibri"/>
          <w:b w:val="0"/>
          <w:sz w:val="16"/>
          <w:szCs w:val="16"/>
        </w:rPr>
        <w:t xml:space="preserve">Fiona K- </w:t>
      </w:r>
      <w:r w:rsidRPr="00F933AF">
        <w:rPr>
          <w:rFonts w:cs="Calibri"/>
          <w:sz w:val="16"/>
          <w:szCs w:val="16"/>
        </w:rPr>
        <w:t>PhD Candidate, Faculty of Creative Industries, Queensland University of Technology and Sessional Lecturer, School of Human Services, Griffith University.</w:t>
      </w:r>
      <w:r w:rsidRPr="00F933AF">
        <w:rPr>
          <w:rFonts w:cs="Calibri"/>
          <w:color w:val="222222"/>
          <w:sz w:val="16"/>
          <w:szCs w:val="16"/>
          <w:shd w:val="clear" w:color="auto" w:fill="FFFFFF"/>
        </w:rPr>
        <w:t xml:space="preserve"> “Inciting Legal Fictions: ‘Disability’s’ Date with Ontology and the Ableist Body of Law” Griffith Law Review 2001pg. 43-45</w:t>
      </w:r>
      <w:r>
        <w:rPr>
          <w:rFonts w:cs="Calibri"/>
          <w:color w:val="222222"/>
          <w:sz w:val="16"/>
          <w:szCs w:val="16"/>
          <w:shd w:val="clear" w:color="auto" w:fill="FFFFFF"/>
        </w:rPr>
        <w:t>//mr</w:t>
      </w:r>
    </w:p>
    <w:p w:rsidR="00E21E86" w:rsidRPr="00F933AF" w:rsidRDefault="00E21E86" w:rsidP="00E21E86">
      <w:pPr>
        <w:rPr>
          <w:rFonts w:cs="Calibri"/>
          <w:sz w:val="14"/>
        </w:rPr>
      </w:pPr>
      <w:r w:rsidRPr="00F933AF">
        <w:rPr>
          <w:rFonts w:cs="Calibri"/>
          <w:u w:val="single"/>
        </w:rPr>
        <w:t>Western neo-liberal societies hold freedom to be an inalienable and inherent right of the individual citizen and justice to be a pre-eminent virtue of 'civilised' society.</w:t>
      </w:r>
      <w:r w:rsidRPr="00F933AF">
        <w:rPr>
          <w:rFonts w:cs="Calibri"/>
          <w:sz w:val="14"/>
        </w:rPr>
        <w:t xml:space="preserve"> 10 </w:t>
      </w:r>
      <w:r w:rsidRPr="00F933AF">
        <w:rPr>
          <w:rFonts w:cs="Calibri"/>
          <w:u w:val="single"/>
        </w:rPr>
        <w:t>The ethos of freedom</w:t>
      </w:r>
      <w:r w:rsidRPr="00F933AF">
        <w:rPr>
          <w:rFonts w:cs="Calibri"/>
          <w:sz w:val="14"/>
        </w:rPr>
        <w:t xml:space="preserve"> </w:t>
      </w:r>
      <w:r w:rsidRPr="00F933AF">
        <w:rPr>
          <w:rFonts w:cs="Calibri"/>
          <w:u w:val="single"/>
        </w:rPr>
        <w:t>is a foundation of</w:t>
      </w:r>
      <w:r w:rsidRPr="00F933AF">
        <w:rPr>
          <w:rFonts w:cs="Calibri"/>
          <w:sz w:val="14"/>
        </w:rPr>
        <w:t xml:space="preserve"> the politics of our present, a mark and effect of the virtues of </w:t>
      </w:r>
      <w:r w:rsidRPr="00F933AF">
        <w:rPr>
          <w:rFonts w:cs="Calibri"/>
          <w:u w:val="single"/>
        </w:rPr>
        <w:t>practised democracy - a measure of a society's true worth and 'advancement'.</w:t>
      </w:r>
      <w:r w:rsidRPr="00F933AF">
        <w:rPr>
          <w:rFonts w:cs="Calibri"/>
          <w:sz w:val="14"/>
        </w:rPr>
        <w:t xml:space="preserve"> We are seduced into freedom, a utopic dream that holds within it a promise, a vision of an alternative way of living. Particularly </w:t>
      </w:r>
      <w:r w:rsidRPr="00F933AF">
        <w:rPr>
          <w:rFonts w:cs="Calibri"/>
          <w:u w:val="single"/>
        </w:rPr>
        <w:t>for disability activists and</w:t>
      </w:r>
      <w:r w:rsidRPr="00F933AF">
        <w:rPr>
          <w:rFonts w:cs="Calibri"/>
          <w:sz w:val="14"/>
        </w:rPr>
        <w:t xml:space="preserve"> many '</w:t>
      </w:r>
      <w:r w:rsidRPr="00F933AF">
        <w:rPr>
          <w:rFonts w:cs="Calibri"/>
          <w:u w:val="single"/>
        </w:rPr>
        <w:t>folk' living on the 'underside' of liberalism,</w:t>
      </w:r>
      <w:r w:rsidRPr="00F933AF">
        <w:rPr>
          <w:rFonts w:cs="Calibri"/>
          <w:sz w:val="14"/>
        </w:rPr>
        <w:t xml:space="preserve"> </w:t>
      </w:r>
      <w:r w:rsidRPr="00F933AF">
        <w:rPr>
          <w:rFonts w:cs="Calibri"/>
          <w:u w:val="single"/>
        </w:rPr>
        <w:t>the ethos of freedom has performed as a source of emancipation containing a promise to address social injury</w:t>
      </w:r>
      <w:r w:rsidRPr="00F933AF">
        <w:rPr>
          <w:rFonts w:cs="Calibri"/>
          <w:sz w:val="14"/>
        </w:rPr>
        <w:t xml:space="preserve">. </w:t>
      </w:r>
      <w:r w:rsidRPr="00F933AF">
        <w:rPr>
          <w:rFonts w:cs="Calibri"/>
          <w:u w:val="single"/>
        </w:rPr>
        <w:t>Yet</w:t>
      </w:r>
      <w:r w:rsidRPr="00F933AF">
        <w:rPr>
          <w:rFonts w:cs="Calibri"/>
          <w:sz w:val="14"/>
        </w:rPr>
        <w:t xml:space="preserve">, as Wendy Brown reminds us, </w:t>
      </w:r>
      <w:r w:rsidRPr="00F933AF">
        <w:rPr>
          <w:rFonts w:cs="Calibri"/>
          <w:u w:val="single"/>
        </w:rPr>
        <w:t>freedom contains its own paradox</w:t>
      </w:r>
      <w:r w:rsidRPr="00F933AF">
        <w:rPr>
          <w:rFonts w:cs="Calibri"/>
          <w:sz w:val="14"/>
        </w:rPr>
        <w:t xml:space="preserve"> - </w:t>
      </w:r>
      <w:r w:rsidRPr="00F933AF">
        <w:rPr>
          <w:rFonts w:cs="Calibri"/>
          <w:b/>
          <w:u w:val="single"/>
        </w:rPr>
        <w:t>the incitement of freedom requires those very structures of oppression that freedom emerges to oppose.</w:t>
      </w:r>
      <w:r w:rsidRPr="00F933AF">
        <w:rPr>
          <w:rFonts w:cs="Calibri"/>
          <w:sz w:val="14"/>
        </w:rPr>
        <w:t xml:space="preserve"> In the next two sections, I consider two aspects of the practices of freedom. The first considers how we have come to define the individual subject on the basis of certain notions of freedom. The second critically interrogates the libertarian project's engagement with the concept of social injury and ressentiment. In recent times, </w:t>
      </w:r>
      <w:r w:rsidRPr="00F933AF">
        <w:rPr>
          <w:rFonts w:cs="Calibri"/>
          <w:u w:val="single"/>
        </w:rPr>
        <w:t>the practices of freedom have been moulded and codified into the apparatus of the welfare state, citizenship and legal personality.</w:t>
      </w:r>
      <w:r w:rsidRPr="00F933AF">
        <w:rPr>
          <w:rFonts w:cs="Calibri"/>
          <w:sz w:val="14"/>
        </w:rPr>
        <w:t xml:space="preserve"> </w:t>
      </w:r>
      <w:r w:rsidRPr="00F933AF">
        <w:rPr>
          <w:rFonts w:cs="Calibri"/>
          <w:b/>
          <w:u w:val="single"/>
        </w:rPr>
        <w:t>This ideal presents freedom as autonomy, meaning the drive towards potential maximisation; to be a choosing, desiring and consuming subject.</w:t>
      </w:r>
      <w:r w:rsidRPr="00F933AF">
        <w:rPr>
          <w:rFonts w:cs="Calibri"/>
          <w:sz w:val="14"/>
        </w:rPr>
        <w:t xml:space="preserve"> </w:t>
      </w:r>
      <w:r w:rsidRPr="00F933AF">
        <w:rPr>
          <w:rFonts w:cs="Calibri"/>
          <w:b/>
          <w:u w:val="single"/>
        </w:rPr>
        <w:t>Our subject is assumed to be an independent centre of self-consciousness, which holds autonomy to be intrinsically valuable.'</w:t>
      </w:r>
      <w:r w:rsidRPr="00F933AF">
        <w:rPr>
          <w:rFonts w:cs="Calibri"/>
          <w:sz w:val="14"/>
        </w:rPr>
        <w:t xml:space="preserve"> 2 </w:t>
      </w:r>
      <w:r w:rsidRPr="00F933AF">
        <w:rPr>
          <w:rFonts w:cs="Calibri"/>
          <w:u w:val="single"/>
        </w:rPr>
        <w:t>Neo-liberalism's normative citizen</w:t>
      </w:r>
      <w:r w:rsidRPr="00F933AF">
        <w:rPr>
          <w:rFonts w:cs="Calibri"/>
          <w:sz w:val="14"/>
        </w:rPr>
        <w:t xml:space="preserve">, in the words of CB Macpherson, </w:t>
      </w:r>
      <w:r w:rsidRPr="00F933AF">
        <w:rPr>
          <w:rFonts w:cs="Calibri"/>
          <w:u w:val="single"/>
        </w:rPr>
        <w:t>is a nominal 'possessive individual': free in as much as he [sic] is proprietor of his person and capacities.</w:t>
      </w:r>
      <w:r w:rsidRPr="00F933AF">
        <w:rPr>
          <w:rFonts w:cs="Calibri"/>
          <w:sz w:val="14"/>
        </w:rPr>
        <w:t xml:space="preserve"> The human essence is freedom from dependence on the will of others, and 46 freedom is a function of possession ... Society consists of relations of exchange between proprietors. 1 3 </w:t>
      </w:r>
      <w:proofErr w:type="gramStart"/>
      <w:r w:rsidRPr="00F933AF">
        <w:rPr>
          <w:rFonts w:cs="Calibri"/>
          <w:sz w:val="14"/>
        </w:rPr>
        <w:t>This</w:t>
      </w:r>
      <w:proofErr w:type="gramEnd"/>
      <w:r w:rsidRPr="00F933AF">
        <w:rPr>
          <w:rFonts w:cs="Calibri"/>
          <w:sz w:val="14"/>
        </w:rPr>
        <w:t xml:space="preserve"> imaging of the neo-liberal subject insists that all people fit Macpherson's regulatory ideal. It is probably more correct to say that the thrust of </w:t>
      </w:r>
      <w:r w:rsidRPr="00F933AF">
        <w:rPr>
          <w:rFonts w:cs="Calibri"/>
          <w:u w:val="single"/>
        </w:rPr>
        <w:t>shaping identity is geared towards a 'best fit', normalising or morphed approach. The</w:t>
      </w:r>
      <w:r w:rsidRPr="00F933AF">
        <w:rPr>
          <w:rFonts w:cs="Calibri"/>
          <w:sz w:val="14"/>
        </w:rPr>
        <w:t xml:space="preserve"> tool of comparison, of normativity is the '</w:t>
      </w:r>
      <w:r w:rsidRPr="00F933AF">
        <w:rPr>
          <w:rFonts w:cs="Calibri"/>
          <w:u w:val="single"/>
        </w:rPr>
        <w:t>benchmark man</w:t>
      </w:r>
      <w:r w:rsidRPr="00F933AF">
        <w:rPr>
          <w:rFonts w:cs="Calibri"/>
          <w:sz w:val="14"/>
        </w:rPr>
        <w:t xml:space="preserve">', the normative citizen who </w:t>
      </w:r>
      <w:r w:rsidRPr="00F933AF">
        <w:rPr>
          <w:rFonts w:cs="Calibri"/>
          <w:u w:val="single"/>
        </w:rPr>
        <w:t>is: the paradigmatic incarnation of legality who represents the standard against whom others are measured and who is invariably White, heterosexual, able-bodied, politically conservative, and middle class.</w:t>
      </w:r>
      <w:r w:rsidRPr="00F933AF">
        <w:rPr>
          <w:rFonts w:cs="Calibri"/>
          <w:sz w:val="14"/>
        </w:rPr>
        <w:t xml:space="preserve">1 4 Such techniques of self are not usually imposed but rather sought, 15 as we are all enrolled into the task of self-appropriation and designation. 16 'Free' citizens are those who can take charge of themselves - to act as their own command centres. </w:t>
      </w:r>
      <w:r w:rsidRPr="00F933AF">
        <w:rPr>
          <w:rFonts w:cs="Calibri"/>
          <w:b/>
          <w:u w:val="single"/>
        </w:rPr>
        <w:t>A drive towards self-mastery may mean that it is not possible for some disabled people to be truly 'free' within the confines of liberalism unless some protectionist (paternalist) strategy or ethics of 'care' be employed.</w:t>
      </w:r>
      <w:r w:rsidRPr="00F933AF">
        <w:rPr>
          <w:rFonts w:cs="Calibri"/>
          <w:sz w:val="14"/>
        </w:rPr>
        <w:t xml:space="preserve"> In any case, the sovereign subject will not be destabilised until we dismantle and refute 'autonomy'' 7 as the basis for normative legal theory and revise the meaning of 'humanness' in terms of inter-relationality. Until then, </w:t>
      </w:r>
      <w:r w:rsidRPr="00F933AF">
        <w:rPr>
          <w:rFonts w:cs="Calibri"/>
          <w:b/>
          <w:u w:val="single"/>
        </w:rPr>
        <w:t>we are left with the task of managing or governing 'disability' so that its presence only minimally disrupts the system and the truth claims of legal discourse. Under liberalism, the production and governing of disability occur through its taming into a mere logical and discrete aetiological classification and ensuing ontological space.</w:t>
      </w:r>
      <w:r w:rsidRPr="00F933AF">
        <w:rPr>
          <w:rFonts w:cs="Calibri"/>
          <w:sz w:val="14"/>
        </w:rPr>
        <w:t xml:space="preserve"> Such a 'logic of identity' reduces disparity and difference to unity. In law, we find this logic expressed in the ideal of impartiality predicated upon the benchmark legal subject. Whilst feminist literature' 8 has critiqued this perspective by foregrounding the primary masculinist figuring of the legal subject, I argue that a more nuanced reading of 'legal man' must also extend its reasoning to incorporate ableism as a key characteristic of rampant masculinist subjectivity. Without ableism, the masculinist figuring would, we could colloquially say, 'lose its balls'. But such classifying practices go deeper than this. </w:t>
      </w:r>
      <w:r w:rsidRPr="00F933AF">
        <w:rPr>
          <w:rFonts w:cs="Calibri"/>
          <w:u w:val="single"/>
        </w:rPr>
        <w:t>The unruly, monstrous and boundary-breaching qualities of 'disability' need a kind of taming that distinguishes disability from associative fluid and leaky categories such as illness, poverty, ageing and other ontological confusions.</w:t>
      </w:r>
      <w:r w:rsidRPr="00F933AF">
        <w:rPr>
          <w:rFonts w:cs="Calibri"/>
          <w:sz w:val="14"/>
        </w:rPr>
        <w:t xml:space="preserve"> </w:t>
      </w:r>
      <w:r w:rsidRPr="00F933AF">
        <w:rPr>
          <w:rFonts w:cs="Calibri"/>
          <w:u w:val="single"/>
        </w:rPr>
        <w:t>Disability is not only catachrestic but also contestable.</w:t>
      </w:r>
      <w:r w:rsidRPr="00F933AF">
        <w:rPr>
          <w:rFonts w:cs="Calibri"/>
          <w:sz w:val="14"/>
        </w:rPr>
        <w:t xml:space="preserve"> Yet such corporeal slippages of the disability kind need containment, a civilised workability for procedural justice, a regulated liberty that produces practices of normality, rationality and pathology.' 9 An example of this is the continued use of intelligence tests to separate the 'eligible' from the 'ineligible' within international and national 20 disability legislation, despite serious concerns about their validity. 2 1 I submit, then, that </w:t>
      </w:r>
      <w:r w:rsidRPr="00F933AF">
        <w:rPr>
          <w:rFonts w:cs="Calibri"/>
          <w:u w:val="single"/>
        </w:rPr>
        <w:t>matters ontological are inextricably bound up with the politics of inclusion.</w:t>
      </w:r>
      <w:r w:rsidRPr="00F933AF">
        <w:rPr>
          <w:rFonts w:cs="Calibri"/>
          <w:sz w:val="14"/>
        </w:rPr>
        <w:t xml:space="preserve"> Linton adds weight to this conclusion in her suggestion that: the term 'disability' is a linchpin in a complex web of social ideals, institutional structures and government policies. As a result, many people have a vested interest in keeping a tenacious hold on the current meaning because it is consistent with the practice and policies that are central to their livelihood or their ideologies. 2 2 Let us consider what this means for understandings of disability and the way those figurings are mediated in law. </w:t>
      </w:r>
      <w:r w:rsidRPr="00F933AF">
        <w:rPr>
          <w:rFonts w:cs="Calibri"/>
          <w:b/>
          <w:u w:val="single"/>
        </w:rPr>
        <w:t>The working model of inclusion is really only successful to the extent that people with disabilities are able to 'opt in' or be assimilated.</w:t>
      </w:r>
      <w:r w:rsidRPr="00F933AF">
        <w:rPr>
          <w:rFonts w:cs="Calibri"/>
          <w:u w:val="single"/>
        </w:rPr>
        <w:t xml:space="preserve"> 23 For those who don't, it is assumed they will developmentally progress towards autonomy over time. The governing of liberal unfreedom responds to the problem of what is to be done with 'governing the remainder, with those it identifies as being less than fully autonomous'</w:t>
      </w:r>
      <w:r w:rsidRPr="00F933AF">
        <w:rPr>
          <w:rFonts w:cs="Calibri"/>
          <w:sz w:val="14"/>
        </w:rPr>
        <w:t xml:space="preserve">. 24 Hindess suggests three approaches: (1) a clearing away; (2) the compulsion towards disciplinary techniques (eg Social Role Valorisation Theory); and (3) targeting external causes by creating welfare safety nets. Legal intersections/interventions assist in the activity of government by allocating and regulating populations into distinct ontological categories such as 'disability' so that they are visible, calculable and therefore governable. The management of disability is possible through the partitioning and ranking of disability (high, medium, low support needs), and by instituting guardianship and programmatic arrangements based on sets of competency standards. </w:t>
      </w:r>
      <w:r w:rsidRPr="00F933AF">
        <w:rPr>
          <w:rFonts w:cs="Calibri"/>
          <w:u w:val="single"/>
        </w:rPr>
        <w:t>The fixity of disability within both legislative and case law not only establishes the boundaries of permissible inquiry, but also establishes the legal fiction of 'disability'. It is this hardening of disability - based more often than not on bio-medical technologies and ascriptions - that enforces the centrality of the ableist body and the terms of its negotiation.</w:t>
      </w:r>
      <w:r w:rsidRPr="00F933AF">
        <w:rPr>
          <w:rFonts w:cs="Calibri"/>
          <w:sz w:val="14"/>
        </w:rPr>
        <w:t xml:space="preserve"> </w:t>
      </w:r>
      <w:r w:rsidRPr="00F933AF">
        <w:rPr>
          <w:rFonts w:cs="Calibri"/>
          <w:b/>
          <w:u w:val="single"/>
        </w:rPr>
        <w:t>The formulations often engaged by disability activists and enshrined in disability-related law end up discursively entrenching and thus reinscribing, the very oppressive ontological figurings of disability many of us would like to escape</w:t>
      </w:r>
      <w:r w:rsidRPr="00F933AF">
        <w:rPr>
          <w:rFonts w:cs="Calibri"/>
          <w:sz w:val="14"/>
        </w:rPr>
        <w:t xml:space="preserve">. 26 </w:t>
      </w:r>
      <w:r w:rsidRPr="00F933AF">
        <w:rPr>
          <w:rFonts w:cs="Calibri"/>
          <w:u w:val="single"/>
        </w:rPr>
        <w:t>Alternative renderings of disability, if they are not able to 'fit' such prescribed 'fictions', are barred from entry</w:t>
      </w:r>
      <w:r w:rsidRPr="00F933AF">
        <w:rPr>
          <w:rFonts w:cs="Calibri"/>
          <w:sz w:val="14"/>
        </w:rPr>
        <w:t xml:space="preserve">. Consider the instructions in a recent staff survey produced by the Equity section of Queensland University of Technology and its banishment of certain 'kinds' of disability: You should answer 'yes' to question 2 only if you are a person with a disability which is likely to last, or has lasted two or more years. Please note that if you use spectacles, contact lenses or other aids to fully correct your vision or hearing, you do not need to indicate that you are a person with a disability, and would answer no. </w:t>
      </w:r>
    </w:p>
    <w:p w:rsidR="00CE6D10" w:rsidRDefault="00CE6D10" w:rsidP="00CE6D10">
      <w:pPr>
        <w:rPr>
          <w:rFonts w:cs="Calibri"/>
        </w:rPr>
      </w:pPr>
    </w:p>
    <w:p w:rsidR="00E21E86" w:rsidRPr="00F933AF" w:rsidRDefault="00E21E86" w:rsidP="00E21E86">
      <w:pPr>
        <w:pStyle w:val="Heading3"/>
        <w:rPr>
          <w:rFonts w:cs="Calibri"/>
        </w:rPr>
      </w:pPr>
      <w:r>
        <w:rPr>
          <w:rFonts w:cs="Calibri"/>
        </w:rPr>
        <w:t xml:space="preserve">Link - </w:t>
      </w:r>
      <w:r w:rsidRPr="00F933AF">
        <w:rPr>
          <w:rFonts w:cs="Calibri"/>
        </w:rPr>
        <w:t>Biosemiotics</w:t>
      </w:r>
    </w:p>
    <w:p w:rsidR="00E21E86" w:rsidRPr="00F933AF" w:rsidRDefault="00E21E86" w:rsidP="00E21E86">
      <w:pPr>
        <w:pStyle w:val="Heading4"/>
        <w:rPr>
          <w:rFonts w:cs="Calibri"/>
        </w:rPr>
      </w:pPr>
      <w:r w:rsidRPr="00F933AF">
        <w:rPr>
          <w:rFonts w:cs="Calibri"/>
        </w:rPr>
        <w:t>The semiotics of the law control the boundaries between desirable and undesirable bodies – this power to create and deny access perpetuates a violent process of eugenics for the sake of populational reproduction – only by understanding biosemiotics can we understand the relation of disability and the nation</w:t>
      </w:r>
    </w:p>
    <w:p w:rsidR="00E21E86" w:rsidRPr="00F933AF" w:rsidRDefault="00E21E86" w:rsidP="00E21E86">
      <w:pPr>
        <w:rPr>
          <w:rStyle w:val="Style13ptBold"/>
          <w:rFonts w:cs="Calibri"/>
        </w:rPr>
      </w:pPr>
      <w:r w:rsidRPr="00F933AF">
        <w:rPr>
          <w:rStyle w:val="Style13ptBold"/>
          <w:rFonts w:cs="Calibri"/>
        </w:rPr>
        <w:t>Wheeler 17</w:t>
      </w:r>
      <w:r w:rsidRPr="00F933AF">
        <w:rPr>
          <w:rFonts w:cs="Calibri"/>
        </w:rPr>
        <w:t xml:space="preserve"> (Stephanie K. Wheeler, Department of Writing and Rhetoric at the University of Central Florida, “The construction of access: the eugenic precedent of the Americans with Disabilities Act,” [Taylor and Francis Online], February 10</w:t>
      </w:r>
      <w:r w:rsidRPr="00F933AF">
        <w:rPr>
          <w:rFonts w:cs="Calibri"/>
          <w:vertAlign w:val="superscript"/>
        </w:rPr>
        <w:t>th</w:t>
      </w:r>
      <w:r w:rsidRPr="00F933AF">
        <w:rPr>
          <w:rFonts w:cs="Calibri"/>
        </w:rPr>
        <w:t xml:space="preserve"> 2017, accessed: 7/11/18, https://www.tandfonline.com/doi/abs/10.1080/10304312.2016.1275132?src=recsys&amp;journalCode=ccon20)//DCai</w:t>
      </w:r>
    </w:p>
    <w:p w:rsidR="00E21E86" w:rsidRPr="00F933AF" w:rsidRDefault="00E21E86" w:rsidP="00E21E86">
      <w:pPr>
        <w:rPr>
          <w:rFonts w:cs="Calibri"/>
          <w:sz w:val="16"/>
        </w:rPr>
      </w:pPr>
      <w:r w:rsidRPr="00F933AF">
        <w:rPr>
          <w:rFonts w:cs="Calibri"/>
          <w:sz w:val="16"/>
        </w:rPr>
        <w:t xml:space="preserve">Dolmage’s assertion relies on Michel De Certeau’s ([1984] 2002) distinction between space and place, wherein ‘a place is the order (of whatever kind) in accord with which elements are distributed in relationships of coexistence,’ and thus is ‘an instantaneous configuration of positions. It implies an indication of stability’. Alternatively, De Certeau (117) explains that a ‘space is composed of intersections of mobile elements’ and should thus be considered a practiced place. In other words, where place is considered static, defined by its material conditions, space is malleable, defined through the practices that occur within those conditions. Cities, for example, are constantly changing, moving and creating; as a result, Wagner argues (2011, 231), mobility and malleability are central to the success of a space, especially an urban one. Yet, the </w:t>
      </w:r>
      <w:r w:rsidRPr="00F933AF">
        <w:rPr>
          <w:rStyle w:val="Emphasis"/>
          <w:rFonts w:cs="Calibri"/>
        </w:rPr>
        <w:t>laws regarding public space often regard that space as a place, a static, geographical site that can be controlled through language</w:t>
      </w:r>
      <w:r w:rsidRPr="00F933AF">
        <w:rPr>
          <w:rFonts w:cs="Calibri"/>
          <w:sz w:val="16"/>
        </w:rPr>
        <w:t xml:space="preserve">. As a consequence, </w:t>
      </w:r>
      <w:r w:rsidRPr="00F933AF">
        <w:rPr>
          <w:rStyle w:val="StyleUnderline"/>
          <w:rFonts w:cs="Calibri"/>
        </w:rPr>
        <w:t>the language used to create those laws carries the assumption with it that the ‘static’ and ‘neutral’ nature of legislative language – that is, the nature of the ‘official’ language will not be misconstrued</w:t>
      </w:r>
      <w:r w:rsidRPr="00F933AF">
        <w:rPr>
          <w:rFonts w:cs="Calibri"/>
          <w:sz w:val="16"/>
        </w:rPr>
        <w:t>. Maley (1994, 22) clarifies this reliance on the notion of fixed meaning in legislative language: ‘</w:t>
      </w:r>
      <w:r w:rsidRPr="00F933AF">
        <w:rPr>
          <w:rStyle w:val="StyleUnderline"/>
          <w:rFonts w:cs="Calibri"/>
        </w:rPr>
        <w:t>Technical language in the sense of words with fixed and definite meaning is generally considered to be one of the most distinctive features of legal discourse in general</w:t>
      </w:r>
      <w:r w:rsidRPr="00F933AF">
        <w:rPr>
          <w:rFonts w:cs="Calibri"/>
          <w:sz w:val="16"/>
        </w:rPr>
        <w:t xml:space="preserve">’. Yet, as Kevelson (1988) notes, finding </w:t>
      </w:r>
      <w:r w:rsidRPr="00F933AF">
        <w:rPr>
          <w:rStyle w:val="StyleUnderline"/>
          <w:rFonts w:cs="Calibri"/>
        </w:rPr>
        <w:t>a fixed meaning in legislative language is impossible because it works within a semiotic system of movement and differences, and is enforced via semiotic processes of the same nature.</w:t>
      </w:r>
      <w:r w:rsidRPr="00F933AF">
        <w:rPr>
          <w:rFonts w:cs="Calibri"/>
          <w:sz w:val="16"/>
        </w:rPr>
        <w:t xml:space="preserve"> Thus, as Wagner (2011) argues, </w:t>
      </w:r>
      <w:r w:rsidRPr="00F933AF">
        <w:rPr>
          <w:rStyle w:val="StyleUnderline"/>
          <w:rFonts w:cs="Calibri"/>
        </w:rPr>
        <w:t xml:space="preserve">if we are to understand the legal language that conditions the usage of space, we must treat space as also part of a semiotic system. </w:t>
      </w:r>
      <w:r w:rsidRPr="00F933AF">
        <w:rPr>
          <w:rFonts w:cs="Calibri"/>
          <w:sz w:val="16"/>
        </w:rPr>
        <w:t>Space, for Wagner, is a form of non-verbal communication that enables law, language and audience access to the complex signification that it communicates</w:t>
      </w:r>
      <w:r w:rsidRPr="00F933AF">
        <w:rPr>
          <w:rStyle w:val="StyleUnderline"/>
          <w:rFonts w:cs="Calibri"/>
        </w:rPr>
        <w:t>. Despite the fact that visual signs are not considered language, they do belong to and form a system with elements of language</w:t>
      </w:r>
      <w:r w:rsidRPr="00F933AF">
        <w:rPr>
          <w:rFonts w:cs="Calibri"/>
          <w:sz w:val="16"/>
        </w:rPr>
        <w:t xml:space="preserve"> (Mitchell 2005, 21); thus, the visual space of urban locations and the laws that condition their use and functions are governed by the same, larger semiotic system (Marusek 2005, 2009; Wagner 2006; Summerfield and McHoul 2009). Foucault’s (1975) insistence that space functions as displays of power and control inform the analysis Wagner (2011) offers, demonstrating how urban space does not display ‘an innocent control. This is the case of public urban planning whose reshaping is supposed to dissuade and also make repression easier in a non-transparent and invisible way’. Accordingly, </w:t>
      </w:r>
      <w:r w:rsidRPr="00F933AF">
        <w:rPr>
          <w:rStyle w:val="StyleUnderline"/>
          <w:rFonts w:cs="Calibri"/>
        </w:rPr>
        <w:t xml:space="preserve">regarding space as a semiotic system provides an opportunity to engage spaces of access – those that provide limit and create access – within the semiotic power structures in which they were conceived. </w:t>
      </w:r>
      <w:r w:rsidRPr="00F933AF">
        <w:rPr>
          <w:rFonts w:cs="Calibri"/>
          <w:sz w:val="16"/>
        </w:rPr>
        <w:t xml:space="preserve">Constructions of deviance: eugenics and biosemiotics Cobley (2010, 234) observes that </w:t>
      </w:r>
      <w:r w:rsidRPr="00F933AF">
        <w:rPr>
          <w:rStyle w:val="StyleUnderline"/>
          <w:rFonts w:cs="Calibri"/>
        </w:rPr>
        <w:t>in the field of biosemiotics – the study of biological processes as a semiotic systems – language is regarded as a complex modelling device that is foundational to communication because of ‘semiotic freedom’ that is, the symbol’s ability to grow.</w:t>
      </w:r>
      <w:r w:rsidRPr="00F933AF">
        <w:rPr>
          <w:rFonts w:cs="Calibri"/>
          <w:sz w:val="16"/>
        </w:rPr>
        <w:t xml:space="preserve"> This growth, Favareau (2010, 32) reminds us, is not a random process, but one of the ‘enacted accomplishment[s]’ that will have to be understood as accomplishments of intent ‘if we are ever to understand the bio-logical side of living organisms’ material interactions’. The implication of Cobley’s observation in light of Faverau’s argument is that biology and biological functioning are subject to the same kinds of dynamic interplays within and between semiotic systems. Put another way, </w:t>
      </w:r>
      <w:r w:rsidRPr="00F933AF">
        <w:rPr>
          <w:rStyle w:val="StyleUnderline"/>
          <w:rFonts w:cs="Calibri"/>
        </w:rPr>
        <w:t>if we are to accept biology as a semiotic system</w:t>
      </w:r>
      <w:r w:rsidRPr="00F933AF">
        <w:rPr>
          <w:rFonts w:cs="Calibri"/>
          <w:sz w:val="16"/>
        </w:rPr>
        <w:t xml:space="preserve"> (as we accept law as a semiotic system), </w:t>
      </w:r>
      <w:r w:rsidRPr="00F933AF">
        <w:rPr>
          <w:rStyle w:val="StyleUnderline"/>
          <w:rFonts w:cs="Calibri"/>
        </w:rPr>
        <w:t>we must also accept that functions of the body – like functions of space – produce signs that rehearse cultural narratives the same way that laws produce spaces that rehearse the same narratives.</w:t>
      </w:r>
      <w:r w:rsidRPr="00F933AF">
        <w:rPr>
          <w:rFonts w:cs="Calibri"/>
          <w:sz w:val="16"/>
        </w:rPr>
        <w:t xml:space="preserve"> Significantly, </w:t>
      </w:r>
      <w:r w:rsidRPr="00F933AF">
        <w:rPr>
          <w:rStyle w:val="StyleUnderline"/>
          <w:rFonts w:cs="Calibri"/>
        </w:rPr>
        <w:t xml:space="preserve">understandings of biological functions are subject to the same influences of power and control that law has on space. </w:t>
      </w:r>
      <w:r w:rsidRPr="00F933AF">
        <w:rPr>
          <w:rFonts w:cs="Calibri"/>
          <w:sz w:val="16"/>
        </w:rPr>
        <w:t xml:space="preserve">Perhaps, </w:t>
      </w:r>
      <w:r w:rsidRPr="00F933AF">
        <w:rPr>
          <w:rStyle w:val="StyleUnderline"/>
          <w:rFonts w:cs="Calibri"/>
        </w:rPr>
        <w:t>there is no greater example of power and control over biological functions and bodies than that of eugenics.</w:t>
      </w:r>
      <w:r w:rsidRPr="00F933AF">
        <w:rPr>
          <w:rFonts w:cs="Calibri"/>
          <w:sz w:val="16"/>
        </w:rPr>
        <w:t xml:space="preserve"> Although scholars such as Baker (2002, 665) concur that </w:t>
      </w:r>
      <w:r w:rsidRPr="00F933AF">
        <w:rPr>
          <w:rStyle w:val="StyleUnderline"/>
          <w:rFonts w:cs="Calibri"/>
        </w:rPr>
        <w:t xml:space="preserve">‘primarily [eugenics] refers at the broadest level to a belief in the necessity of “racial” or “national” improvement through the control of populational reproduction’ taking a semiotic </w:t>
      </w:r>
      <w:r w:rsidRPr="00F933AF">
        <w:rPr>
          <w:rFonts w:cs="Calibri"/>
          <w:sz w:val="16"/>
        </w:rPr>
        <w:t xml:space="preserve">– and in this case, </w:t>
      </w:r>
      <w:r w:rsidRPr="00F933AF">
        <w:rPr>
          <w:rStyle w:val="StyleUnderline"/>
          <w:rFonts w:cs="Calibri"/>
        </w:rPr>
        <w:t>a biosemiotic approach allows inviting an extension of this understanding of eugenics to include the discursive practices of eugenics itself.</w:t>
      </w:r>
      <w:r w:rsidRPr="00F933AF">
        <w:rPr>
          <w:rFonts w:cs="Calibri"/>
          <w:sz w:val="16"/>
        </w:rPr>
        <w:t xml:space="preserve"> In doing so, </w:t>
      </w:r>
      <w:r w:rsidRPr="00F933AF">
        <w:rPr>
          <w:rStyle w:val="StyleUnderline"/>
          <w:rFonts w:cs="Calibri"/>
        </w:rPr>
        <w:t>understandings of eugenics can move towards recognizing its function as a semiotic practice that seeks to maintain power structures over unwanted bodies and practices in the name of improvement.</w:t>
      </w:r>
      <w:r w:rsidRPr="00F933AF">
        <w:rPr>
          <w:rFonts w:cs="Calibri"/>
          <w:sz w:val="16"/>
        </w:rPr>
        <w:t xml:space="preserve"> Fuchs-Kittowski and Rosenthal (2007, 99) maintain that: Living systems are semiotic systems: They respond to their surroundings in selective ways specified by their own organization. Living systems, as self organizing, actional systems, present also the creative power to generate new structures and functions and thus new properties, new signs and meanings, new information during their evolution. In this view, </w:t>
      </w:r>
      <w:r w:rsidRPr="00F933AF">
        <w:rPr>
          <w:rStyle w:val="StyleUnderline"/>
          <w:rFonts w:cs="Calibri"/>
        </w:rPr>
        <w:t>eugenics is an intervention into the self-organizing, actional semiotic systems of biology in the attempt to improve the human species.</w:t>
      </w:r>
      <w:r w:rsidRPr="00F933AF">
        <w:rPr>
          <w:rFonts w:cs="Calibri"/>
          <w:sz w:val="16"/>
        </w:rPr>
        <w:t xml:space="preserve"> It is an attempt to direct the growth of symbols and signs, or in some cases, to prevent the growth altogether. This attempt to control the biological organization, action and contexts of living systems is an attempt to edit the text of life itself (Baer 1992). Consequently, </w:t>
      </w:r>
      <w:r w:rsidRPr="00F933AF">
        <w:rPr>
          <w:rStyle w:val="StyleUnderline"/>
          <w:rFonts w:cs="Calibri"/>
        </w:rPr>
        <w:t>any intervention into a biological system is a semiotic one that manipulates the structure of reproductive processes regarding certain genetic structures while simultaneously preventing those deemed undesirable.</w:t>
      </w:r>
      <w:r w:rsidRPr="00F933AF">
        <w:rPr>
          <w:rFonts w:cs="Calibri"/>
          <w:sz w:val="16"/>
        </w:rPr>
        <w:t xml:space="preserve"> Fuchs-Kittowski and Rosenthal (2007, 89) write that the ‘connection between structure and function is mediated by meanings which are formed only in this interaction process’. In other words, the meaning or outcome that arises from the interaction between the structure and the biological elements and processes can be profoundly impacted by any kind of intervention. Wachbroit (1987, 6) notes that eugenics, like any medical therapy, is an interruptive procedure that runs the risk of undesired consequences, despite the intention of avoiding disadvantages: ‘what we regard as shortcomings may be no more than local prejudices’ (7). Thus while scholars such as Gillham (2001), Ballif (2004) and Gould (1981) have situated eugenics as discourse that enforces power structures, this project extends that work by specifically demonstrating the operation of eugenics as a practice that promotes the manipulation of semiotic structures regarding human variation. In doing so, eugenics transforms from an intervention to its own semiotic system. </w:t>
      </w:r>
      <w:r w:rsidRPr="00F933AF">
        <w:rPr>
          <w:rStyle w:val="StyleUnderline"/>
          <w:rFonts w:cs="Calibri"/>
        </w:rPr>
        <w:t xml:space="preserve">This semiotic system of eugenics transforms signs into markers of difference to designate the boundaries between normal and abnormal, desirable and undesirable. </w:t>
      </w:r>
      <w:r w:rsidRPr="00F933AF">
        <w:rPr>
          <w:rFonts w:cs="Calibri"/>
          <w:sz w:val="16"/>
        </w:rPr>
        <w:t xml:space="preserve">And because of its biological implications, it worries the line between intention (an aim) and agency (the capacity to act). Furthermore, Wagner and Broekman (2010, x) assert that </w:t>
      </w:r>
      <w:r w:rsidRPr="00F933AF">
        <w:rPr>
          <w:rStyle w:val="StyleUnderline"/>
          <w:rFonts w:cs="Calibri"/>
        </w:rPr>
        <w:t xml:space="preserve">any semiotic activity is responsible for creating meaning in culture, and as a result, because </w:t>
      </w:r>
      <w:r w:rsidRPr="00F933AF">
        <w:rPr>
          <w:rStyle w:val="Emphasis"/>
          <w:rFonts w:cs="Calibri"/>
        </w:rPr>
        <w:t>law is semiotic, it is not just ‘a discourse of norms, commands, or related social signs but rather an all-embracing language to conceive such entities</w:t>
      </w:r>
      <w:r w:rsidRPr="00F933AF">
        <w:rPr>
          <w:rFonts w:cs="Calibri"/>
          <w:sz w:val="16"/>
        </w:rPr>
        <w:t xml:space="preserve">, </w:t>
      </w:r>
      <w:r w:rsidRPr="00F933AF">
        <w:rPr>
          <w:rStyle w:val="StyleUnderline"/>
          <w:rFonts w:cs="Calibri"/>
        </w:rPr>
        <w:t>which leads to the construction of social institutions’.</w:t>
      </w:r>
      <w:r w:rsidRPr="00F933AF">
        <w:rPr>
          <w:rFonts w:cs="Calibri"/>
          <w:sz w:val="16"/>
        </w:rPr>
        <w:t xml:space="preserve"> Ultimately, if we understand eugenics, biology, law and language as semiotic systems, the varying manifestations of power and control can be revealed; specific to this project, then, </w:t>
      </w:r>
      <w:r w:rsidRPr="00F933AF">
        <w:rPr>
          <w:rStyle w:val="StyleUnderline"/>
          <w:rFonts w:cs="Calibri"/>
        </w:rPr>
        <w:t>if we consider the language of the 1891 Immigration Act</w:t>
      </w:r>
      <w:r w:rsidRPr="00F933AF">
        <w:rPr>
          <w:rFonts w:cs="Calibri"/>
          <w:sz w:val="16"/>
        </w:rPr>
        <w:t xml:space="preserve">, </w:t>
      </w:r>
      <w:r w:rsidRPr="00F933AF">
        <w:rPr>
          <w:rStyle w:val="StyleUnderline"/>
          <w:rFonts w:cs="Calibri"/>
        </w:rPr>
        <w:t xml:space="preserve">the ‘ugly laws,’ and the Americans with Disabilities Act (ADA) as semiotic, </w:t>
      </w:r>
      <w:r w:rsidRPr="00F933AF">
        <w:rPr>
          <w:rStyle w:val="Emphasis"/>
          <w:rFonts w:cs="Calibri"/>
        </w:rPr>
        <w:t>then we can trace a pattern of eugenic power and control that continues to shape our understandings of disability: it manipulates the biological aim of reproduction (intention) into an act of nativism (the illusion of agency).</w:t>
      </w:r>
      <w:r w:rsidRPr="00F933AF">
        <w:rPr>
          <w:rFonts w:cs="Calibri"/>
          <w:sz w:val="16"/>
        </w:rPr>
        <w:t xml:space="preserve"> In what follows, I will demonstrate that </w:t>
      </w:r>
      <w:r w:rsidRPr="00F933AF">
        <w:rPr>
          <w:rStyle w:val="StyleUnderline"/>
          <w:rFonts w:cs="Calibri"/>
        </w:rPr>
        <w:t>differences are pathologized</w:t>
      </w:r>
      <w:r w:rsidRPr="00F933AF">
        <w:rPr>
          <w:rFonts w:cs="Calibri"/>
          <w:sz w:val="16"/>
        </w:rPr>
        <w:t xml:space="preserve"> – that is, </w:t>
      </w:r>
      <w:r w:rsidRPr="00F933AF">
        <w:rPr>
          <w:rStyle w:val="StyleUnderline"/>
          <w:rFonts w:cs="Calibri"/>
        </w:rPr>
        <w:t xml:space="preserve">regarded as semiotic – in order to gain access to sign systems with the purposes of intervening and manipulating the process of semiosis under the guise of nativism, that is, </w:t>
      </w:r>
      <w:r w:rsidRPr="00F933AF">
        <w:rPr>
          <w:rStyle w:val="Emphasis"/>
          <w:rFonts w:cs="Calibri"/>
        </w:rPr>
        <w:t>taking control of biology for the strength and health of the nation</w:t>
      </w:r>
      <w:r w:rsidRPr="00F933AF">
        <w:rPr>
          <w:rStyle w:val="StyleUnderline"/>
          <w:rFonts w:cs="Calibri"/>
        </w:rPr>
        <w:t>.</w:t>
      </w:r>
      <w:r w:rsidRPr="00F933AF">
        <w:rPr>
          <w:rFonts w:cs="Calibri"/>
          <w:sz w:val="16"/>
        </w:rPr>
        <w:t xml:space="preserve"> Thus, </w:t>
      </w:r>
      <w:r w:rsidRPr="00F933AF">
        <w:rPr>
          <w:rStyle w:val="StyleUnderline"/>
          <w:rFonts w:cs="Calibri"/>
        </w:rPr>
        <w:t>we can understand eugenics as an intervention into semiotic system for the purposes of improvement; what distinguishes eugenics from any other kind of intervention into a semiotic system is that system’s impact on and appeals to the body, particularly as it functions as a biosemiotic system.</w:t>
      </w:r>
      <w:r w:rsidRPr="00F933AF">
        <w:rPr>
          <w:rFonts w:cs="Calibri"/>
          <w:sz w:val="16"/>
        </w:rPr>
        <w:t xml:space="preserve"> This intervention manifests in three ways: naming, categorizing and conditioning.</w:t>
      </w:r>
    </w:p>
    <w:p w:rsidR="001902FF" w:rsidRPr="00F933AF" w:rsidRDefault="001902FF" w:rsidP="001902FF">
      <w:pPr>
        <w:pStyle w:val="Heading3"/>
        <w:rPr>
          <w:rFonts w:cs="Calibri"/>
        </w:rPr>
      </w:pPr>
      <w:r>
        <w:rPr>
          <w:rFonts w:cs="Calibri"/>
        </w:rPr>
        <w:t xml:space="preserve">Reps </w:t>
      </w:r>
      <w:r w:rsidRPr="00F933AF">
        <w:rPr>
          <w:rFonts w:cs="Calibri"/>
        </w:rPr>
        <w:t>Link- Victimization/Totalizion</w:t>
      </w:r>
    </w:p>
    <w:p w:rsidR="001902FF" w:rsidRPr="00F933AF" w:rsidRDefault="001902FF" w:rsidP="001902FF">
      <w:pPr>
        <w:pStyle w:val="Heading4"/>
        <w:rPr>
          <w:rFonts w:cs="Calibri"/>
        </w:rPr>
      </w:pPr>
      <w:r w:rsidRPr="00F933AF">
        <w:rPr>
          <w:rFonts w:cs="Calibri"/>
        </w:rPr>
        <w:t>Their welfare egalitarianism assumes the disabled have inevitably inferior quality of life and wrongly groups all disabled people</w:t>
      </w:r>
    </w:p>
    <w:p w:rsidR="001902FF" w:rsidRPr="00F933AF" w:rsidRDefault="001902FF" w:rsidP="001902FF">
      <w:pPr>
        <w:rPr>
          <w:rFonts w:cs="Calibri"/>
        </w:rPr>
      </w:pPr>
      <w:r w:rsidRPr="00F933AF">
        <w:rPr>
          <w:rStyle w:val="Style13ptBold"/>
          <w:rFonts w:cs="Calibri"/>
        </w:rPr>
        <w:t>Stein 1</w:t>
      </w:r>
      <w:r w:rsidRPr="00F933AF">
        <w:rPr>
          <w:rFonts w:cs="Calibri"/>
        </w:rPr>
        <w:t xml:space="preserve"> (Mark S. Stein, law degree from the University of Michigan, PhD in political science from Yale, former fellow at Harvard’s Petre-Flom Center, October 2001, “Utilitarianism and the Disabled: Distribution of Life”, Social Theory and Practice, Vol. 27, No. 4, Special Issue: Embodied Values: Philosophy and Disabilities, Florida State University Department of Philosophy, JSTOR)/CWB</w:t>
      </w:r>
    </w:p>
    <w:p w:rsidR="001902FF" w:rsidRPr="00F933AF" w:rsidRDefault="001902FF" w:rsidP="001902FF">
      <w:pPr>
        <w:rPr>
          <w:rFonts w:cs="Calibri"/>
          <w:sz w:val="16"/>
        </w:rPr>
      </w:pPr>
      <w:r w:rsidRPr="00F933AF">
        <w:rPr>
          <w:rFonts w:cs="Calibri"/>
          <w:sz w:val="16"/>
        </w:rPr>
        <w:t xml:space="preserve">Disability and Welfare </w:t>
      </w:r>
      <w:r w:rsidRPr="00F933AF">
        <w:rPr>
          <w:rStyle w:val="StyleUnderline"/>
          <w:rFonts w:cs="Calibri"/>
        </w:rPr>
        <w:t>It is commonly assumed that disabled people have less well-being or welfare than they would have if they were not disabled. It is also commonly assumed that disabled people have less welfare, on average, than nondisabled people.</w:t>
      </w:r>
      <w:r w:rsidRPr="00F933AF">
        <w:rPr>
          <w:rFonts w:cs="Calibri"/>
          <w:sz w:val="16"/>
        </w:rPr>
        <w:t xml:space="preserve"> I will refer to these two related assumptions, collec tively, as the assumption of lower disabled welfare. </w:t>
      </w:r>
      <w:r w:rsidRPr="00F933AF">
        <w:rPr>
          <w:rStyle w:val="Emphasis"/>
          <w:rFonts w:cs="Calibri"/>
        </w:rPr>
        <w:t>The assumption of lower disabled welfare is routinely accepted by</w:t>
      </w:r>
      <w:r w:rsidRPr="00F933AF">
        <w:rPr>
          <w:rStyle w:val="StyleUnderline"/>
          <w:rFonts w:cs="Calibri"/>
        </w:rPr>
        <w:t xml:space="preserve"> distributive theorists of all different stripes, including </w:t>
      </w:r>
      <w:r w:rsidRPr="00F933AF">
        <w:rPr>
          <w:rStyle w:val="Emphasis"/>
          <w:rFonts w:cs="Calibri"/>
        </w:rPr>
        <w:t>utilitarians</w:t>
      </w:r>
      <w:r w:rsidRPr="00F933AF">
        <w:rPr>
          <w:rStyle w:val="StyleUnderline"/>
          <w:rFonts w:cs="Calibri"/>
        </w:rPr>
        <w:t xml:space="preserve">, resource egalitarians, </w:t>
      </w:r>
      <w:r w:rsidRPr="00F933AF">
        <w:rPr>
          <w:rStyle w:val="Emphasis"/>
          <w:rFonts w:cs="Calibri"/>
        </w:rPr>
        <w:t>and welfare egalitarians</w:t>
      </w:r>
      <w:r w:rsidRPr="00F933AF">
        <w:rPr>
          <w:rStyle w:val="StyleUnderline"/>
          <w:rFonts w:cs="Calibri"/>
        </w:rPr>
        <w:t>.</w:t>
      </w:r>
      <w:r w:rsidRPr="00F933AF">
        <w:rPr>
          <w:rFonts w:cs="Calibri"/>
          <w:sz w:val="16"/>
        </w:rPr>
        <w:t xml:space="preserve">1 Of course, </w:t>
      </w:r>
      <w:r w:rsidRPr="00F933AF">
        <w:rPr>
          <w:rStyle w:val="StyleUnderline"/>
          <w:rFonts w:cs="Calibri"/>
        </w:rPr>
        <w:t>routine acceptance of the assumption of lower disabled welfare does not mean that the assumption of lower disabled welfare is correct. The relationship</w:t>
      </w:r>
      <w:r w:rsidRPr="00F933AF">
        <w:rPr>
          <w:rFonts w:cs="Calibri"/>
          <w:sz w:val="16"/>
        </w:rPr>
        <w:t xml:space="preserve"> between disability and welfare </w:t>
      </w:r>
      <w:r w:rsidRPr="00F933AF">
        <w:rPr>
          <w:rStyle w:val="StyleUnderline"/>
          <w:rFonts w:cs="Calibri"/>
        </w:rPr>
        <w:t xml:space="preserve">is a </w:t>
      </w:r>
      <w:r w:rsidRPr="00F933AF">
        <w:rPr>
          <w:rStyle w:val="Emphasis"/>
          <w:rFonts w:cs="Calibri"/>
        </w:rPr>
        <w:t>vast and complicated subject</w:t>
      </w:r>
      <w:r w:rsidRPr="00F933AF">
        <w:rPr>
          <w:rStyle w:val="StyleUnderline"/>
          <w:rFonts w:cs="Calibri"/>
        </w:rPr>
        <w:t xml:space="preserve">. </w:t>
      </w:r>
      <w:r w:rsidRPr="00F933AF">
        <w:rPr>
          <w:rStyle w:val="Emphasis"/>
          <w:rFonts w:cs="Calibri"/>
        </w:rPr>
        <w:t>Different disabilities have different effects</w:t>
      </w:r>
      <w:r w:rsidRPr="00F933AF">
        <w:rPr>
          <w:rStyle w:val="StyleUnderline"/>
          <w:rFonts w:cs="Calibri"/>
        </w:rPr>
        <w:t xml:space="preserve"> on the welfare of people, and </w:t>
      </w:r>
      <w:r w:rsidRPr="00F933AF">
        <w:rPr>
          <w:rStyle w:val="Emphasis"/>
          <w:rFonts w:cs="Calibri"/>
        </w:rPr>
        <w:t>different people may also react differently to the same disability</w:t>
      </w:r>
      <w:r w:rsidRPr="00F933AF">
        <w:rPr>
          <w:rStyle w:val="StyleUnderline"/>
          <w:rFonts w:cs="Calibri"/>
        </w:rPr>
        <w:t xml:space="preserve">. </w:t>
      </w:r>
      <w:r w:rsidRPr="00F933AF">
        <w:rPr>
          <w:rFonts w:cs="Calibri"/>
          <w:sz w:val="16"/>
        </w:rPr>
        <w:t xml:space="preserve">Anecdotally, some disabled people have stated that they would "give anything" to be nondisabled,2 while others have stated that they would not choose to become nondisabled even if they could do so by taking a "magic pill"3 or a simple medication.4 </w:t>
      </w:r>
      <w:r w:rsidRPr="00F933AF">
        <w:rPr>
          <w:rStyle w:val="StyleUnderline"/>
          <w:rFonts w:cs="Calibri"/>
        </w:rPr>
        <w:t>Many psychological studies</w:t>
      </w:r>
      <w:r w:rsidRPr="00F933AF">
        <w:rPr>
          <w:rFonts w:cs="Calibri"/>
          <w:sz w:val="16"/>
        </w:rPr>
        <w:t xml:space="preserve"> have attempted to </w:t>
      </w:r>
      <w:r w:rsidRPr="00F933AF">
        <w:rPr>
          <w:rStyle w:val="StyleUnderline"/>
          <w:rFonts w:cs="Calibri"/>
        </w:rPr>
        <w:t>compare the welfare levels</w:t>
      </w:r>
      <w:r w:rsidRPr="00F933AF">
        <w:rPr>
          <w:rFonts w:cs="Calibri"/>
          <w:sz w:val="16"/>
        </w:rPr>
        <w:t xml:space="preserve"> of disabled people and nondisabled people.5 If a single conclusion can be drawn from these studies, it may be that </w:t>
      </w:r>
      <w:r w:rsidRPr="00F933AF">
        <w:rPr>
          <w:rStyle w:val="StyleUnderline"/>
          <w:rFonts w:cs="Calibri"/>
        </w:rPr>
        <w:t>physically disabled people report lower levels of welfare</w:t>
      </w:r>
      <w:r w:rsidRPr="00F933AF">
        <w:rPr>
          <w:rFonts w:cs="Calibri"/>
          <w:sz w:val="16"/>
        </w:rPr>
        <w:t xml:space="preserve">, on average, than nondisabled people, </w:t>
      </w:r>
      <w:r w:rsidRPr="00F933AF">
        <w:rPr>
          <w:rStyle w:val="StyleUnderline"/>
          <w:rFonts w:cs="Calibri"/>
        </w:rPr>
        <w:t>but the difference is not</w:t>
      </w:r>
      <w:r w:rsidRPr="00F933AF">
        <w:rPr>
          <w:rFonts w:cs="Calibri"/>
          <w:sz w:val="16"/>
        </w:rPr>
        <w:t xml:space="preserve"> as </w:t>
      </w:r>
      <w:r w:rsidRPr="00F933AF">
        <w:rPr>
          <w:rStyle w:val="StyleUnderline"/>
          <w:rFonts w:cs="Calibri"/>
        </w:rPr>
        <w:t>great</w:t>
      </w:r>
      <w:r w:rsidRPr="00F933AF">
        <w:rPr>
          <w:rFonts w:cs="Calibri"/>
          <w:sz w:val="16"/>
        </w:rPr>
        <w:t xml:space="preserve"> as nondisabled people might expect. For example, </w:t>
      </w:r>
      <w:r w:rsidRPr="00F933AF">
        <w:rPr>
          <w:rStyle w:val="StyleUnderline"/>
          <w:rFonts w:cs="Calibri"/>
        </w:rPr>
        <w:t>Dijkers</w:t>
      </w:r>
      <w:r w:rsidRPr="00F933AF">
        <w:rPr>
          <w:rFonts w:cs="Calibri"/>
          <w:sz w:val="16"/>
        </w:rPr>
        <w:t xml:space="preserve"> has </w:t>
      </w:r>
      <w:r w:rsidRPr="00F933AF">
        <w:rPr>
          <w:rStyle w:val="StyleUnderline"/>
          <w:rFonts w:cs="Calibri"/>
        </w:rPr>
        <w:t>summarized the studies</w:t>
      </w:r>
      <w:r w:rsidRPr="00F933AF">
        <w:rPr>
          <w:rFonts w:cs="Calibri"/>
          <w:sz w:val="16"/>
        </w:rPr>
        <w:t xml:space="preserve"> on subjective well-being among persons with SCI (spinal cord injury) </w:t>
      </w:r>
      <w:r w:rsidRPr="00F933AF">
        <w:rPr>
          <w:rStyle w:val="StyleUnderline"/>
          <w:rFonts w:cs="Calibri"/>
        </w:rPr>
        <w:t xml:space="preserve">as </w:t>
      </w:r>
      <w:r w:rsidRPr="00F933AF">
        <w:rPr>
          <w:rFonts w:cs="Calibri"/>
          <w:sz w:val="16"/>
        </w:rPr>
        <w:t xml:space="preserve">finding that "subjective well-being among persons with SCI was lower than in the population at large, but... the difference was </w:t>
      </w:r>
      <w:r w:rsidRPr="00F933AF">
        <w:rPr>
          <w:rStyle w:val="StyleUnderline"/>
          <w:rFonts w:cs="Calibri"/>
        </w:rPr>
        <w:t xml:space="preserve">not dramatic."6 </w:t>
      </w:r>
      <w:r w:rsidRPr="00F933AF">
        <w:rPr>
          <w:rStyle w:val="Emphasis"/>
          <w:rFonts w:cs="Calibri"/>
        </w:rPr>
        <w:t xml:space="preserve">Such psychological studies raise many methodological </w:t>
      </w:r>
      <w:r w:rsidRPr="00F933AF">
        <w:rPr>
          <w:rStyle w:val="StyleUnderline"/>
          <w:rFonts w:cs="Calibri"/>
        </w:rPr>
        <w:t>and philosophical</w:t>
      </w:r>
      <w:r w:rsidRPr="00F933AF">
        <w:rPr>
          <w:rStyle w:val="Emphasis"/>
          <w:rFonts w:cs="Calibri"/>
        </w:rPr>
        <w:t xml:space="preserve"> issues</w:t>
      </w:r>
      <w:r w:rsidRPr="00F933AF">
        <w:rPr>
          <w:rStyle w:val="StyleUnderline"/>
          <w:rFonts w:cs="Calibri"/>
        </w:rPr>
        <w:t xml:space="preserve">. There is the question of whether it is possible to make interpersonal comparisons of welfare, and if so, how best to make them. </w:t>
      </w:r>
      <w:r w:rsidRPr="00F933AF">
        <w:rPr>
          <w:rFonts w:cs="Calibri"/>
          <w:sz w:val="16"/>
        </w:rPr>
        <w:t>This is itself a vast and complicated subject.7 Assuming that interpersonal comparisons of welfare are possible</w:t>
      </w:r>
      <w:proofErr w:type="gramStart"/>
      <w:r w:rsidRPr="00F933AF">
        <w:rPr>
          <w:rFonts w:cs="Calibri"/>
          <w:sz w:val="16"/>
        </w:rPr>
        <w:t>,8</w:t>
      </w:r>
      <w:proofErr w:type="gramEnd"/>
      <w:r w:rsidRPr="00F933AF">
        <w:rPr>
          <w:rFonts w:cs="Calibri"/>
          <w:sz w:val="16"/>
        </w:rPr>
        <w:t xml:space="preserve"> there are issues of scale comparability and "scale norming." </w:t>
      </w:r>
      <w:r w:rsidRPr="00F933AF">
        <w:rPr>
          <w:rStyle w:val="StyleUnderline"/>
          <w:rFonts w:cs="Calibri"/>
        </w:rPr>
        <w:t xml:space="preserve">For example, does a self-report of "3" on a 0-to-5 "miserable-to-delighted" scale mean the same thing when given by a paraplegic as when given by an ambulatory person? There is also the question of whether accidental disability and genetic disability have different effects accidental disability should have a more severe effect, because people who are accidentally disabled suffer the experience of loss. </w:t>
      </w:r>
      <w:r w:rsidRPr="00F933AF">
        <w:rPr>
          <w:rFonts w:cs="Calibri"/>
          <w:sz w:val="16"/>
        </w:rPr>
        <w:t xml:space="preserve">Some psychologists, however, believe that people who are accidentally disabled actually have a higher level of welfare than people with analogous genetic disabilities.10 My own view is that the assumption of lower disabled welfare is correct: disabled people do have less welfare, on average, than nondisabled people, though there are doubtless many disabled people who have more welfare than many nondisabled people. But </w:t>
      </w:r>
      <w:r w:rsidRPr="00F933AF">
        <w:rPr>
          <w:rStyle w:val="StyleUnderline"/>
          <w:rFonts w:cs="Calibri"/>
        </w:rPr>
        <w:t>I will not here attempt to defend the assumption of lower disabled welfare</w:t>
      </w:r>
      <w:r w:rsidRPr="00F933AF">
        <w:rPr>
          <w:rFonts w:cs="Calibri"/>
          <w:sz w:val="16"/>
        </w:rPr>
        <w:t xml:space="preserve">. </w:t>
      </w:r>
      <w:r w:rsidRPr="00F933AF">
        <w:rPr>
          <w:rFonts w:cs="Calibri"/>
          <w:sz w:val="12"/>
          <w:szCs w:val="12"/>
        </w:rPr>
        <w:t xml:space="preserve">My project in this article is to consider whether it is possible to construct a utilitarian theory that avoids unsavory distributive policies toward the disabled, even if the assumption of lower disabled welfare is correct. The Utilitarian Greater-Benefit Criterion The first-order distributive principle of utilitarianism is to distribute resources to the people" who will most benefit from those resources, "benefit" being understood here as an increase in utility or welfare. Absent secondary considerations, the distribution of resources to the people who will most benefit from those resources will maximize welfare. I will refer to the principle that resources should be distributed to the people who would most benefit from them as the greater-benefit criterion. Harsanyi and Singer, among others, have stressed the centrality to utilitarianism of the greater-benefit criterion.12 </w:t>
      </w:r>
      <w:proofErr w:type="gramStart"/>
      <w:r w:rsidRPr="00F933AF">
        <w:rPr>
          <w:rFonts w:cs="Calibri"/>
          <w:sz w:val="12"/>
          <w:szCs w:val="12"/>
        </w:rPr>
        <w:t>If</w:t>
      </w:r>
      <w:proofErr w:type="gramEnd"/>
      <w:r w:rsidRPr="00F933AF">
        <w:rPr>
          <w:rFonts w:cs="Calibri"/>
          <w:sz w:val="12"/>
          <w:szCs w:val="12"/>
        </w:rPr>
        <w:t xml:space="preserve"> the utilitarian greater-benefit criterion is applied under the assumption of lower disabled welfare, it has implications for the distribution of non-life-saving resources that are actually rather favorable to the disabled. Often resources can be used to cure or ameliorate disability. The assumption of lower disabled welfare suggests that disabled people would derive considerable benefit from resources used to cure or ameliorate disability. For example, if paraplegia substantially reduces a per son's welfare, then curing that person's paraplegia will substantially increase his welfare. Even ameliorative measures that fall far short of a cure can substantially increase the welfare of the disabled. If one reason paraplegia reduces welfare is that it makes it difficult for people to get around, the provision of wheelchairs to paraplegics can substantially increase their welfare, as can modification of the environment. Accordingly, the disabled have a relatively strong claim on resources under utilitarianism—or so I have elsewhere argued.13 Of course, the distribution or redistribution of resources to the dis abled would not be unlimited under utilitarianism. In some cases, non disabled claimants for resources, such as the nondisabled poor, might benefit more from additional resources than disabled claimants. In such cases, the nondisabled claimants would have a stronger claim on resources than would disabled claimants. But this aspect of the greater benefit criterion, while perhaps difficult to apply, is not at all offensive. Just as it would seem unfair if society devoted no extra resources to the disabled, so it would also seem unfair if society embarked on a campaign of unlimited redistribution to the disabled. The utilitarian greater-benefit criterion seems to strike the correct balance in the distribution of re sources between disabled people and nondisabled people.14 Distribution of Life Unfortunately, the same sensitivity to relative benefit that makes utilitarianism an appealing approach to the distribution of resources appears to make utilitarianism a counterintuitive and unappealing approach to the distribution of life. If the disabled have on average less welfare than nondisabled people, it seems to follow that the disabled benefit less from continued life than do nondisabled people. Utilitarianism would therefore place a lower value on disabled life than on nondisabled life, and if a choice had to be made between saving the lives of disabled people and saving the lives of nondisabled people, utilitarianism would counsel us to give less preference to the disabled. So, for example, disabled people would receive less preference, in the distribution of life-saving organ transplants, than nondisabled people. Moreover, the utilitarian preference against disabled people in the distribution of life would appear to be exactly proportional to the utili tarian preference in favor of disabled people in the distribution of re sources. However morally urgent it might be to cure a given disabled person, increasing her welfare, it would seem that the same moral urgency must attach to a decision to preserve the life of a nondisabled person in preference to that disabled person, assuming that only one of them could survive. </w:t>
      </w:r>
      <w:r w:rsidRPr="00F933AF">
        <w:rPr>
          <w:rStyle w:val="StyleUnderline"/>
          <w:rFonts w:cs="Calibri"/>
        </w:rPr>
        <w:t xml:space="preserve">This </w:t>
      </w:r>
      <w:r w:rsidRPr="00F933AF">
        <w:rPr>
          <w:rStyle w:val="Emphasis"/>
          <w:rFonts w:cs="Calibri"/>
        </w:rPr>
        <w:t>problematic seesaw</w:t>
      </w:r>
      <w:r w:rsidRPr="00F933AF">
        <w:rPr>
          <w:rStyle w:val="StyleUnderline"/>
          <w:rFonts w:cs="Calibri"/>
        </w:rPr>
        <w:t xml:space="preserve"> </w:t>
      </w:r>
      <w:r w:rsidRPr="00F933AF">
        <w:rPr>
          <w:rFonts w:cs="Calibri"/>
          <w:sz w:val="16"/>
        </w:rPr>
        <w:t>also</w:t>
      </w:r>
      <w:r w:rsidRPr="00F933AF">
        <w:rPr>
          <w:rStyle w:val="StyleUnderline"/>
          <w:rFonts w:cs="Calibri"/>
        </w:rPr>
        <w:t xml:space="preserve"> moves in the other direction.</w:t>
      </w:r>
      <w:r w:rsidRPr="00F933AF">
        <w:rPr>
          <w:rFonts w:cs="Calibri"/>
          <w:sz w:val="16"/>
        </w:rPr>
        <w:t xml:space="preserve"> Suppose we say that </w:t>
      </w:r>
      <w:r w:rsidRPr="00F933AF">
        <w:rPr>
          <w:rStyle w:val="StyleUnderline"/>
          <w:rFonts w:cs="Calibri"/>
        </w:rPr>
        <w:t xml:space="preserve">the view of disabled people as miserable is </w:t>
      </w:r>
      <w:r w:rsidRPr="00F933AF">
        <w:rPr>
          <w:rStyle w:val="Emphasis"/>
          <w:rFonts w:cs="Calibri"/>
        </w:rPr>
        <w:t>based on a superficial and discredited psychology.</w:t>
      </w:r>
      <w:r w:rsidRPr="00F933AF">
        <w:rPr>
          <w:rStyle w:val="StyleUnderline"/>
          <w:rFonts w:cs="Calibri"/>
        </w:rPr>
        <w:t xml:space="preserve"> Many psychologists believe that people have a great capability for hedonic adaptation to adverse situations, including disability</w:t>
      </w:r>
      <w:r w:rsidRPr="00F933AF">
        <w:rPr>
          <w:rFonts w:cs="Calibri"/>
          <w:sz w:val="16"/>
        </w:rPr>
        <w:t xml:space="preserve">.15 Therefore, </w:t>
      </w:r>
      <w:r w:rsidRPr="00F933AF">
        <w:rPr>
          <w:rStyle w:val="StyleUnderline"/>
          <w:rFonts w:cs="Calibri"/>
        </w:rPr>
        <w:t>it would</w:t>
      </w:r>
      <w:r w:rsidRPr="00F933AF">
        <w:rPr>
          <w:rFonts w:cs="Calibri"/>
          <w:sz w:val="16"/>
        </w:rPr>
        <w:t xml:space="preserve"> arguably </w:t>
      </w:r>
      <w:r w:rsidRPr="00F933AF">
        <w:rPr>
          <w:rStyle w:val="StyleUnderline"/>
          <w:rFonts w:cs="Calibri"/>
        </w:rPr>
        <w:t>be a mistake to think,</w:t>
      </w:r>
      <w:r w:rsidRPr="00F933AF">
        <w:rPr>
          <w:rFonts w:cs="Calibri"/>
          <w:sz w:val="16"/>
        </w:rPr>
        <w:t xml:space="preserve"> for example, </w:t>
      </w:r>
      <w:r w:rsidRPr="00F933AF">
        <w:rPr>
          <w:rStyle w:val="StyleUnderline"/>
          <w:rFonts w:cs="Calibri"/>
        </w:rPr>
        <w:t>that much welfare could be gained by preserving the life of an able-bodied person in preference to the life of a paraplegic</w:t>
      </w:r>
      <w:r w:rsidRPr="00F933AF">
        <w:rPr>
          <w:rFonts w:cs="Calibri"/>
          <w:sz w:val="16"/>
        </w:rPr>
        <w:t>. All well and good, but the apparent implication of such an argument is also that a paraplegic would not achieve much of an increase in welfare if she were cured of paralysis—and that she would achieve an even smaller increase in welfare from ameliorative aid that benefited her less than would a complete cure.</w:t>
      </w:r>
    </w:p>
    <w:p w:rsidR="001902FF" w:rsidRPr="00F933AF" w:rsidRDefault="001902FF" w:rsidP="001902FF">
      <w:pPr>
        <w:pStyle w:val="Heading3"/>
      </w:pPr>
      <w:r>
        <w:t>Reps Link - Inclusion</w:t>
      </w:r>
    </w:p>
    <w:p w:rsidR="001902FF" w:rsidRPr="00790823" w:rsidRDefault="001902FF" w:rsidP="001902FF">
      <w:pPr>
        <w:pStyle w:val="Heading4"/>
      </w:pPr>
      <w:r w:rsidRPr="00790823">
        <w:t>The 1ac is a rhetorical celebration of meager inclusionist goals- this subjects the disabled to normative, less agentive materiality</w:t>
      </w:r>
    </w:p>
    <w:p w:rsidR="001902FF" w:rsidRPr="00790823" w:rsidRDefault="001902FF" w:rsidP="001902FF">
      <w:pPr>
        <w:rPr>
          <w:rStyle w:val="StyleUnderline"/>
          <w:u w:val="none"/>
        </w:rPr>
      </w:pPr>
      <w:r w:rsidRPr="00BC615D">
        <w:rPr>
          <w:rStyle w:val="Style13ptBold"/>
        </w:rPr>
        <w:t>Mitchell 15</w:t>
      </w:r>
      <w:r>
        <w:t xml:space="preserve"> (David T. </w:t>
      </w:r>
      <w:r w:rsidRPr="00BC615D">
        <w:t>Mitchell, faculty member in the Department of Disability and Human Development at the University of Illinois at Chicago, coeditor of Corporealities: Discourses of Disability, author of Precarity, Geopolitics, and the Matter of Disability, Ed. Sharon L. Snyder, 2015, “The Biopolitics of Disability neoliberalism, ablenationalism, and peripheral embodiment”, University of Michigan Press, https://www.press.umich.edu/7331366)/CWB</w:t>
      </w:r>
    </w:p>
    <w:p w:rsidR="001902FF" w:rsidRPr="000866E5" w:rsidRDefault="001902FF" w:rsidP="001902FF">
      <w:pPr>
        <w:rPr>
          <w:u w:val="single"/>
        </w:rPr>
      </w:pPr>
      <w:r w:rsidRPr="00790823">
        <w:rPr>
          <w:sz w:val="16"/>
        </w:rPr>
        <w:t xml:space="preserve">Disability as Multitude: Reworking Nonproductive Labor Power </w:t>
      </w:r>
      <w:proofErr w:type="gramStart"/>
      <w:r w:rsidRPr="00790823">
        <w:rPr>
          <w:sz w:val="16"/>
        </w:rPr>
        <w:t>Beyond</w:t>
      </w:r>
      <w:proofErr w:type="gramEnd"/>
      <w:r w:rsidRPr="00790823">
        <w:rPr>
          <w:sz w:val="16"/>
        </w:rPr>
        <w:t xml:space="preserve"> Surplus Labor Power As we have attempted to demonstrate throughout these pages, one of the contributions of </w:t>
      </w:r>
      <w:r w:rsidRPr="003F19FC">
        <w:rPr>
          <w:rStyle w:val="StyleUnderline"/>
        </w:rPr>
        <w:t xml:space="preserve">new disability materialisms </w:t>
      </w:r>
      <w:r w:rsidRPr="00790823">
        <w:rPr>
          <w:sz w:val="16"/>
        </w:rPr>
        <w:t xml:space="preserve">to the field of identity-based disability studies has been a </w:t>
      </w:r>
      <w:r w:rsidRPr="003F19FC">
        <w:rPr>
          <w:rStyle w:val="StyleUnderline"/>
        </w:rPr>
        <w:t>transform</w:t>
      </w:r>
      <w:r w:rsidRPr="00790823">
        <w:rPr>
          <w:sz w:val="16"/>
        </w:rPr>
        <w:t xml:space="preserve">ation of </w:t>
      </w:r>
      <w:r w:rsidRPr="003F19FC">
        <w:rPr>
          <w:rStyle w:val="StyleUnderline"/>
        </w:rPr>
        <w:t xml:space="preserve">concepts of embodied human variation in relation to the advancement of a more agentive materiality. Whereas socially devaluing terms such as crippled and handicapped marked individual bodies as insufficient, neoliberal concepts of “disability” reorient critique away from bodies and toward inadequately adapted environments. Rather than différance in the poststructuralist and psychoanalytic tradition of Derrida, Lacan, and Kristeva, disability identifies material bodies socially shaped and actively adjusted by norms, averages, and narrow aesthetic standards. </w:t>
      </w:r>
      <w:r w:rsidRPr="00790823">
        <w:rPr>
          <w:sz w:val="16"/>
        </w:rPr>
        <w:t xml:space="preserve">Consequently, unlike the radical segregation practices of the eugenics era before it, </w:t>
      </w:r>
      <w:r w:rsidRPr="00790823">
        <w:rPr>
          <w:rStyle w:val="StyleUnderline"/>
        </w:rPr>
        <w:t>neoliberal disability moves away from late eighteenth-century ideas of individual incapacity (and, ultimately, social Darwinian “unfitness”) toward a limited inclusion of populations that experience socially produced exclusions based on bodies that fall away from true, those embodiments exhibiting an incomplete approximation of sensory, cognitive, and/or bodily “typicality.”</w:t>
      </w:r>
      <w:r w:rsidRPr="00790823">
        <w:rPr>
          <w:sz w:val="16"/>
        </w:rPr>
        <w:t xml:space="preserve"> In other words, as a result of disability studies scholarship and modern day global disability rights movements working alongside other identity based efforts at equality, disabled people have shifted from modernity’s exception (a lineage of defect to be isolated and eradicated) to neoliberal exceptionality. In this latter state, </w:t>
      </w:r>
      <w:r w:rsidRPr="00790823">
        <w:rPr>
          <w:rStyle w:val="StyleUnderline"/>
        </w:rPr>
        <w:t>the ontology of disability retrieves a formerly fallen object and makes it newly available for cultural rehabilitation</w:t>
      </w:r>
      <w:r w:rsidRPr="00790823">
        <w:rPr>
          <w:sz w:val="16"/>
        </w:rPr>
        <w:t xml:space="preserve">. While rehabilitation often refers to a productive process of recovery leading to a return to approximations of normative embodiment (and, ultimately, employability), here the term suggests something less optimum. </w:t>
      </w:r>
      <w:r w:rsidRPr="00790823">
        <w:rPr>
          <w:rStyle w:val="StyleUnderline"/>
        </w:rPr>
        <w:t>Cultural rehabilitation refers to normalization practices at work within the neoliberal era through which nonnormative (i.e., nonproductive) bodies become culturally docile. This process accomplishes its task of adjustment through a gradual ceding of democratic state power and the duty to govern on behalf of the people to corporate interests both benign and disciplinary. Such practices jettison the value of the commons (literally selling off the collectively held riches of the commonwealth) while enlisting nonnormative bodies in service of inclusionism as a further fetishization of the accomplishments of the neoliberal state’s normalcy.</w:t>
      </w:r>
      <w:r w:rsidRPr="00790823">
        <w:rPr>
          <w:sz w:val="16"/>
        </w:rPr>
        <w:t xml:space="preserve"> Claims to </w:t>
      </w:r>
      <w:r w:rsidRPr="00790823">
        <w:rPr>
          <w:rStyle w:val="StyleUnderline"/>
        </w:rPr>
        <w:t>neoliberal exceptionality rely on a largely rhetorical celebration of this accomplishment of inclusion long before any such utopian realizations could be justifiably demonstrated.</w:t>
      </w:r>
      <w:r w:rsidRPr="00790823">
        <w:rPr>
          <w:sz w:val="16"/>
        </w:rPr>
        <w:t xml:space="preserve"> Or, rather, such arrivals at </w:t>
      </w:r>
      <w:r w:rsidRPr="00790823">
        <w:rPr>
          <w:rStyle w:val="StyleUnderline"/>
        </w:rPr>
        <w:t>inclusionist goals prove successful only because their application to marginalized lives is so meager</w:t>
      </w:r>
      <w:r w:rsidRPr="00790823">
        <w:rPr>
          <w:sz w:val="16"/>
        </w:rPr>
        <w:t xml:space="preserve">. Throughout this book we have referenced this </w:t>
      </w:r>
      <w:r w:rsidRPr="00790823">
        <w:rPr>
          <w:rStyle w:val="StyleUnderline"/>
        </w:rPr>
        <w:t>implementation of neoliberal diversity as the “weakened stain” of inclusionism akin to inoculations from disease that introduce a small amount of virus into a system in order to ward off greater degrees of infection in the future</w:t>
      </w:r>
      <w:r w:rsidRPr="00790823">
        <w:rPr>
          <w:sz w:val="16"/>
        </w:rPr>
        <w:t xml:space="preserve">. Rather than social pariahs, </w:t>
      </w:r>
      <w:r w:rsidRPr="00790823">
        <w:rPr>
          <w:rStyle w:val="StyleUnderline"/>
        </w:rPr>
        <w:t>disabled people increasingly represent “research opportunities”</w:t>
      </w:r>
      <w:r w:rsidRPr="00790823">
        <w:rPr>
          <w:sz w:val="16"/>
        </w:rPr>
        <w:t xml:space="preserve"> in the sense that medical race sociologist Aihwa Ong means when she argues that “treating” ill and disabled Cambodian refugees in the United States increasingly “</w:t>
      </w:r>
      <w:r w:rsidRPr="00790823">
        <w:rPr>
          <w:rStyle w:val="StyleUnderline"/>
        </w:rPr>
        <w:t>became the justification for state</w:t>
      </w:r>
      <w:r w:rsidRPr="00790823">
        <w:rPr>
          <w:sz w:val="16"/>
        </w:rPr>
        <w:t xml:space="preserve"> and local clinics to obtain much-needed funding from the federal government” (96). </w:t>
      </w:r>
      <w:r w:rsidRPr="00790823">
        <w:rPr>
          <w:rStyle w:val="StyleUnderline"/>
        </w:rPr>
        <w:t>Rather than a former era’s economic “burden,” disabled people have become objects of care in which enormous sectors of postcapitalist service economies are invested</w:t>
      </w:r>
      <w:r w:rsidRPr="00790823">
        <w:rPr>
          <w:sz w:val="16"/>
        </w:rPr>
        <w:t xml:space="preserve">. In the terms of recent political economy, </w:t>
      </w:r>
      <w:r w:rsidRPr="00790823">
        <w:rPr>
          <w:rStyle w:val="StyleUnderline"/>
        </w:rPr>
        <w:t xml:space="preserve">disability has been transformed into a target of neoliberal intervention strategies—a “hot” ticket item for potential research and policy </w:t>
      </w:r>
      <w:r w:rsidRPr="00790823">
        <w:rPr>
          <w:sz w:val="16"/>
        </w:rPr>
        <w:t xml:space="preserve">funding </w:t>
      </w:r>
      <w:r w:rsidRPr="00790823">
        <w:rPr>
          <w:rStyle w:val="StyleUnderline"/>
        </w:rPr>
        <w:t>schemes.</w:t>
      </w:r>
      <w:r w:rsidRPr="00790823">
        <w:rPr>
          <w:sz w:val="16"/>
        </w:rPr>
        <w:t xml:space="preserve"> Disabled people, once thrown out of the labor system on the basis of their lack of normative productivity in a competitive labor market, now find themselves “at hand for [the] purposes of accumulation at a later point in time. Put in the language of contemporary postmodern political theory, we might say that capitalism necessarily and always creates its own ‘other’” (Harvey, Neoliberalism 141). </w:t>
      </w:r>
      <w:r w:rsidRPr="00790823">
        <w:rPr>
          <w:rStyle w:val="StyleUnderline"/>
        </w:rPr>
        <w:t>The historical production of others situates bodies in a position tantamount to un(der)explored geographies</w:t>
      </w:r>
      <w:r w:rsidRPr="00790823">
        <w:rPr>
          <w:sz w:val="16"/>
        </w:rPr>
        <w:t>: they come to be recognized as formerly neglected sites now available for new opportunities of market extraction that fuels so much of the production end of neoliberal capitalism. Such developments arrive, inevitably, with their own contradictions intact, but they also provide opportunities for rethinking disability as not only alternatively social, but also nonnormatively material, subject.</w:t>
      </w:r>
    </w:p>
    <w:p w:rsidR="001902FF" w:rsidRDefault="001902FF" w:rsidP="001902FF"/>
    <w:p w:rsidR="001902FF" w:rsidRPr="00F933AF" w:rsidRDefault="001902FF" w:rsidP="001902FF">
      <w:pPr>
        <w:pStyle w:val="Heading3"/>
        <w:rPr>
          <w:rFonts w:cs="Calibri"/>
        </w:rPr>
      </w:pPr>
      <w:r>
        <w:rPr>
          <w:rFonts w:cs="Calibri"/>
        </w:rPr>
        <w:t xml:space="preserve">Reps </w:t>
      </w:r>
      <w:r w:rsidRPr="00F933AF">
        <w:rPr>
          <w:rFonts w:cs="Calibri"/>
        </w:rPr>
        <w:t>Link- Tech/Health Care</w:t>
      </w:r>
    </w:p>
    <w:p w:rsidR="001902FF" w:rsidRPr="00F933AF" w:rsidRDefault="001902FF" w:rsidP="001902FF">
      <w:pPr>
        <w:pStyle w:val="Heading4"/>
        <w:rPr>
          <w:rFonts w:cs="Calibri"/>
        </w:rPr>
      </w:pPr>
      <w:r w:rsidRPr="00F933AF">
        <w:rPr>
          <w:rFonts w:cs="Calibri"/>
        </w:rPr>
        <w:t>Aff’s transhumanist projection of assistive technologies onto the disabled reinforces ableist hierarchies</w:t>
      </w:r>
    </w:p>
    <w:p w:rsidR="001902FF" w:rsidRPr="00F933AF" w:rsidRDefault="001902FF" w:rsidP="001902FF">
      <w:pPr>
        <w:rPr>
          <w:rFonts w:cs="Calibri"/>
        </w:rPr>
      </w:pPr>
      <w:r w:rsidRPr="00F933AF">
        <w:rPr>
          <w:rStyle w:val="Style13ptBold"/>
          <w:rFonts w:cs="Calibri"/>
        </w:rPr>
        <w:t>Hall 13</w:t>
      </w:r>
      <w:r w:rsidRPr="00F933AF">
        <w:rPr>
          <w:rFonts w:cs="Calibri"/>
        </w:rPr>
        <w:t xml:space="preserve"> (Melinda Hall, Ph.D. in philosophy from Vanderbilt University, assistant professor of philosophy at Stetson University, published in the International Journal of Feminist Approaches to Bioethics, Philosophy Compass, Disability Studies Quarterly, “Vile Sovereigns in Bioethical Debate”, Disability Studies Quarterly, http://dsq-sds.org/article/view/3870/3406)/CWB</w:t>
      </w:r>
    </w:p>
    <w:p w:rsidR="001902FF" w:rsidRPr="00F933AF" w:rsidRDefault="001902FF" w:rsidP="001902FF">
      <w:pPr>
        <w:rPr>
          <w:rFonts w:cs="Calibri"/>
          <w:sz w:val="16"/>
        </w:rPr>
      </w:pPr>
      <w:r w:rsidRPr="00F933AF">
        <w:rPr>
          <w:rFonts w:cs="Calibri"/>
          <w:sz w:val="16"/>
        </w:rPr>
        <w:t>In this paper</w:t>
      </w:r>
      <w:r w:rsidRPr="00F933AF">
        <w:rPr>
          <w:rStyle w:val="StyleUnderline"/>
          <w:rFonts w:cs="Calibri"/>
        </w:rPr>
        <w:t>, I critically assess transhumanist philosophy and its influence in bioethics by turning to resources in the work of Michel Foucault</w:t>
      </w:r>
      <w:r w:rsidRPr="00F933AF">
        <w:rPr>
          <w:rFonts w:cs="Calibri"/>
          <w:sz w:val="16"/>
        </w:rPr>
        <w:t xml:space="preserve">. I begin by outlining transhumanism and drawing out some of the primary goals of transhumanist philosophy. In order to do so, I focus on the work of Nick Bostrom and Julian Savulescu, two prominent contributors to this thinking. I then move to explicate Foucault's work, in the early iterations of the </w:t>
      </w:r>
      <w:proofErr w:type="gramStart"/>
      <w:r w:rsidRPr="00F933AF">
        <w:rPr>
          <w:rFonts w:cs="Calibri"/>
          <w:sz w:val="16"/>
        </w:rPr>
        <w:t>Abnormal</w:t>
      </w:r>
      <w:proofErr w:type="gramEnd"/>
      <w:r w:rsidRPr="00F933AF">
        <w:rPr>
          <w:rFonts w:cs="Calibri"/>
          <w:sz w:val="16"/>
        </w:rPr>
        <w:t xml:space="preserve"> lecture series, on the concept of vile sovereignty. Foucault used the concept of vile sovereignty to critique psychiatric witnesses that had been utilized in mid twentieth-century French courts of law. Turning back to transhumanism, </w:t>
      </w:r>
      <w:r w:rsidRPr="00F933AF">
        <w:rPr>
          <w:rStyle w:val="StyleUnderline"/>
          <w:rFonts w:cs="Calibri"/>
        </w:rPr>
        <w:t>I analyze transhumanist discourse on the basis of Foucault's vile sovereignty. Transhumanists promote human enhancement in a way that rejects the body—especially the disabled body—and pose the question of what lives are worth living, as well as attempt to answer it. I conclude that because of the undeserved influence and ableism of transhumanism, it is important for feminist philosophers, philosophers of disability, and other disability scholars, who collide at the nexus of bioethical debate (especially with regard to reproductive technology and the body), to work together to intervene upon transhumanist discourse. Discourses of truth that provoke laughter and have the institutional power to kill are, after all, in a society like ours, discourses that deserve some attention</w:t>
      </w:r>
      <w:r w:rsidRPr="00F933AF">
        <w:rPr>
          <w:rFonts w:cs="Calibri"/>
          <w:sz w:val="16"/>
        </w:rPr>
        <w:t xml:space="preserve">. —Michel Foucault, Abnormal Introduction In this paper, I critically assess transhumanist philosophy and its influence in bioethics by turning to resources in the work of Michel Foucault. I begin by outlining transhumanism and drawing out the crucial suggestions of the transhumanist philosophical movement and thus its contribution to debates regarding the ethics of human enhancement. I focus on the work of Nick Bostrom and Julian Savulescu, two prominent contributors to this thinking, in order to call attention to two main issues stemming from transhumanist thinking that are specifically related to enhancement: first, the transcendence of embodiment and, second, selection against stigmatized and unwanted traits associated with disability. In turn, I move to explicate Foucault's work in the early iterations of the 1974-75 lecture series that he gave at the Collège de France which was subsequently published in English as Abnormal (2003). </w:t>
      </w:r>
      <w:r w:rsidRPr="00F933AF">
        <w:rPr>
          <w:rStyle w:val="StyleUnderline"/>
          <w:rFonts w:cs="Calibri"/>
        </w:rPr>
        <w:t>Foucault's investigations into the construction of criminal abnormality therein can illuminate the construction of bodily abnormality in bioethics discourse to which, I argue, transhumanism contributes</w:t>
      </w:r>
      <w:r w:rsidRPr="00F933AF">
        <w:rPr>
          <w:rFonts w:cs="Calibri"/>
          <w:sz w:val="16"/>
        </w:rPr>
        <w:t xml:space="preserve">. Foucault describes how an abnormal subject was constituted in French courtrooms through penal discourses that simultaneously took on the appearance of truth and claimed authority in life and death cases, operating illicitly through the inspiration of fear and the use of outmoded science. I parallel Foucault's analysis of French courtrooms in my own analysis of transhumanism. </w:t>
      </w:r>
      <w:r w:rsidRPr="00F933AF">
        <w:rPr>
          <w:rStyle w:val="StyleUnderline"/>
          <w:rFonts w:cs="Calibri"/>
        </w:rPr>
        <w:t xml:space="preserve">Critique of transhumanist philosophy is important for feminist philosophy </w:t>
      </w:r>
      <w:r w:rsidRPr="00F933AF">
        <w:rPr>
          <w:rFonts w:cs="Calibri"/>
          <w:sz w:val="16"/>
        </w:rPr>
        <w:t xml:space="preserve">of disability </w:t>
      </w:r>
      <w:r w:rsidRPr="00F933AF">
        <w:rPr>
          <w:rStyle w:val="StyleUnderline"/>
          <w:rFonts w:cs="Calibri"/>
        </w:rPr>
        <w:t>and</w:t>
      </w:r>
      <w:r w:rsidRPr="00F933AF">
        <w:rPr>
          <w:rFonts w:cs="Calibri"/>
          <w:sz w:val="16"/>
        </w:rPr>
        <w:t xml:space="preserve"> other forms of </w:t>
      </w:r>
      <w:r w:rsidRPr="00F933AF">
        <w:rPr>
          <w:rStyle w:val="StyleUnderline"/>
          <w:rFonts w:cs="Calibri"/>
        </w:rPr>
        <w:t>disability scholarship insofar as transhumanist philosophy has troubling implications for persons with disabilities and women. The aff</w:t>
      </w:r>
      <w:r w:rsidRPr="00F933AF">
        <w:rPr>
          <w:rFonts w:cs="Calibri"/>
          <w:sz w:val="16"/>
        </w:rPr>
        <w:t xml:space="preserve">irmation and </w:t>
      </w:r>
      <w:r w:rsidRPr="00F933AF">
        <w:rPr>
          <w:rStyle w:val="StyleUnderline"/>
          <w:rFonts w:cs="Calibri"/>
        </w:rPr>
        <w:t>extension of traditional humanism embedded in transhumanism's vision of the future supports traditional hierarchies between body and mind and among capabilities. Cognitive ability, for example, is considered uniquely important to the good life—especially if it can be relieved of interference from a body vulnerable to injury and death—and the addition of capabilities is linked tightly to increased well-being.</w:t>
      </w:r>
      <w:r w:rsidRPr="00F933AF">
        <w:rPr>
          <w:rFonts w:cs="Calibri"/>
          <w:sz w:val="16"/>
        </w:rPr>
        <w:t xml:space="preserve"> Philosophers of disability and feminist theorists should work in tandem to </w:t>
      </w:r>
      <w:r w:rsidRPr="00F933AF">
        <w:rPr>
          <w:rStyle w:val="StyleUnderline"/>
          <w:rFonts w:cs="Calibri"/>
        </w:rPr>
        <w:t xml:space="preserve">critique transhumanism for these assumptions, especially insofar as they become evidence to support </w:t>
      </w:r>
      <w:r w:rsidRPr="00F933AF">
        <w:rPr>
          <w:rFonts w:cs="Calibri"/>
          <w:sz w:val="16"/>
        </w:rPr>
        <w:t>investment in</w:t>
      </w:r>
      <w:r w:rsidRPr="00F933AF">
        <w:rPr>
          <w:rStyle w:val="StyleUnderline"/>
          <w:rFonts w:cs="Calibri"/>
        </w:rPr>
        <w:t xml:space="preserve"> research and technology to be used upon the body</w:t>
      </w:r>
      <w:r w:rsidRPr="00F933AF">
        <w:rPr>
          <w:rFonts w:cs="Calibri"/>
          <w:sz w:val="16"/>
        </w:rPr>
        <w:t xml:space="preserve"> (cf. Garland-Thomson 2002; Rohrer 2005; Wendell 1996). Because of its assumptions regarding the importance of capability in general and cognitive capability in particular, transhumanism seems philosophically at odds with disability rights and the aims and goals of the disabled people's movement. I do not wish to claim, however, that the relationship between transhumanism and the disabled people's movement is a simple matter. Gregor Wolbring, a well-known disabled scholar and activist, for example, identifies as a transhumanist (Wasserman 2012). Indeed, as David Wasserman notes, </w:t>
      </w:r>
      <w:r w:rsidRPr="00F933AF">
        <w:rPr>
          <w:rStyle w:val="StyleUnderline"/>
          <w:rFonts w:cs="Calibri"/>
        </w:rPr>
        <w:t>transhumanist thinkers invoke members of the disability community as representative of the forefront of the potential and promise of new technologies because many of these people use assistive technology and prosthetics and, furthermore, because the community embraces human bodies in a variety of forms and other kinds of human variation</w:t>
      </w:r>
      <w:r w:rsidRPr="00F933AF">
        <w:rPr>
          <w:rFonts w:cs="Calibri"/>
          <w:sz w:val="16"/>
        </w:rPr>
        <w:t xml:space="preserve"> (ibid.). </w:t>
      </w:r>
      <w:r w:rsidRPr="00F933AF">
        <w:rPr>
          <w:rStyle w:val="StyleUnderline"/>
          <w:rFonts w:cs="Calibri"/>
        </w:rPr>
        <w:t>Given the transhumanist goal of adding to or increasing capabilities and its invocation of the disability community as uniquely friendly to or dependent upon technology, controversy surrounding the ethics of radical human enhancement implicates disabled people in a key role</w:t>
      </w:r>
      <w:r w:rsidRPr="00F933AF">
        <w:rPr>
          <w:rFonts w:cs="Calibri"/>
          <w:sz w:val="16"/>
        </w:rPr>
        <w:t>. Yet, as Wasserman suggests</w:t>
      </w:r>
      <w:r w:rsidRPr="00F933AF">
        <w:rPr>
          <w:rStyle w:val="StyleUnderline"/>
          <w:rFonts w:cs="Calibri"/>
        </w:rPr>
        <w:t>, the proliferation of enhancement technologies might exacerbate existing prejudices by promoting value hierarchies among capabilities</w:t>
      </w:r>
      <w:r w:rsidRPr="00F933AF">
        <w:rPr>
          <w:rFonts w:cs="Calibri"/>
          <w:sz w:val="16"/>
        </w:rPr>
        <w:t xml:space="preserve"> rather than, as Wolbring hopes, alleviating prejudices through difference (ibid.). </w:t>
      </w:r>
      <w:hyperlink r:id="rId418" w:anchor="endnote01" w:history="1">
        <w:r w:rsidRPr="00F933AF">
          <w:rPr>
            <w:rStyle w:val="Hyperlink"/>
            <w:rFonts w:cs="Calibri"/>
            <w:sz w:val="16"/>
          </w:rPr>
          <w:t>1</w:t>
        </w:r>
      </w:hyperlink>
      <w:r w:rsidRPr="00F933AF">
        <w:rPr>
          <w:rFonts w:cs="Calibri"/>
          <w:sz w:val="16"/>
        </w:rPr>
        <w:t xml:space="preserve"> Transhumanism Transhumanist philosophy focuses on the development and potential achievements of evolving technology and the possibility of enhancing current human capabilities (Bostrom 2005b, 8). It would be accurate to classify transhumanism as a type of applied ethics, given its concern with the practical implications of technology and possibilities for its future use for improving human life. According to the "Transhumanist Declaration" (Appendix to Bostrom 2005b), which was penned in 1998 as a founding document of the World Transhumanist Association, </w:t>
      </w:r>
      <w:r w:rsidRPr="00F933AF">
        <w:rPr>
          <w:rStyle w:val="StyleUnderline"/>
          <w:rFonts w:cs="Calibri"/>
        </w:rPr>
        <w:t>transhumanists recognize that technology has the power to impact human life in a fundamental way that would "redesign" it</w:t>
      </w:r>
      <w:r w:rsidRPr="00F933AF">
        <w:rPr>
          <w:rStyle w:val="Emphasis"/>
          <w:rFonts w:cs="Calibri"/>
        </w:rPr>
        <w:t>.</w:t>
      </w:r>
      <w:r w:rsidRPr="00F933AF">
        <w:rPr>
          <w:rFonts w:cs="Calibri"/>
          <w:sz w:val="16"/>
        </w:rPr>
        <w:t xml:space="preserve"> Transhumanists believe that although new technologies, particularly technologies made possible by genetics, robotics, information, and nanotechnology (the "GRIN" fields) are risky, they should be welcomed because of their potential to improve human life, rather than avoided or shunned because of "technophobia" (ibid.; cf. Garreau 2005, 115). Global society should invest time and research into technology designed to improve cognition, in anti-aging techniques, in reproductive technology, and in life suspension techniques such as cryogenics (all of which are cited in the Transhumanist Declaration) in order to understand both the risks and possibilities of these technologies. </w:t>
      </w:r>
      <w:r w:rsidRPr="00F933AF">
        <w:rPr>
          <w:rStyle w:val="StyleUnderline"/>
          <w:rFonts w:cs="Calibri"/>
        </w:rPr>
        <w:t xml:space="preserve">Ultimately, what individuals stand to gain, according to transhumanists, is the "use of technology to extend their mental and physical (including reproductive) capacities and to improve their control over their own lives" </w:t>
      </w:r>
      <w:r w:rsidRPr="00F933AF">
        <w:rPr>
          <w:rFonts w:cs="Calibri"/>
          <w:sz w:val="16"/>
        </w:rPr>
        <w:t xml:space="preserve">(Bostrom 2005b, Appendix). In sum, the Declaration claims that </w:t>
      </w:r>
      <w:r w:rsidRPr="00F933AF">
        <w:rPr>
          <w:rStyle w:val="StyleUnderline"/>
          <w:rFonts w:cs="Calibri"/>
        </w:rPr>
        <w:t>transhumanists "seek personal growth beyond our current biological limitation</w:t>
      </w:r>
      <w:r w:rsidRPr="00F933AF">
        <w:rPr>
          <w:rFonts w:cs="Calibri"/>
          <w:sz w:val="16"/>
        </w:rPr>
        <w:t xml:space="preserve">s" (ibid.). It seems that for transhumanists, only two reactions to inevitable scientific innovations—that is, passivity and activity—are possible, with the latter reaction preferable because (or so it is </w:t>
      </w:r>
      <w:r w:rsidRPr="00F933AF">
        <w:rPr>
          <w:rStyle w:val="StyleUnderline"/>
          <w:rFonts w:cs="Calibri"/>
        </w:rPr>
        <w:t>claimed</w:t>
      </w:r>
      <w:r w:rsidRPr="00F933AF">
        <w:rPr>
          <w:rFonts w:cs="Calibri"/>
          <w:sz w:val="16"/>
        </w:rPr>
        <w:t xml:space="preserve">) the </w:t>
      </w:r>
      <w:r w:rsidRPr="00F933AF">
        <w:rPr>
          <w:rStyle w:val="StyleUnderline"/>
          <w:rFonts w:cs="Calibri"/>
        </w:rPr>
        <w:t>technology has the potential to ameliorate or eliminate human suffering,</w:t>
      </w:r>
      <w:r w:rsidRPr="00F933AF">
        <w:rPr>
          <w:rFonts w:cs="Calibri"/>
          <w:sz w:val="16"/>
        </w:rPr>
        <w:t xml:space="preserve"> while the former reaction—namely, passivity—should be rejected because it may increase or at least extend human suffering. Nick Bostrom, Professor of Philosophy and Director of the Future of Humanity Institute and the Programme on the Impacts of Future Technology at Oxford University, is one of transhumanism's chief proponents and co-founder of the World Transhumanist Association. </w:t>
      </w:r>
      <w:r w:rsidRPr="00F933AF">
        <w:rPr>
          <w:rStyle w:val="StyleUnderline"/>
          <w:rFonts w:cs="Calibri"/>
        </w:rPr>
        <w:t>For Bostrom, transhumanism</w:t>
      </w:r>
      <w:r w:rsidRPr="00F933AF">
        <w:rPr>
          <w:rFonts w:cs="Calibri"/>
          <w:sz w:val="16"/>
        </w:rPr>
        <w:t xml:space="preserve"> stands for the "</w:t>
      </w:r>
      <w:r w:rsidRPr="00F933AF">
        <w:rPr>
          <w:rStyle w:val="StyleUnderline"/>
          <w:rFonts w:cs="Calibri"/>
        </w:rPr>
        <w:t>radical extension of human health-span, eradication of disease, elimination of unnecessary suffering, and augmentation of human intellectual, physical, and emotional capacities</w:t>
      </w:r>
      <w:r w:rsidRPr="00F933AF">
        <w:rPr>
          <w:rFonts w:cs="Calibri"/>
          <w:sz w:val="16"/>
        </w:rPr>
        <w:t xml:space="preserve">" (2003, 5). In a 2005 essay, Bostrom traces a history of transhumanism. Taking literary epics, ceremony, and religion as a guide, he notes that cultures around the world have long bemoaned death and sought immortality. He regards Renaissance humanism and the exercise of the intellect encouraged by the Age of the Enlightenment as primary precursors of today's transhumanist point of view because, like transhumanism, both of these historical frames emphasized "intellectual rigor" and relied upon empiricism and human judgment to investigate the world and its possibilities, rather than upon the acceptance of dogma (Bostrom 2005b, 2). </w:t>
      </w:r>
      <w:r w:rsidRPr="00F933AF">
        <w:rPr>
          <w:rStyle w:val="StyleUnderline"/>
          <w:rFonts w:cs="Calibri"/>
        </w:rPr>
        <w:t>As Bostrom notes, Francis Bacon argued that one should consider "all things possible" and that science should be used to "achieve mastery over nature in order to improve the living condition of human beings"</w:t>
      </w:r>
      <w:r w:rsidRPr="00F933AF">
        <w:rPr>
          <w:rFonts w:cs="Calibri"/>
          <w:sz w:val="16"/>
        </w:rPr>
        <w:t xml:space="preserve"> (ibid.). In short, Bostrom argues that "transhumanism has </w:t>
      </w:r>
      <w:r w:rsidRPr="00F933AF">
        <w:rPr>
          <w:rStyle w:val="StyleUnderline"/>
          <w:rFonts w:cs="Calibri"/>
        </w:rPr>
        <w:t>roots in</w:t>
      </w:r>
      <w:r w:rsidRPr="00F933AF">
        <w:rPr>
          <w:rFonts w:cs="Calibri"/>
          <w:sz w:val="16"/>
        </w:rPr>
        <w:t xml:space="preserve"> rational humanism"—in other words, the philosophy of transhumanism locates its heritage in the aforementioned influences of intellectual history. Among the ideas of these historical periods that continue to be promulgated is </w:t>
      </w:r>
      <w:r w:rsidRPr="00F933AF">
        <w:rPr>
          <w:rStyle w:val="StyleUnderline"/>
          <w:rFonts w:cs="Calibri"/>
        </w:rPr>
        <w:t>the far-reaching belief that the human is an object of nature to be conquered.</w:t>
      </w:r>
      <w:r w:rsidRPr="00F933AF">
        <w:rPr>
          <w:rFonts w:cs="Calibri"/>
          <w:sz w:val="16"/>
        </w:rPr>
        <w:t xml:space="preserve"> Bostrom writes (2005b): "In the 18th and 19th centuries we begin to see glimpses of the idea that even humans themselves can be developed through the appliance of science." It is Immanuel Kant's motto "Sapere aude! Have courage to use your own intelligence!" (4; cf. Wolfe 2009, xiv) to which Bostrom finally turns. Nevertheless, </w:t>
      </w:r>
      <w:r w:rsidRPr="00F933AF">
        <w:rPr>
          <w:rStyle w:val="StyleUnderline"/>
          <w:rFonts w:cs="Calibri"/>
        </w:rPr>
        <w:t>Bostrom simultaneously distinguishes transhumanist aims from the nineteenth-century figure of Friedrich Nietzsche's "overman," noting that Nietzsche did not have "technological transformation" in mind</w:t>
      </w:r>
      <w:r w:rsidRPr="00F933AF">
        <w:rPr>
          <w:rFonts w:cs="Calibri"/>
          <w:sz w:val="16"/>
        </w:rPr>
        <w:t>. As Bostrom (2005b, 4) explains:</w:t>
      </w:r>
      <w:r w:rsidRPr="00F933AF">
        <w:rPr>
          <w:rStyle w:val="StyleUnderline"/>
          <w:rFonts w:cs="Calibri"/>
        </w:rPr>
        <w:t xml:space="preserve"> Despite</w:t>
      </w:r>
      <w:r w:rsidRPr="00F933AF">
        <w:rPr>
          <w:rFonts w:cs="Calibri"/>
          <w:sz w:val="16"/>
        </w:rPr>
        <w:t xml:space="preserve"> </w:t>
      </w:r>
      <w:r w:rsidRPr="00F933AF">
        <w:rPr>
          <w:rStyle w:val="StyleUnderline"/>
          <w:rFonts w:cs="Calibri"/>
        </w:rPr>
        <w:t>some surface-level similarities with the Nietzschean vision</w:t>
      </w:r>
      <w:r w:rsidRPr="00F933AF">
        <w:rPr>
          <w:rFonts w:cs="Calibri"/>
          <w:sz w:val="16"/>
          <w:szCs w:val="16"/>
        </w:rPr>
        <w:t>, transhumanism</w:t>
      </w:r>
      <w:r w:rsidRPr="00F933AF">
        <w:rPr>
          <w:rFonts w:cs="Calibri"/>
          <w:sz w:val="16"/>
        </w:rPr>
        <w:t xml:space="preserve">— with its Enlightenment roots, its emphasis on individual liberties, and its humanistic concern for the welfare of all humans (and other sentient beings)—probably has as </w:t>
      </w:r>
      <w:r w:rsidRPr="00F933AF">
        <w:rPr>
          <w:rStyle w:val="StyleUnderline"/>
          <w:rFonts w:cs="Calibri"/>
        </w:rPr>
        <w:t>much</w:t>
      </w:r>
      <w:r w:rsidRPr="00F933AF">
        <w:rPr>
          <w:rFonts w:cs="Calibri"/>
          <w:sz w:val="16"/>
        </w:rPr>
        <w:t xml:space="preserve"> or more </w:t>
      </w:r>
      <w:r w:rsidRPr="00F933AF">
        <w:rPr>
          <w:rStyle w:val="StyleUnderline"/>
          <w:rFonts w:cs="Calibri"/>
        </w:rPr>
        <w:t>in common with</w:t>
      </w:r>
      <w:r w:rsidRPr="00F933AF">
        <w:rPr>
          <w:rFonts w:cs="Calibri"/>
          <w:sz w:val="16"/>
        </w:rPr>
        <w:t xml:space="preserve"> Nietzsche's contemporary </w:t>
      </w:r>
      <w:r w:rsidRPr="00F933AF">
        <w:rPr>
          <w:rStyle w:val="StyleUnderline"/>
          <w:rFonts w:cs="Calibri"/>
        </w:rPr>
        <w:t>J.S. Mill, the English liberal thinker and utilitarian. Transhumanism</w:t>
      </w:r>
      <w:r w:rsidRPr="00F933AF">
        <w:rPr>
          <w:rFonts w:cs="Calibri"/>
          <w:sz w:val="16"/>
        </w:rPr>
        <w:t xml:space="preserve"> looks forward to, and </w:t>
      </w:r>
      <w:r w:rsidRPr="00F933AF">
        <w:rPr>
          <w:rStyle w:val="StyleUnderline"/>
          <w:rFonts w:cs="Calibri"/>
        </w:rPr>
        <w:t>promotes, a future where technology reshapes the human being as it is now conceived</w:t>
      </w:r>
      <w:r w:rsidRPr="00F933AF">
        <w:rPr>
          <w:rFonts w:cs="Calibri"/>
          <w:sz w:val="16"/>
        </w:rPr>
        <w:t xml:space="preserve">. In accordance with Bostrom's vision, this reshaping would be directed toward improvement of human beings in terms of their capabilities, in addition to (and in harmony with J.S. Mill) improvement in degrees of human happiness. </w:t>
      </w:r>
    </w:p>
    <w:p w:rsidR="001902FF" w:rsidRPr="001B73D9" w:rsidRDefault="001902FF" w:rsidP="001902FF"/>
    <w:p w:rsidR="001902FF" w:rsidRDefault="001902FF" w:rsidP="001902FF"/>
    <w:p w:rsidR="00E21E86" w:rsidRPr="00F933AF" w:rsidRDefault="00E21E86" w:rsidP="00E21E86">
      <w:pPr>
        <w:pStyle w:val="Heading3"/>
      </w:pPr>
      <w:r>
        <w:t>Root Cause - Biosemiotics</w:t>
      </w:r>
    </w:p>
    <w:p w:rsidR="00E21E86" w:rsidRPr="00F933AF" w:rsidRDefault="00E21E86" w:rsidP="00E21E86">
      <w:pPr>
        <w:pStyle w:val="Heading4"/>
        <w:rPr>
          <w:rFonts w:cs="Calibri"/>
        </w:rPr>
      </w:pPr>
      <w:r w:rsidRPr="00F933AF">
        <w:rPr>
          <w:rFonts w:cs="Calibri"/>
        </w:rPr>
        <w:t>The root cause of public charge is the system of biosemiotics that controls the power relations of bodies – the language of the act demonstrated eugenic intervention into ideas of labour, citizenship and capitalism, justifying the labeling of immigrants as unhealthy for the nation – this pathologization continues on to this day</w:t>
      </w:r>
    </w:p>
    <w:p w:rsidR="00E21E86" w:rsidRPr="00F933AF" w:rsidRDefault="00E21E86" w:rsidP="00E21E86">
      <w:pPr>
        <w:rPr>
          <w:rFonts w:cs="Calibri"/>
          <w:b/>
          <w:sz w:val="26"/>
        </w:rPr>
      </w:pPr>
      <w:r w:rsidRPr="00F933AF">
        <w:rPr>
          <w:rStyle w:val="Style13ptBold"/>
          <w:rFonts w:cs="Calibri"/>
        </w:rPr>
        <w:t>Wheeler 17</w:t>
      </w:r>
      <w:r w:rsidRPr="00F933AF">
        <w:rPr>
          <w:rFonts w:cs="Calibri"/>
        </w:rPr>
        <w:t xml:space="preserve"> (Stephanie K. Wheeler, Department of Writing and Rhetoric at the University of Central Florida, “The construction of access: the eugenic precedent of the Americans with Disabilities Act,” [Taylor and Francis Online], February 10</w:t>
      </w:r>
      <w:r w:rsidRPr="00F933AF">
        <w:rPr>
          <w:rFonts w:cs="Calibri"/>
          <w:vertAlign w:val="superscript"/>
        </w:rPr>
        <w:t>th</w:t>
      </w:r>
      <w:r w:rsidRPr="00F933AF">
        <w:rPr>
          <w:rFonts w:cs="Calibri"/>
        </w:rPr>
        <w:t xml:space="preserve"> 2017, accessed: 7/11/18, https://www.tandfonline.com/doi/abs/10.1080/10304312.2016.1275132?src=recsys&amp;journalCode=ccon20)//DCai</w:t>
      </w:r>
    </w:p>
    <w:p w:rsidR="00E21E86" w:rsidRPr="00F933AF" w:rsidRDefault="00E21E86" w:rsidP="00E21E86">
      <w:pPr>
        <w:rPr>
          <w:rFonts w:cs="Calibri"/>
          <w:sz w:val="16"/>
        </w:rPr>
      </w:pPr>
      <w:r w:rsidRPr="00F933AF">
        <w:rPr>
          <w:rFonts w:cs="Calibri"/>
          <w:sz w:val="16"/>
        </w:rPr>
        <w:t xml:space="preserve">Ellis Island and the 1891 Immigration Act </w:t>
      </w:r>
      <w:r w:rsidRPr="00F933AF">
        <w:rPr>
          <w:rStyle w:val="StyleUnderline"/>
          <w:rFonts w:cs="Calibri"/>
        </w:rPr>
        <w:t>The nineteenth-century disciplinary concerns for transforming human diversity into quantifiable data promoted the systematic segregation of unworthy, irresponsible citizens from the worthy and responsible ones, rendering disability as a sign of conflict in the growing narrative of American culture and body politic</w:t>
      </w:r>
      <w:r w:rsidRPr="00F933AF">
        <w:rPr>
          <w:rFonts w:cs="Calibri"/>
          <w:sz w:val="16"/>
        </w:rPr>
        <w:t>. This narrative was constructed via the juxtaposition of the material body of the citizenry against the idealized body of the nation. ‘</w:t>
      </w:r>
      <w:r w:rsidRPr="00F933AF">
        <w:rPr>
          <w:rStyle w:val="StyleUnderline"/>
          <w:rFonts w:cs="Calibri"/>
        </w:rPr>
        <w:t>For the national body to become increasingly “coherent</w:t>
      </w:r>
      <w:r w:rsidRPr="00F933AF">
        <w:rPr>
          <w:rFonts w:cs="Calibri"/>
          <w:sz w:val="16"/>
        </w:rPr>
        <w:t>,”’ Snyder and Mitchell (23) argue, ‘</w:t>
      </w:r>
      <w:r w:rsidRPr="00F933AF">
        <w:rPr>
          <w:rStyle w:val="StyleUnderline"/>
          <w:rFonts w:cs="Calibri"/>
        </w:rPr>
        <w:t>citizens must begin to recognize themselves as either contributors to or detractors from the overall health of the body politic’</w:t>
      </w:r>
      <w:r w:rsidRPr="00F933AF">
        <w:rPr>
          <w:rFonts w:cs="Calibri"/>
          <w:sz w:val="16"/>
        </w:rPr>
        <w:t xml:space="preserve">. Placing this in the terms of biosemiotics, </w:t>
      </w:r>
      <w:r w:rsidRPr="00F933AF">
        <w:rPr>
          <w:rStyle w:val="StyleUnderline"/>
          <w:rFonts w:cs="Calibri"/>
        </w:rPr>
        <w:t xml:space="preserve">the nation was a body, dependent on a labouring system designed to keep it healthy. Disability was a disease and a hindrance to that health. Eugenics provided the tools necessary to ‘edit the text of the disease’ (Baer 1992) out of the system. </w:t>
      </w:r>
      <w:r w:rsidRPr="00F933AF">
        <w:rPr>
          <w:rFonts w:cs="Calibri"/>
          <w:sz w:val="16"/>
        </w:rPr>
        <w:t>During this time, anthropometrics became the tool that determined the need for this editing. Anthropometry is the science of quantifiable measurements of the human body. To distinguish between the worthy and unworthy citizens, anthropometric data were collected, analyzed and deployed in an effort to create designated norms, the standard by which all bodies were held against. Tremain (2010, 4) observes that the anthropometric research data yielded inspired ‘a new type of medicine … whose main function was public hygiene, and whose institutions centralized the power of the new medicine, normalized its knowledge, and coordinate the care that is distributed under its auspices’. She continues: ‘</w:t>
      </w:r>
      <w:r w:rsidRPr="00F933AF">
        <w:rPr>
          <w:rStyle w:val="StyleUnderline"/>
          <w:rFonts w:cs="Calibri"/>
        </w:rPr>
        <w:t>Regulatory mechanisms are put into place that prescribe norms, adjust to an equilibrium, maintain an average, and compensate for variations within the “general population</w:t>
      </w:r>
      <w:r w:rsidRPr="00F933AF">
        <w:rPr>
          <w:rFonts w:cs="Calibri"/>
          <w:sz w:val="16"/>
        </w:rPr>
        <w:t xml:space="preserve">”’. Thus </w:t>
      </w:r>
      <w:r w:rsidRPr="00F933AF">
        <w:rPr>
          <w:rStyle w:val="StyleUnderline"/>
          <w:rFonts w:cs="Calibri"/>
        </w:rPr>
        <w:t>in the attempt to create and maintain a normality that fostered notions of public hygiene</w:t>
      </w:r>
      <w:r w:rsidRPr="00F933AF">
        <w:rPr>
          <w:rFonts w:cs="Calibri"/>
          <w:sz w:val="16"/>
        </w:rPr>
        <w:t xml:space="preserve">, anthropometrics provided a way to situate difference through the enforcement of designated norms sustained by scientific and medical data. In his acquisition of anthropometric data, Francis Galton, ‘father of eugenics’, appealed to the cultural investment in normalization and invited the public to document their own physical and mental characteristics. By taking this approach, </w:t>
      </w:r>
      <w:r w:rsidRPr="00F933AF">
        <w:rPr>
          <w:rStyle w:val="StyleUnderline"/>
          <w:rFonts w:cs="Calibri"/>
        </w:rPr>
        <w:t>Galton provided the public a crucial cultural technique by which to standardize their bodies, effectively positioning ‘quantification as a universal cultural value’</w:t>
      </w:r>
      <w:r w:rsidRPr="00F933AF">
        <w:rPr>
          <w:rFonts w:cs="Calibri"/>
          <w:sz w:val="16"/>
        </w:rPr>
        <w:t xml:space="preserve"> (Lundgren 2011, 14) </w:t>
      </w:r>
      <w:r w:rsidRPr="00F933AF">
        <w:rPr>
          <w:rStyle w:val="StyleUnderline"/>
          <w:rFonts w:cs="Calibri"/>
        </w:rPr>
        <w:t xml:space="preserve">that established an imagined, ideal citizen based on ability, genetics and ideology. </w:t>
      </w:r>
      <w:r w:rsidRPr="00F933AF">
        <w:rPr>
          <w:rStyle w:val="Emphasis"/>
          <w:rFonts w:cs="Calibri"/>
        </w:rPr>
        <w:t xml:space="preserve">Immigrants and other undesirable people threatened this imaginary citizen, and from the standpoint of eugenicist logic and semiotics, threatened the future of the nation by multiplying that which halted the progress and future of the United States. </w:t>
      </w:r>
      <w:r w:rsidRPr="00F933AF">
        <w:rPr>
          <w:rFonts w:cs="Calibri"/>
          <w:sz w:val="16"/>
        </w:rPr>
        <w:t xml:space="preserve">Thus </w:t>
      </w:r>
      <w:r w:rsidRPr="00F933AF">
        <w:rPr>
          <w:rStyle w:val="StyleUnderline"/>
          <w:rFonts w:cs="Calibri"/>
        </w:rPr>
        <w:t xml:space="preserve">legislations such as the 1891 Immigration Act were written in service of protecting what was believed to be the existence of an ideal American citizen and identifying who was not. </w:t>
      </w:r>
      <w:r w:rsidRPr="00F933AF">
        <w:rPr>
          <w:rFonts w:cs="Calibri"/>
          <w:sz w:val="16"/>
        </w:rPr>
        <w:t xml:space="preserve">While it was certainly not the first legislation that governed immigration, </w:t>
      </w:r>
      <w:r w:rsidRPr="00F933AF">
        <w:rPr>
          <w:rStyle w:val="StyleUnderline"/>
          <w:rFonts w:cs="Calibri"/>
        </w:rPr>
        <w:t>it was</w:t>
      </w:r>
      <w:r w:rsidRPr="00F933AF">
        <w:rPr>
          <w:rFonts w:cs="Calibri"/>
          <w:sz w:val="16"/>
        </w:rPr>
        <w:t xml:space="preserve">, however, </w:t>
      </w:r>
      <w:r w:rsidRPr="00F933AF">
        <w:rPr>
          <w:rStyle w:val="StyleUnderline"/>
          <w:rFonts w:cs="Calibri"/>
        </w:rPr>
        <w:t>the first that approached immigration in a comprehensive, exclusionary way that could be administered through a federal government agency and policy.</w:t>
      </w:r>
      <w:r w:rsidRPr="00F933AF">
        <w:rPr>
          <w:rFonts w:cs="Calibri"/>
          <w:sz w:val="16"/>
        </w:rPr>
        <w:t xml:space="preserve"> </w:t>
      </w:r>
      <w:r w:rsidRPr="00F933AF">
        <w:rPr>
          <w:rStyle w:val="StyleUnderline"/>
          <w:rFonts w:cs="Calibri"/>
        </w:rPr>
        <w:t>Officials were granted permission by the federal government to deny entry of persons appearing to be a convict, disabled or unlikely to,</w:t>
      </w:r>
      <w:r w:rsidRPr="00F933AF">
        <w:rPr>
          <w:rFonts w:cs="Calibri"/>
          <w:sz w:val="16"/>
        </w:rPr>
        <w:t xml:space="preserve"> ‘</w:t>
      </w:r>
      <w:r w:rsidRPr="00F933AF">
        <w:rPr>
          <w:rStyle w:val="Emphasis"/>
          <w:rFonts w:cs="Calibri"/>
        </w:rPr>
        <w:t>take care of himself or herself without becoming a public charge</w:t>
      </w:r>
      <w:r w:rsidRPr="00F933AF">
        <w:rPr>
          <w:rFonts w:cs="Calibri"/>
          <w:sz w:val="16"/>
        </w:rPr>
        <w:t xml:space="preserve">’ (Chap. 551, Section 1), </w:t>
      </w:r>
      <w:r w:rsidRPr="00F933AF">
        <w:rPr>
          <w:rStyle w:val="Emphasis"/>
          <w:rFonts w:cs="Calibri"/>
        </w:rPr>
        <w:t>marking the beginning of the medical exclusion of immigrants into the United States.</w:t>
      </w:r>
      <w:r w:rsidRPr="00F933AF">
        <w:rPr>
          <w:rFonts w:cs="Calibri"/>
          <w:sz w:val="16"/>
        </w:rPr>
        <w:t xml:space="preserve"> </w:t>
      </w:r>
      <w:r w:rsidRPr="00F933AF">
        <w:rPr>
          <w:rStyle w:val="StyleUnderline"/>
          <w:rFonts w:cs="Calibri"/>
        </w:rPr>
        <w:t>Bodies that did not meet the medical standards of ‘imagined authenticity’ – or those who refused to be quantified through this process – were not permitted access into the nation and by extension, citizenship</w:t>
      </w:r>
      <w:r w:rsidRPr="00F933AF">
        <w:rPr>
          <w:rFonts w:cs="Calibri"/>
          <w:sz w:val="16"/>
        </w:rPr>
        <w:t xml:space="preserve">. </w:t>
      </w:r>
      <w:r w:rsidRPr="00F933AF">
        <w:rPr>
          <w:rStyle w:val="Emphasis"/>
          <w:rFonts w:cs="Calibri"/>
        </w:rPr>
        <w:t xml:space="preserve">This law is a legal intervention into a semiotic system of citizenship, reflecting the relationship between the perceived weakness of a nation and its ability to control immigration </w:t>
      </w:r>
      <w:r w:rsidRPr="00F933AF">
        <w:rPr>
          <w:rFonts w:cs="Calibri"/>
          <w:sz w:val="16"/>
        </w:rPr>
        <w:t>Ong (1999, 9). Similarly, Snyder and Mitchell’s (2006, 23) contention that ‘</w:t>
      </w:r>
      <w:r w:rsidRPr="00F933AF">
        <w:rPr>
          <w:rStyle w:val="StyleUnderline"/>
          <w:rFonts w:cs="Calibri"/>
        </w:rPr>
        <w:t>if a national body was made up of a multitude of individual bodies, then each “person” was recognized as a microcosm of the state,’ meaning that the Immigration Act and the processes of admittance into the United States served as a preventative measure to improve the strength and health of the nation. Hence the restriction of ‘all idiots, insane persons, paupers, or persons likely to become a public charge</w:t>
      </w:r>
      <w:r w:rsidRPr="00F933AF">
        <w:rPr>
          <w:rFonts w:cs="Calibri"/>
          <w:sz w:val="16"/>
        </w:rPr>
        <w:t xml:space="preserve">, </w:t>
      </w:r>
      <w:r w:rsidRPr="00F933AF">
        <w:rPr>
          <w:rStyle w:val="StyleUnderline"/>
          <w:rFonts w:cs="Calibri"/>
        </w:rPr>
        <w:t>[and] persons suffering from a loathsome or dangerous contagious disease</w:t>
      </w:r>
      <w:r w:rsidRPr="00F933AF">
        <w:rPr>
          <w:rFonts w:cs="Calibri"/>
          <w:sz w:val="16"/>
        </w:rPr>
        <w:t xml:space="preserve">’ (‘Immigration Act’ 1891, Chap. 551, Section 1). </w:t>
      </w:r>
      <w:r w:rsidRPr="00F933AF">
        <w:rPr>
          <w:rStyle w:val="StyleUnderline"/>
          <w:rFonts w:cs="Calibri"/>
        </w:rPr>
        <w:t>This discrimination of persons with disabilities is coded in medical language: idiots, insane, disease. The context of this medical language suggests that people with disabilities are people who are, and should be, feared: loathsome, dangerous and contagious – all signal the fear of disability, and relate it directly to the health of the nation and its people.</w:t>
      </w:r>
      <w:r w:rsidRPr="00F933AF">
        <w:rPr>
          <w:rFonts w:cs="Calibri"/>
          <w:sz w:val="16"/>
        </w:rPr>
        <w:t xml:space="preserve"> </w:t>
      </w:r>
      <w:r w:rsidRPr="00F933AF">
        <w:rPr>
          <w:rStyle w:val="StyleUnderline"/>
          <w:rFonts w:cs="Calibri"/>
        </w:rPr>
        <w:t>To code ableism in ‘objective,’ medical language is to say that the fear of people with disabilities is a legitimate response to ‘worthy’ citizens, since the static definition of disability emphasizes the threat of the evolutionary progress of both the nation, but of the people themselves.</w:t>
      </w:r>
      <w:r w:rsidRPr="00F933AF">
        <w:rPr>
          <w:rFonts w:cs="Calibri"/>
          <w:sz w:val="16"/>
        </w:rPr>
        <w:t xml:space="preserve"> Moreover, the act denies entrance to those whose ticket was paid for by another – suggesting that they could not care for themselves, or depended on the assistance of others to survive. </w:t>
      </w:r>
      <w:r w:rsidRPr="00F933AF">
        <w:rPr>
          <w:rStyle w:val="Emphasis"/>
          <w:rFonts w:cs="Calibri"/>
        </w:rPr>
        <w:t>To associate disability and disease within the context of immigration is to also put those same labels onto the bodies of the immigrants themselves.</w:t>
      </w:r>
      <w:r w:rsidRPr="00F933AF">
        <w:rPr>
          <w:rFonts w:cs="Calibri"/>
          <w:sz w:val="16"/>
        </w:rPr>
        <w:t xml:space="preserve"> </w:t>
      </w:r>
      <w:r w:rsidRPr="00F933AF">
        <w:rPr>
          <w:rStyle w:val="StyleUnderline"/>
          <w:rFonts w:cs="Calibri"/>
        </w:rPr>
        <w:t>Because the Immigration Act describes what is not wanted and what is considered unhealthy to the nation, it is not insignificant that it opens up with a description of disabled bodies</w:t>
      </w:r>
      <w:r w:rsidRPr="00F933AF">
        <w:rPr>
          <w:rFonts w:cs="Calibri"/>
          <w:sz w:val="16"/>
        </w:rPr>
        <w:t xml:space="preserve">. By situating what is unhealthy to the nation within the context of immigration, </w:t>
      </w:r>
      <w:r w:rsidRPr="00F933AF">
        <w:rPr>
          <w:rStyle w:val="StyleUnderline"/>
          <w:rFonts w:cs="Calibri"/>
        </w:rPr>
        <w:t xml:space="preserve">this act is very clearly implying that the bodies of immigrants are diseased and unhealthy. Situating these bodies in the context of medical language is legitimizing the nation’s place as part of a semiotic system that appeals to biosemiotic and legal semiotic framings of language, namely the attempt to control and limit the movement of signs of disability as always ‘diseased’, ‘unhealthy’ and ‘threatening’. </w:t>
      </w:r>
      <w:r w:rsidRPr="00F933AF">
        <w:rPr>
          <w:rFonts w:cs="Calibri"/>
          <w:sz w:val="16"/>
        </w:rPr>
        <w:t xml:space="preserve">Identifying the bodies of those who defied the statistic averages, however, was not just limited to the languaging of deviance. </w:t>
      </w:r>
      <w:r w:rsidRPr="00F933AF">
        <w:rPr>
          <w:rStyle w:val="StyleUnderline"/>
          <w:rFonts w:cs="Calibri"/>
        </w:rPr>
        <w:t xml:space="preserve">While the practices designed to uphold the law, and by extension, the definitions of normal and abnormal that the law implied, reflected this language around disability, the practice of anthropometry, however, was the tool by which bodies were held accountable to these ideas of ‘normal’. </w:t>
      </w:r>
      <w:r w:rsidRPr="00F933AF">
        <w:rPr>
          <w:rFonts w:cs="Calibri"/>
          <w:sz w:val="16"/>
        </w:rPr>
        <w:t>After the passage of the Act, Ellis Island became the hub of immigration processing and anthropometric practices. Dolmage (2011) argues that ‘</w:t>
      </w:r>
      <w:r w:rsidRPr="00F933AF">
        <w:rPr>
          <w:rStyle w:val="StyleUnderline"/>
          <w:rFonts w:cs="Calibri"/>
        </w:rPr>
        <w:t>the social processing that Ellis Island engendered was all about identifying and sometimes manufacturing abnormal bodies: these elements are out of place; these bodies are disordered’</w:t>
      </w:r>
      <w:r w:rsidRPr="00F933AF">
        <w:rPr>
          <w:rFonts w:cs="Calibri"/>
          <w:sz w:val="16"/>
        </w:rPr>
        <w:t xml:space="preserve">. Ellis Island served as a type of designating station, wherein bodies were subjected to a normalizing gaze that determined their level of difference and its relationship to the development of ‘the norm’ in the United States. Safford (1925, 246), a medical doctor stationed at Ellis Island, describes in his memoir, the motivation behind the medical inspection: The scheme as it was maintained in actual operation at Ellis Island during my time there provided an opportunity for an observer to inspect an immigrant systematically both at rest and in motion at a distance of about twenty or twenty-five feet; for an observer to inspect or scrutinize the immigrant as he approached the observer, and finally after the immigrant came close at hand. Somewhere in this inspection process provision was to be made for the close examination of hands, eyes, and, if deemed advisable, of throat. No attempt was to be made on such an inspection to determine what was wrong. Suspicion that something might be wrong was alone sufficient justification for turning a person aside. Part of this ‘scheme’ of identifying ‘deficiencies’ that Safford describes is dependent on the measurement and quantification of bodily ability. Anthropometrics operates here in the interest of eugenicist logic to determine the acceptability of bodies within the context of American nationalism and productivity. </w:t>
      </w:r>
      <w:r w:rsidRPr="00F933AF">
        <w:rPr>
          <w:rStyle w:val="StyleUnderline"/>
          <w:rFonts w:cs="Calibri"/>
        </w:rPr>
        <w:t>The notion of disability and practices of disabling are often linked to the restriction of productivity and participation;</w:t>
      </w:r>
      <w:r w:rsidRPr="00F933AF">
        <w:rPr>
          <w:rFonts w:cs="Calibri"/>
          <w:sz w:val="16"/>
        </w:rPr>
        <w:t xml:space="preserve"> as Snyder and Mitchell (2006, 39) write, </w:t>
      </w:r>
      <w:r w:rsidRPr="00F933AF">
        <w:rPr>
          <w:rStyle w:val="StyleUnderline"/>
          <w:rFonts w:cs="Calibri"/>
        </w:rPr>
        <w:t>because disability ‘extracted individuals from productive membership in a capitalist economy, people with physical and cognitive differences found themselves controlled by new terms’.</w:t>
      </w:r>
      <w:r w:rsidRPr="00F933AF">
        <w:rPr>
          <w:rFonts w:cs="Calibri"/>
          <w:sz w:val="16"/>
        </w:rPr>
        <w:t xml:space="preserve"> </w:t>
      </w:r>
      <w:r w:rsidRPr="00F933AF">
        <w:rPr>
          <w:rStyle w:val="StyleUnderline"/>
          <w:rFonts w:cs="Calibri"/>
        </w:rPr>
        <w:t>This shift to new terms is an example of a shift and intervention in semiotic systems. Within a capitalist system that privileges labour as a key to development and improvement, a shift to new terms means that bodies are not just pathologized, but also subject to a scientific and medical measure of worth. Eugenic logic intervenes in the system of citizenship, capitalism and labour</w:t>
      </w:r>
      <w:r w:rsidRPr="00F933AF">
        <w:rPr>
          <w:rFonts w:cs="Calibri"/>
          <w:sz w:val="16"/>
        </w:rPr>
        <w:t xml:space="preserve"> – indeed, prior to the 1882 Act, immigration was largely welcomed so as to build a strong labour force – </w:t>
      </w:r>
      <w:r w:rsidRPr="00F933AF">
        <w:rPr>
          <w:rStyle w:val="StyleUnderline"/>
          <w:rFonts w:cs="Calibri"/>
        </w:rPr>
        <w:t>by pathologizing difference and restricting definitions of participation. In doing so, the nation became regarded in a biosemiotic sense, wherein disabled, non-labouring bodies represented a threat to the ‘natural’ sustainability of the country</w:t>
      </w:r>
      <w:r w:rsidRPr="00F933AF">
        <w:rPr>
          <w:rFonts w:cs="Calibri"/>
          <w:sz w:val="16"/>
        </w:rPr>
        <w:t xml:space="preserve">. Accordingly, </w:t>
      </w:r>
      <w:r w:rsidRPr="00F933AF">
        <w:rPr>
          <w:rStyle w:val="StyleUnderline"/>
          <w:rFonts w:cs="Calibri"/>
        </w:rPr>
        <w:t>this eugenic intervention manifested through language</w:t>
      </w:r>
      <w:r w:rsidRPr="00F933AF">
        <w:rPr>
          <w:rFonts w:cs="Calibri"/>
          <w:sz w:val="16"/>
        </w:rPr>
        <w:t xml:space="preserve"> (</w:t>
      </w:r>
      <w:r w:rsidRPr="00F933AF">
        <w:rPr>
          <w:rStyle w:val="StyleUnderline"/>
          <w:rFonts w:cs="Calibri"/>
        </w:rPr>
        <w:t>legislative language meant to invoke scientific and medical rationales for restriction), statistical cataloguing of bodily averages (anthropometrics at Ellis Island) and the conditioning of participation based on language and cataloguing (participation is only granted once someone can evade the language and statistics of ‘deviance’</w:t>
      </w:r>
      <w:r w:rsidRPr="00F933AF">
        <w:rPr>
          <w:rFonts w:cs="Calibri"/>
          <w:sz w:val="16"/>
        </w:rPr>
        <w:t>).</w:t>
      </w:r>
    </w:p>
    <w:p w:rsidR="00E21E86" w:rsidRPr="00F933AF" w:rsidRDefault="00E21E86" w:rsidP="00CE6D10">
      <w:pPr>
        <w:rPr>
          <w:rFonts w:cs="Calibri"/>
        </w:rPr>
      </w:pPr>
    </w:p>
    <w:p w:rsidR="00CE6D10" w:rsidRPr="00F933AF" w:rsidRDefault="00CE6D10" w:rsidP="002B3A0E">
      <w:pPr>
        <w:pStyle w:val="Heading3"/>
      </w:pPr>
      <w:r w:rsidRPr="00F933AF">
        <w:t>AT: Perm</w:t>
      </w:r>
    </w:p>
    <w:p w:rsidR="00CE6D10" w:rsidRPr="00F933AF" w:rsidRDefault="00CE6D10" w:rsidP="00CE6D10">
      <w:pPr>
        <w:pStyle w:val="Heading4"/>
        <w:rPr>
          <w:rFonts w:cs="Calibri"/>
        </w:rPr>
      </w:pPr>
      <w:r w:rsidRPr="00F933AF">
        <w:rPr>
          <w:rFonts w:cs="Calibri"/>
        </w:rPr>
        <w:t xml:space="preserve">The permutation is incoherent and fragments grassroots organizations—only a complete rejection of free market principles allows for movements that can resist state cooption and liberate people with disabilities.  </w:t>
      </w:r>
    </w:p>
    <w:p w:rsidR="00CE6D10" w:rsidRPr="00F933AF" w:rsidRDefault="00CE6D10" w:rsidP="00CE6D10">
      <w:pPr>
        <w:rPr>
          <w:rFonts w:cs="Calibri"/>
        </w:rPr>
      </w:pPr>
      <w:r w:rsidRPr="00F933AF">
        <w:rPr>
          <w:rFonts w:cs="Calibri"/>
          <w:b/>
        </w:rPr>
        <w:t xml:space="preserve">Russell and Malhotra 2 </w:t>
      </w:r>
      <w:r w:rsidRPr="00F933AF">
        <w:rPr>
          <w:rFonts w:cs="Calibri"/>
          <w:sz w:val="18"/>
          <w:szCs w:val="18"/>
        </w:rPr>
        <w:t xml:space="preserve">(Marta Russell and Ravia Malhotra, “Capitalism and Disability,” Socialist Register, 2002, Disability Rights Movements: Prospects </w:t>
      </w:r>
      <w:proofErr w:type="gramStart"/>
      <w:r w:rsidRPr="00F933AF">
        <w:rPr>
          <w:rFonts w:cs="Calibri"/>
          <w:sz w:val="18"/>
          <w:szCs w:val="18"/>
        </w:rPr>
        <w:t>And</w:t>
      </w:r>
      <w:proofErr w:type="gramEnd"/>
      <w:r w:rsidRPr="00F933AF">
        <w:rPr>
          <w:rFonts w:cs="Calibri"/>
          <w:sz w:val="18"/>
          <w:szCs w:val="18"/>
        </w:rPr>
        <w:t xml:space="preserve"> Limitations, pg. 216-218, https://socialistregister.com/index.php/srv/article/viewFile/5784/2680~~)//jy</w:t>
      </w:r>
    </w:p>
    <w:p w:rsidR="00CE6D10" w:rsidRPr="00F933AF" w:rsidRDefault="00CE6D10" w:rsidP="00CE6D10">
      <w:pPr>
        <w:rPr>
          <w:rFonts w:cs="Calibri"/>
          <w:b/>
          <w:u w:val="single"/>
        </w:rPr>
      </w:pPr>
      <w:r w:rsidRPr="00F933AF">
        <w:rPr>
          <w:rFonts w:cs="Calibri"/>
          <w:sz w:val="12"/>
        </w:rPr>
        <w:t>While new social movements fighting against racism, patriarchy and homophobia were gaining prominence in many Western countries in the 1960s</w:t>
      </w:r>
      <w:proofErr w:type="gramStart"/>
      <w:r w:rsidRPr="00F933AF">
        <w:rPr>
          <w:rFonts w:cs="Calibri"/>
          <w:sz w:val="12"/>
        </w:rPr>
        <w:t>,45</w:t>
      </w:r>
      <w:proofErr w:type="gramEnd"/>
      <w:r w:rsidRPr="00F933AF">
        <w:rPr>
          <w:rFonts w:cs="Calibri"/>
          <w:sz w:val="12"/>
        </w:rPr>
        <w:t xml:space="preserve"> movements of disabled people, with more or less coherent programmes and ideologies, also slowly emerged. Unlike other social movements, the </w:t>
      </w:r>
      <w:r w:rsidRPr="00F933AF">
        <w:rPr>
          <w:rFonts w:cs="Calibri"/>
          <w:u w:val="single"/>
        </w:rPr>
        <w:t>various disability rights movements to date have received relatively little attention from socialists, union activists or academics</w:t>
      </w:r>
      <w:r w:rsidRPr="00F933AF">
        <w:rPr>
          <w:rFonts w:cs="Calibri"/>
          <w:sz w:val="12"/>
        </w:rPr>
        <w:t xml:space="preserve">, even in the USA, which arguably has one of the strongest and oldest disability rights movements.47 </w:t>
      </w:r>
      <w:r w:rsidRPr="00F933AF">
        <w:rPr>
          <w:rFonts w:cs="Calibri"/>
          <w:u w:val="single"/>
        </w:rPr>
        <w:t>Yet an examination of their various trajectories suggests</w:t>
      </w:r>
      <w:r w:rsidRPr="00F933AF">
        <w:rPr>
          <w:rFonts w:cs="Calibri"/>
          <w:sz w:val="12"/>
        </w:rPr>
        <w:t xml:space="preserve"> useful insights </w:t>
      </w:r>
      <w:r w:rsidRPr="00F933AF">
        <w:rPr>
          <w:rFonts w:cs="Calibri"/>
          <w:u w:val="single"/>
        </w:rPr>
        <w:t>that those seeking to challenge capitalism in other struggles can learn from and incorporate in them</w:t>
      </w:r>
      <w:r w:rsidRPr="00F933AF">
        <w:rPr>
          <w:rFonts w:cs="Calibri"/>
          <w:sz w:val="12"/>
        </w:rPr>
        <w:t xml:space="preserve">. To the extent that widespread accommodation to the needs of disabled workers would necessarily transform the workplace and challenge expectations of ever increasing productivity rates, </w:t>
      </w:r>
      <w:r w:rsidRPr="00F933AF">
        <w:rPr>
          <w:rFonts w:cs="Calibri"/>
          <w:u w:val="single"/>
        </w:rPr>
        <w:t>the disability rights movement can be s</w:t>
      </w:r>
      <w:r w:rsidRPr="00F933AF">
        <w:rPr>
          <w:rFonts w:cs="Calibri"/>
          <w:sz w:val="12"/>
        </w:rPr>
        <w:t xml:space="preserve">een as </w:t>
      </w:r>
      <w:r w:rsidRPr="00F933AF">
        <w:rPr>
          <w:rFonts w:cs="Calibri"/>
          <w:u w:val="single"/>
        </w:rPr>
        <w:t>radically democratic and counter-hegemonic in potential and scope. An important analytical distinction must be made between charitable organizations established for disabled people,</w:t>
      </w:r>
      <w:r w:rsidRPr="00F933AF">
        <w:rPr>
          <w:rFonts w:cs="Calibri"/>
          <w:sz w:val="12"/>
        </w:rPr>
        <w:t xml:space="preserve"> sometimes by parents of disabled children, </w:t>
      </w:r>
      <w:r w:rsidRPr="00F933AF">
        <w:rPr>
          <w:rFonts w:cs="Calibri"/>
          <w:u w:val="single"/>
        </w:rPr>
        <w:t>and organizations directly controlled by disabled people. In the former category, the organizations,</w:t>
      </w:r>
      <w:r w:rsidRPr="00F933AF">
        <w:rPr>
          <w:rFonts w:cs="Calibri"/>
          <w:sz w:val="12"/>
        </w:rPr>
        <w:t xml:space="preserve"> usually based on a diagnostic category linked to impairment, </w:t>
      </w:r>
      <w:r w:rsidRPr="00F933AF">
        <w:rPr>
          <w:rFonts w:cs="Calibri"/>
          <w:u w:val="single"/>
        </w:rPr>
        <w:t>do not necessarily reflect the views and experiences of disabled people themselves,</w:t>
      </w:r>
      <w:r w:rsidRPr="00F933AF">
        <w:rPr>
          <w:rFonts w:cs="Calibri"/>
          <w:sz w:val="12"/>
        </w:rPr>
        <w:t xml:space="preserve"> notwithstanding that they may do occasional work that is beneficial. In fact, </w:t>
      </w:r>
      <w:r w:rsidRPr="00F933AF">
        <w:rPr>
          <w:rFonts w:cs="Calibri"/>
          <w:b/>
          <w:u w:val="single"/>
        </w:rPr>
        <w:t>the implicit ideological agenda of these paternalistic organizations is that disabled people are unable to advocate on their own behalf</w:t>
      </w:r>
      <w:r w:rsidRPr="00F933AF">
        <w:rPr>
          <w:rFonts w:cs="Calibri"/>
          <w:sz w:val="12"/>
        </w:rPr>
        <w:t xml:space="preserve">. Moreover, the fact that </w:t>
      </w:r>
      <w:r w:rsidRPr="00F933AF">
        <w:rPr>
          <w:rFonts w:cs="Calibri"/>
          <w:u w:val="single"/>
        </w:rPr>
        <w:t>their mandate rests on</w:t>
      </w:r>
      <w:r w:rsidRPr="00F933AF">
        <w:rPr>
          <w:rFonts w:cs="Calibri"/>
          <w:sz w:val="12"/>
        </w:rPr>
        <w:t xml:space="preserve"> usually arbitrary diagnostic categories places </w:t>
      </w:r>
      <w:r w:rsidRPr="00F933AF">
        <w:rPr>
          <w:rFonts w:cs="Calibri"/>
          <w:u w:val="single"/>
        </w:rPr>
        <w:t xml:space="preserve">unwarranted emphasis on medical issues and not enough on the barriers imposed by the physical environment and the class system. </w:t>
      </w:r>
      <w:r w:rsidRPr="00F933AF">
        <w:rPr>
          <w:rFonts w:cs="Calibri"/>
          <w:b/>
          <w:u w:val="single"/>
        </w:rPr>
        <w:t>The resulting fragmentation — splintering disabled people into literally hundreds of different categories — also works to make cross-disability solidarity that much more difficult</w:t>
      </w:r>
      <w:r w:rsidRPr="00F933AF">
        <w:rPr>
          <w:rFonts w:cs="Calibri"/>
          <w:u w:val="single"/>
        </w:rPr>
        <w:t>.</w:t>
      </w:r>
      <w:r w:rsidRPr="00F933AF">
        <w:rPr>
          <w:rFonts w:cs="Calibri"/>
          <w:sz w:val="12"/>
        </w:rPr>
        <w:t xml:space="preserve"> Just as importantly, these </w:t>
      </w:r>
      <w:r w:rsidRPr="00F933AF">
        <w:rPr>
          <w:rFonts w:cs="Calibri"/>
          <w:u w:val="single"/>
        </w:rPr>
        <w:t>organizations</w:t>
      </w:r>
      <w:r w:rsidRPr="00F933AF">
        <w:rPr>
          <w:rFonts w:cs="Calibri"/>
          <w:sz w:val="12"/>
        </w:rPr>
        <w:t xml:space="preserve">, like NGOs in other sectors, are often directly </w:t>
      </w:r>
      <w:r w:rsidRPr="00F933AF">
        <w:rPr>
          <w:rFonts w:cs="Calibri"/>
          <w:u w:val="single"/>
        </w:rPr>
        <w:t>tied to the state</w:t>
      </w:r>
      <w:r w:rsidRPr="00F933AF">
        <w:rPr>
          <w:rFonts w:cs="Calibri"/>
          <w:sz w:val="12"/>
        </w:rPr>
        <w:t xml:space="preserve"> through funding arrangements. Consequently, they </w:t>
      </w:r>
      <w:r w:rsidRPr="00F933AF">
        <w:rPr>
          <w:rFonts w:cs="Calibri"/>
          <w:b/>
          <w:u w:val="single"/>
        </w:rPr>
        <w:t>are extremely limited in their ability to criticize government policy</w:t>
      </w:r>
      <w:r w:rsidRPr="00F933AF">
        <w:rPr>
          <w:rFonts w:cs="Calibri"/>
          <w:u w:val="single"/>
        </w:rPr>
        <w:t>, even if they were so inclined, for fear of losing funding and access to decision-makers.</w:t>
      </w:r>
      <w:r w:rsidRPr="00F933AF">
        <w:rPr>
          <w:rFonts w:cs="Calibri"/>
          <w:sz w:val="12"/>
        </w:rPr>
        <w:t xml:space="preserve"> In fact, organizations run for disabled people dramatically outnumber those controlled by disabled people, and receive far more generous funding.49 </w:t>
      </w:r>
      <w:proofErr w:type="gramStart"/>
      <w:r w:rsidRPr="00F933AF">
        <w:rPr>
          <w:rFonts w:cs="Calibri"/>
          <w:sz w:val="12"/>
        </w:rPr>
        <w:t>The</w:t>
      </w:r>
      <w:proofErr w:type="gramEnd"/>
      <w:r w:rsidRPr="00F933AF">
        <w:rPr>
          <w:rFonts w:cs="Calibri"/>
          <w:sz w:val="12"/>
        </w:rPr>
        <w:t xml:space="preserve"> severe limitations of their politics should come as no surprise, given the questionable and co-opted record of NGOs in all contexts</w:t>
      </w:r>
      <w:r w:rsidRPr="00F933AF">
        <w:rPr>
          <w:rFonts w:cs="Calibri"/>
          <w:u w:val="single"/>
        </w:rPr>
        <w:t>. In sharp contrast, organizations run by disabled people have at least the potential for more radical politics. In the late 1960s, the</w:t>
      </w:r>
      <w:r w:rsidRPr="00F933AF">
        <w:rPr>
          <w:rFonts w:cs="Calibri"/>
          <w:sz w:val="12"/>
        </w:rPr>
        <w:t xml:space="preserve"> Independent Living (</w:t>
      </w:r>
      <w:r w:rsidRPr="00F933AF">
        <w:rPr>
          <w:rFonts w:cs="Calibri"/>
          <w:u w:val="single"/>
        </w:rPr>
        <w:t>IL) movement emerged</w:t>
      </w:r>
      <w:r w:rsidRPr="00F933AF">
        <w:rPr>
          <w:rFonts w:cs="Calibri"/>
          <w:sz w:val="12"/>
        </w:rPr>
        <w:t xml:space="preserve"> in Berkeley, California, </w:t>
      </w:r>
      <w:r w:rsidRPr="00F933AF">
        <w:rPr>
          <w:rFonts w:cs="Calibri"/>
          <w:u w:val="single"/>
        </w:rPr>
        <w:t>spearheaded by a disabled students’ group known as The Rolling Quads. It sought to promote the empowerment of disabled people and focused attention on the structural barriers imposed by the built environment, not on the impairments of individuals.</w:t>
      </w:r>
      <w:r w:rsidRPr="00F933AF">
        <w:rPr>
          <w:rFonts w:cs="Calibri"/>
          <w:sz w:val="12"/>
        </w:rPr>
        <w:t xml:space="preserve"> The first Independent Living Centre (ILC), based on the social-political model of disablement, was founded in Berkeley and sought to broaden struggles for empowerment to include students and non-students alike. </w:t>
      </w:r>
      <w:r w:rsidRPr="00F933AF">
        <w:rPr>
          <w:rFonts w:cs="Calibri"/>
          <w:u w:val="single"/>
        </w:rPr>
        <w:t>Within a few years, a network of hundreds of ILCs had sprouted across the U</w:t>
      </w:r>
      <w:r w:rsidRPr="00F933AF">
        <w:rPr>
          <w:rFonts w:cs="Calibri"/>
          <w:sz w:val="12"/>
        </w:rPr>
        <w:t xml:space="preserve">nited </w:t>
      </w:r>
      <w:r w:rsidRPr="00F933AF">
        <w:rPr>
          <w:rFonts w:cs="Calibri"/>
          <w:u w:val="single"/>
        </w:rPr>
        <w:t>S</w:t>
      </w:r>
      <w:r w:rsidRPr="00F933AF">
        <w:rPr>
          <w:rFonts w:cs="Calibri"/>
          <w:sz w:val="12"/>
        </w:rPr>
        <w:t xml:space="preserve">tates, </w:t>
      </w:r>
      <w:r w:rsidRPr="00F933AF">
        <w:rPr>
          <w:rFonts w:cs="Calibri"/>
          <w:u w:val="single"/>
        </w:rPr>
        <w:t xml:space="preserve">as well as a number of other countries </w:t>
      </w:r>
      <w:r w:rsidRPr="00F933AF">
        <w:rPr>
          <w:rFonts w:cs="Calibri"/>
          <w:sz w:val="12"/>
        </w:rPr>
        <w:t xml:space="preserve">including Britain, Canada and Brazil.50 </w:t>
      </w:r>
      <w:proofErr w:type="gramStart"/>
      <w:r w:rsidRPr="00F933AF">
        <w:rPr>
          <w:rFonts w:cs="Calibri"/>
          <w:u w:val="single"/>
        </w:rPr>
        <w:t>The</w:t>
      </w:r>
      <w:proofErr w:type="gramEnd"/>
      <w:r w:rsidRPr="00F933AF">
        <w:rPr>
          <w:rFonts w:cs="Calibri"/>
          <w:u w:val="single"/>
        </w:rPr>
        <w:t xml:space="preserve"> emergence of the IL movement was unquestionably a step forward for the disability rights movement. The shared sense of consciousness fostered by collective action is an important first step in the building of any social movement.</w:t>
      </w:r>
      <w:r w:rsidRPr="00F933AF">
        <w:rPr>
          <w:rFonts w:cs="Calibri"/>
          <w:sz w:val="12"/>
        </w:rPr>
        <w:t xml:space="preserve"> By redefining as political issues requiring redress by society at large what had been previously regarded by most people as private troubles (just as the women’s movement had done), the IL movement provided a basis for a vital social movement;51 and the vitality of the women’s movement, the Black civil rights movement, the gay and lesbian movement, the Chicano movement and other new social justice movements created an opening in which the case for eradicating disability oppression could also get a hearing.   Nevertheless, there were and are serious contradictions in the </w:t>
      </w:r>
      <w:r w:rsidRPr="00F933AF">
        <w:rPr>
          <w:rFonts w:cs="Calibri"/>
          <w:u w:val="single"/>
        </w:rPr>
        <w:t>IL philosophy</w:t>
      </w:r>
      <w:r w:rsidRPr="00F933AF">
        <w:rPr>
          <w:rFonts w:cs="Calibri"/>
          <w:sz w:val="12"/>
        </w:rPr>
        <w:t xml:space="preserve">. On the one hand, it seeks to promote autonomy and self-determination for disabled people. On the other, it </w:t>
      </w:r>
      <w:r w:rsidRPr="00F933AF">
        <w:rPr>
          <w:rFonts w:cs="Calibri"/>
          <w:u w:val="single"/>
        </w:rPr>
        <w:t>implicitly accepts the foundations of free market ideology by framing the debate in terms of the right of disabled people as consumers to receive equal treatment from the marketplace.</w:t>
      </w:r>
      <w:r w:rsidRPr="00F933AF">
        <w:rPr>
          <w:rFonts w:cs="Calibri"/>
          <w:sz w:val="12"/>
        </w:rPr>
        <w:t xml:space="preserve"> The ability to access the marketplace is cold comfort to the huge proportion of disabled people living in poverty or near-poverty conditions. In a capitalist society, after all, access to the marketplace is predicated on having the purchasing power to buy the services in question. </w:t>
      </w:r>
      <w:r w:rsidRPr="00F933AF">
        <w:rPr>
          <w:rFonts w:cs="Calibri"/>
          <w:u w:val="single"/>
        </w:rPr>
        <w:t xml:space="preserve">A strategy of disability liberation politics entirely dependent on </w:t>
      </w:r>
      <w:r w:rsidRPr="00F933AF">
        <w:rPr>
          <w:rFonts w:cs="Calibri"/>
          <w:sz w:val="12"/>
        </w:rPr>
        <w:t xml:space="preserve">that </w:t>
      </w:r>
      <w:r w:rsidRPr="00F933AF">
        <w:rPr>
          <w:rFonts w:cs="Calibri"/>
          <w:u w:val="single"/>
        </w:rPr>
        <w:t>purchasing power is so impoverished as to be of assistance to only a tiny fraction of the most privileged disabled people. It also tends to marginalize the concerns of women and minorities</w:t>
      </w:r>
      <w:r w:rsidRPr="00F933AF">
        <w:rPr>
          <w:rFonts w:cs="Calibri"/>
          <w:b/>
          <w:u w:val="single"/>
        </w:rPr>
        <w:t>. By accepting free market principles</w:t>
      </w:r>
      <w:r w:rsidRPr="00F933AF">
        <w:rPr>
          <w:rFonts w:cs="Calibri"/>
          <w:u w:val="single"/>
        </w:rPr>
        <w:t xml:space="preserve"> as a given the IL </w:t>
      </w:r>
      <w:r w:rsidRPr="00F933AF">
        <w:rPr>
          <w:rFonts w:cs="Calibri"/>
          <w:b/>
          <w:u w:val="single"/>
        </w:rPr>
        <w:t>movement undermined its radical potential to truly empower disabled people</w:t>
      </w:r>
      <w:r w:rsidRPr="00F933AF">
        <w:rPr>
          <w:rFonts w:cs="Calibri"/>
          <w:u w:val="single"/>
        </w:rPr>
        <w:t>. In the worst cases, some IL centres, afraid of</w:t>
      </w:r>
      <w:r w:rsidRPr="00F933AF">
        <w:rPr>
          <w:rFonts w:cs="Calibri"/>
          <w:sz w:val="12"/>
        </w:rPr>
        <w:t xml:space="preserve"> rocking the boat and </w:t>
      </w:r>
      <w:r w:rsidRPr="00F933AF">
        <w:rPr>
          <w:rFonts w:cs="Calibri"/>
          <w:u w:val="single"/>
        </w:rPr>
        <w:t>losing state funding, have become little more than venues for peer counselling and organizing picnics</w:t>
      </w:r>
      <w:r w:rsidRPr="00F933AF">
        <w:rPr>
          <w:rFonts w:cs="Calibri"/>
          <w:b/>
          <w:u w:val="single"/>
        </w:rPr>
        <w:t>. Only by questioning the very basis of the rules of the market can there be liberation for disabled people</w:t>
      </w:r>
    </w:p>
    <w:p w:rsidR="00CE6D10" w:rsidRPr="00F933AF" w:rsidRDefault="00CE6D10" w:rsidP="00CE6D10">
      <w:pPr>
        <w:rPr>
          <w:rFonts w:cs="Calibri"/>
          <w:b/>
          <w:u w:val="single"/>
        </w:rPr>
      </w:pPr>
    </w:p>
    <w:p w:rsidR="00CE6D10" w:rsidRPr="00F933AF" w:rsidRDefault="00CE6D10" w:rsidP="00CE6D10">
      <w:pPr>
        <w:rPr>
          <w:rFonts w:cs="Calibri"/>
        </w:rPr>
      </w:pPr>
    </w:p>
    <w:p w:rsidR="00CE6D10" w:rsidRPr="00F933AF" w:rsidRDefault="00D71D53" w:rsidP="00D71D53">
      <w:pPr>
        <w:pStyle w:val="Heading2"/>
      </w:pPr>
      <w:r>
        <w:t>Alt</w:t>
      </w:r>
    </w:p>
    <w:p w:rsidR="00D71D53" w:rsidRPr="00F703ED" w:rsidRDefault="00D71D53" w:rsidP="00D71D53">
      <w:pPr>
        <w:pStyle w:val="Heading3"/>
      </w:pPr>
      <w:r>
        <w:t>Alt – Neolib - Community Organizing</w:t>
      </w:r>
    </w:p>
    <w:p w:rsidR="00D71D53" w:rsidRDefault="00D71D53" w:rsidP="00D71D53">
      <w:pPr>
        <w:pStyle w:val="Heading4"/>
      </w:pPr>
      <w:r>
        <w:t>Political conservatism under the Trumpian administration makes the promotion of disability rights impossible—the only alternative is community organizing to broad movements and extend sociopolitical participation</w:t>
      </w:r>
    </w:p>
    <w:p w:rsidR="00D71D53" w:rsidRPr="00D90061" w:rsidRDefault="00D71D53" w:rsidP="00D71D53">
      <w:r>
        <w:rPr>
          <w:b/>
        </w:rPr>
        <w:t xml:space="preserve">Scotch 88 </w:t>
      </w:r>
      <w:r w:rsidRPr="001A1417">
        <w:rPr>
          <w:sz w:val="18"/>
          <w:szCs w:val="18"/>
        </w:rPr>
        <w:t>(Richard K. Scotch, professor at the University of Texas at Dallas, “Disability as the Basis for a Social Movement: Advocacy and the Politics of Definition,” Section: The Role of the State in Redefining Disability, Journal of Social Issues, Vol. 44, No. 1, 1988, pg. 1</w:t>
      </w:r>
      <w:r>
        <w:rPr>
          <w:sz w:val="18"/>
          <w:szCs w:val="18"/>
        </w:rPr>
        <w:t>70-171</w:t>
      </w:r>
      <w:r w:rsidRPr="001A1417">
        <w:rPr>
          <w:sz w:val="18"/>
          <w:szCs w:val="18"/>
        </w:rPr>
        <w:t>)//jy</w:t>
      </w:r>
    </w:p>
    <w:p w:rsidR="00D71D53" w:rsidRDefault="00D71D53" w:rsidP="00D71D53">
      <w:pPr>
        <w:rPr>
          <w:sz w:val="14"/>
        </w:rPr>
      </w:pPr>
      <w:r w:rsidRPr="00901069">
        <w:rPr>
          <w:sz w:val="14"/>
        </w:rPr>
        <w:t xml:space="preserve">The disability rights movement will have a great deal to say on ethical and policy issues involving abortion, care for disabled newborns, the right to treat- ment, and the right to refuse treatment (e.g., Asch, 1986). It remains unclear to what extent spokesmen for the disabled will be accepted as legitimate contributors in these debates by policy makers, as experts rather than as unfortunate and axe-grinding victims. </w:t>
      </w:r>
      <w:r w:rsidRPr="00381507">
        <w:rPr>
          <w:u w:val="single"/>
        </w:rPr>
        <w:t>Having reconstructed their own definition of self, dis- ability rights activists must continue to influence the definitions of others, through reasoned debate and through political activity</w:t>
      </w:r>
      <w:r w:rsidRPr="00901069">
        <w:rPr>
          <w:sz w:val="14"/>
        </w:rPr>
        <w:t xml:space="preserve">, </w:t>
      </w:r>
      <w:proofErr w:type="gramStart"/>
      <w:r w:rsidRPr="00901069">
        <w:rPr>
          <w:sz w:val="14"/>
        </w:rPr>
        <w:t>The</w:t>
      </w:r>
      <w:proofErr w:type="gramEnd"/>
      <w:r w:rsidRPr="00901069">
        <w:rPr>
          <w:sz w:val="14"/>
        </w:rPr>
        <w:t xml:space="preserve"> ability of movement leaders and grass-roots disabled advocates to be full participants will depend on both their organizing ability and their acumen as issue entrepreneurs. </w:t>
      </w:r>
      <w:r w:rsidRPr="00901069">
        <w:rPr>
          <w:u w:val="single"/>
        </w:rPr>
        <w:t>Equally unclear, due to its current political unpopularity, is the future of further extensions of government-guaranteed rights in the United States</w:t>
      </w:r>
      <w:r w:rsidRPr="00901069">
        <w:rPr>
          <w:sz w:val="14"/>
        </w:rPr>
        <w:t xml:space="preserve">. Dimin- ished funding for programs that promote independence for disabled people, such as attendant care, independent living centers, and facility modification to remove architectural barriers, may inhibit the political participation of many people with disabilities and thus limit their ability to mobilize politically. </w:t>
      </w:r>
      <w:r w:rsidRPr="00901069">
        <w:rPr>
          <w:u w:val="single"/>
        </w:rPr>
        <w:t>Political conser- vatism within government and the general public may mean that the catalytic role of public officials in promoting the growth of the disability rights movement is over</w:t>
      </w:r>
      <w:r w:rsidRPr="00901069">
        <w:rPr>
          <w:sz w:val="14"/>
        </w:rPr>
        <w:t xml:space="preserve">, at least for the present. Also unclear is the long-term impact of the policy gains of the 1970s. The large-scale entry of disabled Americans into schools, jobs, and public life may have taken on a momentum of its own, or it may merely have reached a plateau of tokenism. </w:t>
      </w:r>
      <w:r w:rsidRPr="00901069">
        <w:rPr>
          <w:u w:val="single"/>
        </w:rPr>
        <w:t>Progress should continue, even in the absence of government support</w:t>
      </w:r>
      <w:r w:rsidRPr="00901069">
        <w:rPr>
          <w:sz w:val="14"/>
        </w:rPr>
        <w:t xml:space="preserve">, if disability rights groups can raise the consciousness of the vast majority of dis- abled people who have not been involved politically and who may not share the political definition of disability promoted by the movement. However, </w:t>
      </w:r>
      <w:r w:rsidRPr="00901069">
        <w:rPr>
          <w:u w:val="single"/>
        </w:rPr>
        <w:t>redefini- tion of disability can no longer be expected to flow from court rulings and government policies. Community organizing will be essential-to broaden par- ticipation in the movement, to build acceptance of a positive image of people with disabilities, and to sustain and expand the organizational infrastructure created by the movement in the 1970s.</w:t>
      </w:r>
      <w:r w:rsidRPr="00901069">
        <w:rPr>
          <w:sz w:val="14"/>
        </w:rPr>
        <w:t xml:space="preserve"> </w:t>
      </w:r>
      <w:r w:rsidRPr="00901069">
        <w:rPr>
          <w:u w:val="single"/>
        </w:rPr>
        <w:t>Organization at the community level can create the resources necessary for the movement to be effective and continue the extension of conceptions of disability that promote social and political participa- tion</w:t>
      </w:r>
      <w:r w:rsidRPr="00901069">
        <w:rPr>
          <w:sz w:val="14"/>
        </w:rPr>
        <w:t xml:space="preserve">. Clearly, the emergence of a social movement of disabled people is no guarantee of major institutional changes. </w:t>
      </w:r>
      <w:r w:rsidRPr="00901069">
        <w:rPr>
          <w:u w:val="single"/>
        </w:rPr>
        <w:t>If the movement continues to grow at the local level, however, its power may be expected to accumulate</w:t>
      </w:r>
      <w:r w:rsidRPr="00901069">
        <w:rPr>
          <w:sz w:val="14"/>
        </w:rPr>
        <w:t xml:space="preserve">. The more that people with disabilities become integrated into mainstream social institu- tions, the more their presence may lead to further institutional changes. </w:t>
      </w:r>
      <w:r w:rsidRPr="00901069">
        <w:rPr>
          <w:u w:val="single"/>
        </w:rPr>
        <w:t>And to the extent that more political definitions of disability become widespread, the disability rights movement may be expected to continue to play an active role in American political and social life</w:t>
      </w:r>
      <w:r w:rsidRPr="00901069">
        <w:rPr>
          <w:sz w:val="14"/>
        </w:rPr>
        <w:t>.</w:t>
      </w:r>
    </w:p>
    <w:p w:rsidR="00D71D53" w:rsidRPr="00F933AF" w:rsidRDefault="00D71D53" w:rsidP="00D71D53">
      <w:pPr>
        <w:pStyle w:val="Heading4"/>
        <w:rPr>
          <w:rFonts w:cs="Calibri"/>
        </w:rPr>
      </w:pPr>
      <w:r w:rsidRPr="00F933AF">
        <w:rPr>
          <w:rFonts w:cs="Calibri"/>
        </w:rPr>
        <w:t>The alt’s radical disability perspective challenges productivism, offers counter-values, and fosters grassroots solidarity amongst other groups who are also imprisoned by the market economy—the aff’s failure to depart from capitalist society reifies the mandatory condition of being productive laborers</w:t>
      </w:r>
    </w:p>
    <w:p w:rsidR="00D71D53" w:rsidRPr="00F933AF" w:rsidRDefault="00D71D53" w:rsidP="00D71D53">
      <w:pPr>
        <w:rPr>
          <w:rFonts w:cs="Calibri"/>
        </w:rPr>
      </w:pPr>
      <w:r w:rsidRPr="00F933AF">
        <w:rPr>
          <w:rFonts w:cs="Calibri"/>
          <w:b/>
        </w:rPr>
        <w:t xml:space="preserve">Russell and Malhotra 2 </w:t>
      </w:r>
      <w:r w:rsidRPr="00F933AF">
        <w:rPr>
          <w:rFonts w:cs="Calibri"/>
          <w:sz w:val="18"/>
          <w:szCs w:val="18"/>
        </w:rPr>
        <w:t>(Marta Russell and Ravia Malhotra, “Capitalism and Disability,” Socialist Register, 2002, After Word: Beyond Work, pg. 222-223, https://socialistregister.com/index.php/srv/article/viewFile/5784/2680~~)//jy</w:t>
      </w:r>
    </w:p>
    <w:p w:rsidR="00D71D53" w:rsidRPr="00F933AF" w:rsidRDefault="00D71D53" w:rsidP="00D71D53">
      <w:pPr>
        <w:rPr>
          <w:rFonts w:cs="Calibri"/>
          <w:b/>
          <w:u w:val="single"/>
        </w:rPr>
      </w:pPr>
      <w:r w:rsidRPr="00F933AF">
        <w:rPr>
          <w:rFonts w:cs="Calibri"/>
          <w:sz w:val="14"/>
        </w:rPr>
        <w:t>So how, then, can disability politics help to end capitalist exploitation? While to address this question fully is beyond the scope of this paper we will offer some food for thought. Oliver, for instance, suggests ‘</w:t>
      </w:r>
      <w:r w:rsidRPr="00F933AF">
        <w:rPr>
          <w:rFonts w:cs="Calibri"/>
          <w:u w:val="single"/>
        </w:rPr>
        <w:t>if the game is possessive individualism in a competitive and inegalitarian society, impaired people will inevitably be disadvantaged, no matter how the rules are changed</w:t>
      </w:r>
      <w:r w:rsidRPr="00F933AF">
        <w:rPr>
          <w:rFonts w:cs="Calibri"/>
          <w:sz w:val="14"/>
        </w:rPr>
        <w:t xml:space="preserve">’.75 Finkelstein recognizes that a </w:t>
      </w:r>
      <w:r w:rsidRPr="00F933AF">
        <w:rPr>
          <w:rFonts w:cs="Calibri"/>
          <w:u w:val="single"/>
        </w:rPr>
        <w:t>society may be willing to absorb a portion of its impaired population into the workforce, yet this can have the effect of maintaining and perhaps intensifying the exclusion of the remainder</w:t>
      </w:r>
      <w:r w:rsidRPr="00F933AF">
        <w:rPr>
          <w:rFonts w:cs="Calibri"/>
          <w:sz w:val="14"/>
        </w:rPr>
        <w:t xml:space="preserve">.76 Indeed, former US President Clinton suggested that bringing disabled persons into the workforce could be a tool to fight inflation in a tight labour market.77 Abberley suggests that </w:t>
      </w:r>
      <w:r w:rsidRPr="00F933AF">
        <w:rPr>
          <w:rFonts w:cs="Calibri"/>
          <w:u w:val="single"/>
        </w:rPr>
        <w:t>we [must] abandon the notion that production be at the centre of any new conceptualization of Utopia</w:t>
      </w:r>
      <w:r w:rsidRPr="00F933AF">
        <w:rPr>
          <w:rFonts w:cs="Calibri"/>
          <w:sz w:val="14"/>
        </w:rPr>
        <w:t>: ‘</w:t>
      </w:r>
      <w:r w:rsidRPr="00F933AF">
        <w:rPr>
          <w:rFonts w:cs="Calibri"/>
          <w:u w:val="single"/>
        </w:rPr>
        <w:t>even in a society which did make profound and genuine attempts to integrate impaired people into the world of work, some would still be excluded by their impairment’</w:t>
      </w:r>
      <w:r w:rsidRPr="00F933AF">
        <w:rPr>
          <w:rFonts w:cs="Calibri"/>
          <w:sz w:val="14"/>
        </w:rPr>
        <w:t xml:space="preserve">.78 </w:t>
      </w:r>
      <w:r w:rsidRPr="00F933AF">
        <w:rPr>
          <w:rFonts w:cs="Calibri"/>
          <w:u w:val="single"/>
        </w:rPr>
        <w:t>But need the ability to labour</w:t>
      </w:r>
      <w:r w:rsidRPr="00F933AF">
        <w:rPr>
          <w:rFonts w:cs="Calibri"/>
          <w:sz w:val="14"/>
        </w:rPr>
        <w:t xml:space="preserve"> in some socially recognized sense </w:t>
      </w:r>
      <w:r w:rsidRPr="00F933AF">
        <w:rPr>
          <w:rFonts w:cs="Calibri"/>
          <w:u w:val="single"/>
        </w:rPr>
        <w:t>be a requirement for full membership in society</w:t>
      </w:r>
      <w:r w:rsidRPr="00F933AF">
        <w:rPr>
          <w:rFonts w:cs="Calibri"/>
          <w:sz w:val="14"/>
        </w:rPr>
        <w:t xml:space="preserve">? </w:t>
      </w:r>
      <w:r w:rsidRPr="00F933AF">
        <w:rPr>
          <w:rFonts w:cs="Calibri"/>
          <w:u w:val="single"/>
        </w:rPr>
        <w:t xml:space="preserve">In a work-based society, productivism is the ‘normal’ activity. </w:t>
      </w:r>
      <w:r w:rsidRPr="00F933AF">
        <w:rPr>
          <w:rFonts w:cs="Calibri"/>
          <w:b/>
          <w:u w:val="single"/>
        </w:rPr>
        <w:t>A radical disability perspective could offer great liberatory potential by proposing to abolish this notion and to offer counter-values to those of productivism</w:t>
      </w:r>
      <w:r w:rsidRPr="00F933AF">
        <w:rPr>
          <w:rFonts w:cs="Calibri"/>
          <w:sz w:val="14"/>
        </w:rPr>
        <w:t xml:space="preserve">. Is work the defining quality of our worth? </w:t>
      </w:r>
      <w:r w:rsidRPr="00F933AF">
        <w:rPr>
          <w:rFonts w:cs="Calibri"/>
          <w:u w:val="single"/>
        </w:rPr>
        <w:t>Employability, aptitude for earning money and even work chosen during one’s free time are not, a priori,</w:t>
      </w:r>
      <w:r w:rsidRPr="00F933AF">
        <w:rPr>
          <w:rFonts w:cs="Calibri"/>
          <w:sz w:val="14"/>
        </w:rPr>
        <w:t xml:space="preserve"> the measure of what it means to live, to be part of the human race. Moreover, </w:t>
      </w:r>
      <w:r w:rsidRPr="00F933AF">
        <w:rPr>
          <w:rFonts w:cs="Calibri"/>
          <w:b/>
          <w:u w:val="single"/>
        </w:rPr>
        <w:t>a counter-hegemonic praxis of disability politics, challenging productivism, opens the door to alliances with many other groups who are also marginalized by the imprisoning dictates of a market economy</w:t>
      </w:r>
      <w:r w:rsidRPr="00F933AF">
        <w:rPr>
          <w:rFonts w:cs="Calibri"/>
          <w:sz w:val="14"/>
        </w:rPr>
        <w:t xml:space="preserve">. These include single mothers, welfare recipients, </w:t>
      </w:r>
      <w:proofErr w:type="gramStart"/>
      <w:r w:rsidRPr="00F933AF">
        <w:rPr>
          <w:rFonts w:cs="Calibri"/>
          <w:sz w:val="14"/>
        </w:rPr>
        <w:t>part</w:t>
      </w:r>
      <w:proofErr w:type="gramEnd"/>
      <w:r w:rsidRPr="00F933AF">
        <w:rPr>
          <w:rFonts w:cs="Calibri"/>
          <w:sz w:val="14"/>
        </w:rPr>
        <w:t xml:space="preserve">-time workers, parts of the incarcerated population, and all those unable for various reasons to earn a living wage. Indeed, </w:t>
      </w:r>
      <w:r w:rsidRPr="00F933AF">
        <w:rPr>
          <w:rFonts w:cs="Calibri"/>
          <w:b/>
          <w:u w:val="single"/>
        </w:rPr>
        <w:t xml:space="preserve">the fostering of grassroots solidarity amongst those oppressed by productionism can only serve to enrich the disability rights movements themselves and enhance the chances of achieving reformist goals of physical and structural access while pursuing a longer term agenda of economic transformation. </w:t>
      </w:r>
      <w:r w:rsidRPr="00F933AF">
        <w:rPr>
          <w:rFonts w:cs="Calibri"/>
          <w:sz w:val="14"/>
        </w:rPr>
        <w:t>After all, what is the alternative? Eugenics, sterilization, euthanasia and the institutionalization of the impaired and others have all been productivist societies’ answers to what to do with the ‘unproductive’</w:t>
      </w:r>
      <w:r w:rsidRPr="00F933AF">
        <w:rPr>
          <w:rFonts w:cs="Calibri"/>
          <w:u w:val="single"/>
        </w:rPr>
        <w:t xml:space="preserve">. If the goal of social justice is to ensure the dignity of each and every person, then </w:t>
      </w:r>
      <w:r w:rsidRPr="00F933AF">
        <w:rPr>
          <w:rFonts w:cs="Calibri"/>
          <w:b/>
          <w:u w:val="single"/>
        </w:rPr>
        <w:t>buying into the largely capitalist-induced belief that work equates with self esteem or is a condition for membership of the human race</w:t>
      </w:r>
      <w:r w:rsidRPr="00F933AF">
        <w:rPr>
          <w:rFonts w:cs="Calibri"/>
          <w:u w:val="single"/>
        </w:rPr>
        <w:t xml:space="preserve"> — that people are labourers first and human beings second — only serves to </w:t>
      </w:r>
      <w:r w:rsidRPr="00F933AF">
        <w:rPr>
          <w:rFonts w:cs="Calibri"/>
          <w:b/>
          <w:u w:val="single"/>
        </w:rPr>
        <w:t>oppress us all.</w:t>
      </w:r>
    </w:p>
    <w:p w:rsidR="00D71D53" w:rsidRPr="00F933AF" w:rsidRDefault="00D71D53" w:rsidP="00D71D53">
      <w:pPr>
        <w:pStyle w:val="Heading4"/>
        <w:tabs>
          <w:tab w:val="left" w:pos="2620"/>
        </w:tabs>
        <w:rPr>
          <w:rFonts w:cs="Calibri"/>
        </w:rPr>
      </w:pPr>
      <w:r w:rsidRPr="00F933AF">
        <w:rPr>
          <w:rFonts w:cs="Calibri"/>
        </w:rPr>
        <w:t>Reject the affirmative’s calls for top-down immigration reform in favor of militant “in-your-face tactics” that place power back in the hands of people with disabilities—only a grassroots approach that forefronts community building and acknowledges class politics as the root of oppression can effectively produce social change</w:t>
      </w:r>
    </w:p>
    <w:p w:rsidR="00D71D53" w:rsidRPr="00F933AF" w:rsidRDefault="00D71D53" w:rsidP="00D71D53">
      <w:pPr>
        <w:rPr>
          <w:rFonts w:cs="Calibri"/>
        </w:rPr>
      </w:pPr>
      <w:r w:rsidRPr="00F933AF">
        <w:rPr>
          <w:rFonts w:cs="Calibri"/>
          <w:b/>
        </w:rPr>
        <w:t xml:space="preserve">Russell and Malhotra 2 </w:t>
      </w:r>
      <w:r w:rsidRPr="00F933AF">
        <w:rPr>
          <w:rFonts w:cs="Calibri"/>
          <w:sz w:val="18"/>
          <w:szCs w:val="18"/>
        </w:rPr>
        <w:t xml:space="preserve">(Marta Russell and Ravia Malhotra, “Capitalism and Disability,” Socialist Register, 2002, Disability Rights Movements: Prospects </w:t>
      </w:r>
      <w:proofErr w:type="gramStart"/>
      <w:r w:rsidRPr="00F933AF">
        <w:rPr>
          <w:rFonts w:cs="Calibri"/>
          <w:sz w:val="18"/>
          <w:szCs w:val="18"/>
        </w:rPr>
        <w:t>And</w:t>
      </w:r>
      <w:proofErr w:type="gramEnd"/>
      <w:r w:rsidRPr="00F933AF">
        <w:rPr>
          <w:rFonts w:cs="Calibri"/>
          <w:sz w:val="18"/>
          <w:szCs w:val="18"/>
        </w:rPr>
        <w:t xml:space="preserve"> Limitations, pg. 218-220, https://socialistregister.com/index.php/srv/article/viewFile/5784/2680~~)//jy</w:t>
      </w:r>
    </w:p>
    <w:p w:rsidR="00D71D53" w:rsidRPr="00F933AF" w:rsidRDefault="00D71D53" w:rsidP="00D71D53">
      <w:pPr>
        <w:rPr>
          <w:rFonts w:cs="Calibri"/>
          <w:b/>
          <w:u w:val="single"/>
        </w:rPr>
      </w:pPr>
      <w:r w:rsidRPr="00F933AF">
        <w:rPr>
          <w:rFonts w:cs="Calibri"/>
          <w:sz w:val="12"/>
        </w:rPr>
        <w:t xml:space="preserve">. Yet </w:t>
      </w:r>
      <w:r w:rsidRPr="00F933AF">
        <w:rPr>
          <w:rFonts w:cs="Calibri"/>
          <w:b/>
          <w:u w:val="single"/>
        </w:rPr>
        <w:t>there have</w:t>
      </w:r>
      <w:r w:rsidRPr="00F933AF">
        <w:rPr>
          <w:rFonts w:cs="Calibri"/>
          <w:sz w:val="12"/>
        </w:rPr>
        <w:t xml:space="preserve"> always </w:t>
      </w:r>
      <w:r w:rsidRPr="00F933AF">
        <w:rPr>
          <w:rFonts w:cs="Calibri"/>
          <w:b/>
          <w:u w:val="single"/>
        </w:rPr>
        <w:t>been some strands of the disability rights movement that have resisted the dangers of state co-optation and engaged in militant, in-yourface tactics that demonstrate the possibility for resistance and broader social change</w:t>
      </w:r>
      <w:r w:rsidRPr="00F933AF">
        <w:rPr>
          <w:rFonts w:cs="Calibri"/>
          <w:sz w:val="12"/>
        </w:rPr>
        <w:t xml:space="preserve">. For example, decades before the emergence of the IL movement, </w:t>
      </w:r>
      <w:r w:rsidRPr="00F933AF">
        <w:rPr>
          <w:rFonts w:cs="Calibri"/>
          <w:u w:val="single"/>
        </w:rPr>
        <w:t>the League for the Physically Handicapped</w:t>
      </w:r>
      <w:r w:rsidRPr="00F933AF">
        <w:rPr>
          <w:rFonts w:cs="Calibri"/>
          <w:sz w:val="12"/>
        </w:rPr>
        <w:t xml:space="preserve">, a group of some three hundred disabled pensioners in New York, </w:t>
      </w:r>
      <w:r w:rsidRPr="00F933AF">
        <w:rPr>
          <w:rFonts w:cs="Calibri"/>
          <w:u w:val="single"/>
        </w:rPr>
        <w:t>engaged in civil disobedience during the Great Depression to protest their discriminatory rejection from the employment offered by the W</w:t>
      </w:r>
      <w:r w:rsidRPr="00F933AF">
        <w:rPr>
          <w:rFonts w:cs="Calibri"/>
          <w:sz w:val="12"/>
        </w:rPr>
        <w:t xml:space="preserve">orks </w:t>
      </w:r>
      <w:r w:rsidRPr="00F933AF">
        <w:rPr>
          <w:rFonts w:cs="Calibri"/>
          <w:u w:val="single"/>
        </w:rPr>
        <w:t>P</w:t>
      </w:r>
      <w:r w:rsidRPr="00F933AF">
        <w:rPr>
          <w:rFonts w:cs="Calibri"/>
          <w:sz w:val="12"/>
        </w:rPr>
        <w:t xml:space="preserve">rogress </w:t>
      </w:r>
      <w:r w:rsidRPr="00F933AF">
        <w:rPr>
          <w:rFonts w:cs="Calibri"/>
          <w:u w:val="single"/>
        </w:rPr>
        <w:t>A</w:t>
      </w:r>
      <w:r w:rsidRPr="00F933AF">
        <w:rPr>
          <w:rFonts w:cs="Calibri"/>
          <w:sz w:val="12"/>
        </w:rPr>
        <w:t xml:space="preserve">dministration.52 Much later, in 1970, an organization called Disabled in Action (DIA) was founded and adopted the tactic of direct political protest. </w:t>
      </w:r>
      <w:r w:rsidRPr="00F933AF">
        <w:rPr>
          <w:rFonts w:cs="Calibri"/>
          <w:u w:val="single"/>
        </w:rPr>
        <w:t>During the 1972 Presidential Election DIA militants joined with disabled and often highly politicized Vietnam veterans, clearly an influential base of support, to demand an on-camera debate with President Nixon. They also organized a demonstration at the Lincoln Memorial after President Nixon vetoed a spending bill to fund disability programs</w:t>
      </w:r>
      <w:r w:rsidRPr="00F933AF">
        <w:rPr>
          <w:rFonts w:cs="Calibri"/>
          <w:sz w:val="12"/>
        </w:rPr>
        <w:t xml:space="preserve">.53 Perhaps </w:t>
      </w:r>
      <w:r w:rsidRPr="00F933AF">
        <w:rPr>
          <w:rFonts w:cs="Calibri"/>
          <w:u w:val="single"/>
        </w:rPr>
        <w:t>the most memorable moment in recent disability rights history in the USA came during the struggle in 1977 to have the regulations pursuant to section 504 of the Rehabilitation Act of 1973 issued</w:t>
      </w:r>
      <w:r w:rsidRPr="00F933AF">
        <w:rPr>
          <w:rFonts w:cs="Calibri"/>
          <w:sz w:val="12"/>
        </w:rPr>
        <w:t xml:space="preserve">. The regulations were to outline how it was illegal for federal agencies, contractors, or public universities to discriminate on the basis of disability. They had been delayed by previous Administrations but there was an expectation that the new Carter Administration would fulfill its promise to issue the regulations. </w:t>
      </w:r>
      <w:r w:rsidRPr="00F933AF">
        <w:rPr>
          <w:rFonts w:cs="Calibri"/>
          <w:u w:val="single"/>
        </w:rPr>
        <w:t>When it became obvious that policy-makers were stalling and wanted to substantially modify the regulations,</w:t>
      </w:r>
      <w:r w:rsidRPr="00F933AF">
        <w:rPr>
          <w:rFonts w:cs="Calibri"/>
          <w:sz w:val="12"/>
        </w:rPr>
        <w:t xml:space="preserve"> so as to permit continued segregation in education and other areas of public life, </w:t>
      </w:r>
      <w:r w:rsidRPr="00F933AF">
        <w:rPr>
          <w:rFonts w:cs="Calibri"/>
          <w:u w:val="single"/>
        </w:rPr>
        <w:t>disability rights activists mobilized in a number of cities across the USA</w:t>
      </w:r>
      <w:r w:rsidRPr="00F933AF">
        <w:rPr>
          <w:rFonts w:cs="Calibri"/>
          <w:sz w:val="12"/>
        </w:rPr>
        <w:t xml:space="preserve">. While most demonstrations ended fairly quickly, in Berkeley the movement took on a truly extraordinary trajectory. </w:t>
      </w:r>
      <w:r w:rsidRPr="00F933AF">
        <w:rPr>
          <w:rFonts w:cs="Calibri"/>
          <w:u w:val="single"/>
        </w:rPr>
        <w:t>There, disability rights activists occupied the Department of Health, Education and Welfare</w:t>
      </w:r>
      <w:r w:rsidRPr="00F933AF">
        <w:rPr>
          <w:rFonts w:cs="Calibri"/>
          <w:sz w:val="12"/>
        </w:rPr>
        <w:t xml:space="preserve"> (HEW) </w:t>
      </w:r>
      <w:r w:rsidRPr="00F933AF">
        <w:rPr>
          <w:rFonts w:cs="Calibri"/>
          <w:u w:val="single"/>
        </w:rPr>
        <w:t>federal building for some twenty-five days, culminating in total victory: the issuing of the regulations without any amendments. In the process</w:t>
      </w:r>
      <w:r w:rsidRPr="00F933AF">
        <w:rPr>
          <w:rFonts w:cs="Calibri"/>
          <w:sz w:val="12"/>
        </w:rPr>
        <w:t xml:space="preserve">, the </w:t>
      </w:r>
      <w:r w:rsidRPr="00F933AF">
        <w:rPr>
          <w:rFonts w:cs="Calibri"/>
          <w:u w:val="single"/>
        </w:rPr>
        <w:t>participants</w:t>
      </w:r>
      <w:r w:rsidRPr="00F933AF">
        <w:rPr>
          <w:rFonts w:cs="Calibri"/>
          <w:sz w:val="12"/>
        </w:rPr>
        <w:t xml:space="preserve"> in the occupation found themselves transformed by the experience. They </w:t>
      </w:r>
      <w:r w:rsidRPr="00F933AF">
        <w:rPr>
          <w:rFonts w:cs="Calibri"/>
          <w:u w:val="single"/>
        </w:rPr>
        <w:t xml:space="preserve">discovered their ability to </w:t>
      </w:r>
      <w:r w:rsidRPr="00F933AF">
        <w:rPr>
          <w:rFonts w:cs="Calibri"/>
          <w:b/>
          <w:u w:val="single"/>
        </w:rPr>
        <w:t>change the world through political action</w:t>
      </w:r>
      <w:r w:rsidRPr="00F933AF">
        <w:rPr>
          <w:rFonts w:cs="Calibri"/>
          <w:sz w:val="12"/>
        </w:rPr>
        <w:t xml:space="preserve">. Whereas divisions along arbitrary diagnostic categories based on a flawed medical-model approach to disablement have often created serious tensions in building social movements, </w:t>
      </w:r>
      <w:r w:rsidRPr="00F933AF">
        <w:rPr>
          <w:rFonts w:cs="Calibri"/>
          <w:u w:val="single"/>
        </w:rPr>
        <w:t xml:space="preserve">in this </w:t>
      </w:r>
      <w:r w:rsidRPr="00F933AF">
        <w:rPr>
          <w:rFonts w:cs="Calibri"/>
          <w:b/>
          <w:u w:val="single"/>
        </w:rPr>
        <w:t>instance people with different impairments were able to unite around a common strategy and build solidarity in what was clearly a key turning-point</w:t>
      </w:r>
      <w:r w:rsidRPr="00F933AF">
        <w:rPr>
          <w:rFonts w:cs="Calibri"/>
          <w:sz w:val="12"/>
        </w:rPr>
        <w:t xml:space="preserve">. Links were also forged with other social movements. For instance, unions and civil rights organizations donated food for the demonstrators and it was prepared by the local branch of the militant Black Panthers Party. It is clear, however, that the HEW protests built on the legacy left by the pioneering work of the IL movement, notwithstanding its structural and ideological limitations. In both the USA and Britain a small cadre of militant disability rights activists have continued a tradition of struggle from below. </w:t>
      </w:r>
      <w:r w:rsidRPr="00F933AF">
        <w:rPr>
          <w:rFonts w:cs="Calibri"/>
          <w:u w:val="single"/>
        </w:rPr>
        <w:t xml:space="preserve">In 1983 </w:t>
      </w:r>
      <w:r w:rsidRPr="00F933AF">
        <w:rPr>
          <w:rFonts w:cs="Calibri"/>
          <w:sz w:val="12"/>
        </w:rPr>
        <w:t>a new organization, the American Disabled for Accessible Public Transit (</w:t>
      </w:r>
      <w:r w:rsidRPr="00F933AF">
        <w:rPr>
          <w:rFonts w:cs="Calibri"/>
          <w:u w:val="single"/>
        </w:rPr>
        <w:t>ADAPT</w:t>
      </w:r>
      <w:r w:rsidRPr="00F933AF">
        <w:rPr>
          <w:rFonts w:cs="Calibri"/>
          <w:sz w:val="12"/>
        </w:rPr>
        <w:t xml:space="preserve">), was established by disability rights activists in several important cities in the USA to highlight the inaccessibility of public transport for people with mobility impairments. It </w:t>
      </w:r>
      <w:r w:rsidRPr="00F933AF">
        <w:rPr>
          <w:rFonts w:cs="Calibri"/>
          <w:u w:val="single"/>
        </w:rPr>
        <w:t>quickly became known for its confrontational and often successful tactics</w:t>
      </w:r>
      <w:r w:rsidRPr="00F933AF">
        <w:rPr>
          <w:rFonts w:cs="Calibri"/>
          <w:sz w:val="12"/>
        </w:rPr>
        <w:t xml:space="preserve">. For instance, </w:t>
      </w:r>
      <w:r w:rsidRPr="00F933AF">
        <w:rPr>
          <w:rFonts w:cs="Calibri"/>
          <w:u w:val="single"/>
        </w:rPr>
        <w:t>it repeatedly disrupted the conventions of the American P</w:t>
      </w:r>
      <w:r w:rsidRPr="00F933AF">
        <w:rPr>
          <w:rFonts w:cs="Calibri"/>
          <w:sz w:val="12"/>
        </w:rPr>
        <w:t xml:space="preserve">ublic </w:t>
      </w:r>
      <w:r w:rsidRPr="00F933AF">
        <w:rPr>
          <w:rFonts w:cs="Calibri"/>
          <w:u w:val="single"/>
        </w:rPr>
        <w:t>T</w:t>
      </w:r>
      <w:r w:rsidRPr="00F933AF">
        <w:rPr>
          <w:rFonts w:cs="Calibri"/>
          <w:sz w:val="12"/>
        </w:rPr>
        <w:t xml:space="preserve">ransit </w:t>
      </w:r>
      <w:r w:rsidRPr="00F933AF">
        <w:rPr>
          <w:rFonts w:cs="Calibri"/>
          <w:u w:val="single"/>
        </w:rPr>
        <w:t>A</w:t>
      </w:r>
      <w:r w:rsidRPr="00F933AF">
        <w:rPr>
          <w:rFonts w:cs="Calibri"/>
          <w:sz w:val="12"/>
        </w:rPr>
        <w:t xml:space="preserve">ssociation, </w:t>
      </w:r>
      <w:r w:rsidRPr="00F933AF">
        <w:rPr>
          <w:rFonts w:cs="Calibri"/>
          <w:u w:val="single"/>
        </w:rPr>
        <w:t>leading to mass arrests, in protest against their unwillingness to implement modifications to make public transport more accessible. They also demonstrated a dramatic flair when they engaged in symbolic forms of protest, like crawling up the numerous stairs at the entrances of public buildings to highlight their inaccessibility</w:t>
      </w:r>
      <w:r w:rsidRPr="00F933AF">
        <w:rPr>
          <w:rFonts w:cs="Calibri"/>
          <w:sz w:val="12"/>
        </w:rPr>
        <w:t xml:space="preserve">.55 It is hardly surprising that more moderate disability organizations have largely shunned or even attacked ADAPT; a coalition of IL centres in Michigan went so far as to condemn its actions in a letter to the state’s governor.56 More recently ADAPT has switched its priorities to securing better funding for a national attendant services program that would permit disabled people to live in the community as opposed to being institutionalized. </w:t>
      </w:r>
      <w:r w:rsidRPr="00F933AF">
        <w:rPr>
          <w:rFonts w:cs="Calibri"/>
          <w:u w:val="single"/>
        </w:rPr>
        <w:t>Yet, ultimately, even the most grassroots disability organizations</w:t>
      </w:r>
      <w:r w:rsidRPr="00F933AF">
        <w:rPr>
          <w:rFonts w:cs="Calibri"/>
          <w:sz w:val="12"/>
        </w:rPr>
        <w:t xml:space="preserve"> in both the USA and Britain appear </w:t>
      </w:r>
      <w:r w:rsidRPr="00F933AF">
        <w:rPr>
          <w:rFonts w:cs="Calibri"/>
          <w:u w:val="single"/>
        </w:rPr>
        <w:t>theoretically ambiguous in their ideological formulations. They have yet to adopt an anti-capitalist agenda that sees disablement as a product of the class system</w:t>
      </w:r>
      <w:r w:rsidRPr="00F933AF">
        <w:rPr>
          <w:rFonts w:cs="Calibri"/>
          <w:sz w:val="12"/>
        </w:rPr>
        <w:t xml:space="preserve">. Moreover, in both the USA and Britain the passage of disability rights legislation, which is individualistic at base, removes an element of coherence from the political praxis of even the most militant disability rights organizations. </w:t>
      </w:r>
      <w:r w:rsidRPr="00F933AF">
        <w:rPr>
          <w:rFonts w:cs="Calibri"/>
          <w:u w:val="single"/>
        </w:rPr>
        <w:t>A failure to see their common links with other marginalized members of society</w:t>
      </w:r>
      <w:r w:rsidRPr="00F933AF">
        <w:rPr>
          <w:rFonts w:cs="Calibri"/>
          <w:sz w:val="12"/>
        </w:rPr>
        <w:t xml:space="preserve">, including the reserve army of the unemployed, welfare recipients, the increasingly large segment of society working in part-time jobs or in jobs that do not pay a living wage, and others, </w:t>
      </w:r>
      <w:r w:rsidRPr="00F933AF">
        <w:rPr>
          <w:rFonts w:cs="Calibri"/>
          <w:u w:val="single"/>
        </w:rPr>
        <w:t>may result in the squandering of the promise of the various disability rights movements on the shoals of identity politics — or, worse</w:t>
      </w:r>
      <w:r w:rsidRPr="00F933AF">
        <w:rPr>
          <w:rFonts w:cs="Calibri"/>
          <w:b/>
          <w:u w:val="single"/>
        </w:rPr>
        <w:t>, on postmodern discourse whose theorists refuse to name capitalism as a cause for their oppression.</w:t>
      </w:r>
      <w:r w:rsidRPr="00F933AF">
        <w:rPr>
          <w:rFonts w:cs="Calibri"/>
          <w:u w:val="single"/>
        </w:rPr>
        <w:t xml:space="preserve"> </w:t>
      </w:r>
      <w:r w:rsidRPr="00F933AF">
        <w:rPr>
          <w:rFonts w:cs="Calibri"/>
          <w:b/>
          <w:u w:val="single"/>
        </w:rPr>
        <w:t>A turn to class politics and historical materialism, fully cognizant of its risks and limitations, is what the disability rights movements need most.</w:t>
      </w:r>
    </w:p>
    <w:p w:rsidR="00D71D53" w:rsidRPr="00901069" w:rsidRDefault="00D71D53" w:rsidP="00D71D53">
      <w:pPr>
        <w:rPr>
          <w:sz w:val="14"/>
        </w:rPr>
      </w:pPr>
    </w:p>
    <w:p w:rsidR="00D71D53" w:rsidRPr="00F703ED" w:rsidRDefault="00D71D53" w:rsidP="00D71D53">
      <w:pPr>
        <w:pStyle w:val="Heading3"/>
      </w:pPr>
      <w:r>
        <w:t>Alt – Neolib - Reject</w:t>
      </w:r>
    </w:p>
    <w:p w:rsidR="00D71D53" w:rsidRPr="00F933AF" w:rsidRDefault="00D71D53" w:rsidP="00D71D53">
      <w:pPr>
        <w:pStyle w:val="Heading4"/>
        <w:rPr>
          <w:rFonts w:cs="Calibri"/>
        </w:rPr>
      </w:pPr>
      <w:r w:rsidRPr="00F933AF">
        <w:rPr>
          <w:rFonts w:cs="Calibri"/>
        </w:rPr>
        <w:t>The alternative is to reject the aff’s symptom-focus reform for a disability-informed framework which exposes normative desires and the arbitrary violence committed by the state—only a rejection of neoliberal biocapitalism can disrupt the cycle of sameness and Otherization</w:t>
      </w:r>
    </w:p>
    <w:p w:rsidR="00D71D53" w:rsidRPr="00F933AF" w:rsidRDefault="00D71D53" w:rsidP="00D71D53">
      <w:pPr>
        <w:rPr>
          <w:rFonts w:cs="Calibri"/>
        </w:rPr>
      </w:pPr>
      <w:r w:rsidRPr="00F933AF">
        <w:rPr>
          <w:rFonts w:cs="Calibri"/>
          <w:b/>
        </w:rPr>
        <w:t xml:space="preserve">Sanchez 17 </w:t>
      </w:r>
      <w:r w:rsidRPr="00F933AF">
        <w:rPr>
          <w:rFonts w:cs="Calibri"/>
          <w:sz w:val="18"/>
          <w:szCs w:val="18"/>
        </w:rPr>
        <w:t>(Meg Sanchez, an undergrad in Equity Studies and Sociology at the University of Toronto, “Communicating through Cripistemologies: The Implications of Non-Normative Communication upon Disabled Futurities,” Vol.3, pg. 92-94, 2017, https://jps.library.utoronto.ca/index.php/knots/article/view/29195/21760)//jy</w:t>
      </w:r>
    </w:p>
    <w:p w:rsidR="00D71D53" w:rsidRPr="00F933AF" w:rsidRDefault="00D71D53" w:rsidP="00D71D53">
      <w:pPr>
        <w:rPr>
          <w:rFonts w:cs="Calibri"/>
          <w:sz w:val="14"/>
        </w:rPr>
      </w:pPr>
      <w:r w:rsidRPr="00F933AF">
        <w:rPr>
          <w:rFonts w:cs="Calibri"/>
          <w:u w:val="single"/>
        </w:rPr>
        <w:t>Non-normative communicators bring to light that human potentiality is richer and more varied than normativity assumes</w:t>
      </w:r>
      <w:r w:rsidRPr="00F933AF">
        <w:rPr>
          <w:rFonts w:cs="Calibri"/>
          <w:sz w:val="14"/>
        </w:rPr>
        <w:t xml:space="preserve">. We are inherently constituted by, with, and through one another. In line with the oppressively other-centric approach of developmental psychology, Edelman as quoted in Mitchell, Snyder, and Ware (2014) states that </w:t>
      </w:r>
      <w:r w:rsidRPr="00F933AF">
        <w:rPr>
          <w:rFonts w:cs="Calibri"/>
          <w:u w:val="single"/>
        </w:rPr>
        <w:t>neoliberal normativity propagates the standard of “sameness by endlessly turning the Other into the image of itself</w:t>
      </w:r>
      <w:r w:rsidRPr="00F933AF">
        <w:rPr>
          <w:rFonts w:cs="Calibri"/>
          <w:sz w:val="14"/>
        </w:rPr>
        <w:t xml:space="preserve">” (p. 298). </w:t>
      </w:r>
      <w:r w:rsidRPr="00F933AF">
        <w:rPr>
          <w:rFonts w:cs="Calibri"/>
          <w:u w:val="single"/>
        </w:rPr>
        <w:t>Meanwhile, non-normative communication recognizes the larger-scale implications of interactions and the utter indeterminacy of meaning</w:t>
      </w:r>
      <w:r w:rsidRPr="00F933AF">
        <w:rPr>
          <w:rFonts w:cs="Calibri"/>
          <w:sz w:val="14"/>
        </w:rPr>
        <w:t xml:space="preserve">. “By forcing listeners to stretch their ears and linger upon unfamiliar sounds, in denying them ostensibly clear, distinct, and terminal signs, the disabled speaker alerts us both to the ubiquitous process of mutually carving out meaning from within noise and to the indeterminate becoming through communication” (St. Pierre, 2015, p. 345). </w:t>
      </w:r>
      <w:r w:rsidRPr="00F933AF">
        <w:rPr>
          <w:rFonts w:cs="Calibri"/>
          <w:u w:val="single"/>
        </w:rPr>
        <w:t>Once we look past the apparent linearity of meanings, we can see through the facades</w:t>
      </w:r>
      <w:r w:rsidRPr="00F933AF">
        <w:rPr>
          <w:rFonts w:cs="Calibri"/>
          <w:sz w:val="14"/>
        </w:rPr>
        <w:t xml:space="preserve"> that, in revisiting ideas and rewriting them at any time, knowledges become richer, varied, more profound, and ever contestable</w:t>
      </w:r>
      <w:r w:rsidRPr="00F933AF">
        <w:rPr>
          <w:rFonts w:cs="Calibri"/>
          <w:u w:val="single"/>
        </w:rPr>
        <w:t>. To wholly resist the coercive and deceptive status quo, we seek to produce breakages in the domination of normative practices</w:t>
      </w:r>
      <w:r w:rsidRPr="00F933AF">
        <w:rPr>
          <w:rFonts w:cs="Calibri"/>
          <w:sz w:val="14"/>
        </w:rPr>
        <w:t xml:space="preserve">. Our understanding of communications should take root in Mitchell, Snyder, and Ware’s (2014) ‘cripistemologies’ whereby failed capacities are articulated as productive incapacities (p. 296). </w:t>
      </w:r>
      <w:r w:rsidRPr="00F933AF">
        <w:rPr>
          <w:rFonts w:cs="Calibri"/>
          <w:u w:val="single"/>
        </w:rPr>
        <w:t>The reason for which we vouch for non-normative communications should not be for any inclusionism, which is ultimately tied to the project of privileging some at the expense of others. Rather, it should expose the ﬁnite borders of the normative desires. By contextualizing human relationality into the Foucauldian idea of subjecting ourselves as we subject others within systems of power and domination, then we may see that we also hold some juridical power in the shaping of people</w:t>
      </w:r>
      <w:r w:rsidRPr="00F933AF">
        <w:rPr>
          <w:rFonts w:cs="Calibri"/>
          <w:sz w:val="14"/>
        </w:rPr>
        <w:t xml:space="preserve">. In resisting the dominance of reproductive futurism, Fritsch (2016) reasons that </w:t>
      </w:r>
      <w:r w:rsidRPr="00F933AF">
        <w:rPr>
          <w:rFonts w:cs="Calibri"/>
          <w:u w:val="single"/>
        </w:rPr>
        <w:t>this is “not only to reject the social order that relies on the Child, but rather to invest otherwise in social relations that complicate</w:t>
      </w:r>
      <w:r w:rsidRPr="00F933AF">
        <w:rPr>
          <w:rFonts w:cs="Calibri"/>
          <w:sz w:val="14"/>
        </w:rPr>
        <w:t xml:space="preserve"> both the horizon of futurity and that of </w:t>
      </w:r>
      <w:r w:rsidRPr="00F933AF">
        <w:rPr>
          <w:rFonts w:cs="Calibri"/>
          <w:u w:val="single"/>
        </w:rPr>
        <w:t>neoliberal biocapitalism</w:t>
      </w:r>
      <w:r w:rsidRPr="00F933AF">
        <w:rPr>
          <w:rFonts w:cs="Calibri"/>
          <w:sz w:val="14"/>
        </w:rPr>
        <w:t xml:space="preserve"> that underlies our current interest in the future” (p. 24). Indeed, there is interplay, however uneven, between discursive authorities—such as medical professionals, policymakers, and educators—and the masses engaged in such practices. </w:t>
      </w:r>
      <w:r w:rsidRPr="00F933AF">
        <w:rPr>
          <w:rFonts w:cs="Calibri"/>
          <w:u w:val="single"/>
        </w:rPr>
        <w:t>We collectively hold some agency to transform the existing social order, so long as the dominant epistemology is destabilized through practices of cripping</w:t>
      </w:r>
      <w:r w:rsidRPr="00F933AF">
        <w:rPr>
          <w:rFonts w:cs="Calibri"/>
          <w:sz w:val="14"/>
        </w:rPr>
        <w:t xml:space="preserve">. “Clear communication” and “understanding” will never mend our problems nor will it help us live together. It will never lead to justice nor break apart ableism, racism, sexism, transphobia, nor poverty. The master’s tools, Audre Lordre reminds us, </w:t>
      </w:r>
      <w:r w:rsidRPr="00F933AF">
        <w:rPr>
          <w:rFonts w:cs="Calibri"/>
          <w:u w:val="single"/>
        </w:rPr>
        <w:t>“the master’s tools will never dismantle the master’s house.</w:t>
      </w:r>
      <w:r w:rsidRPr="00F933AF">
        <w:rPr>
          <w:rFonts w:cs="Calibri"/>
          <w:sz w:val="14"/>
        </w:rPr>
        <w:t xml:space="preserve"> </w:t>
      </w:r>
      <w:r w:rsidRPr="00F933AF">
        <w:rPr>
          <w:rFonts w:cs="Calibri"/>
          <w:u w:val="single"/>
        </w:rPr>
        <w:t>Clear and “effective” communication may make dysﬂuent speakers better adjusted, more normal, productive, and efﬁcient cogs in the affluent machine of</w:t>
      </w:r>
      <w:r w:rsidRPr="00F933AF">
        <w:rPr>
          <w:rFonts w:cs="Calibri"/>
          <w:sz w:val="14"/>
        </w:rPr>
        <w:t xml:space="preserve"> (late) liberal-</w:t>
      </w:r>
      <w:r w:rsidRPr="00F933AF">
        <w:rPr>
          <w:rFonts w:cs="Calibri"/>
          <w:u w:val="single"/>
        </w:rPr>
        <w:t>capitalism, but will never create justice</w:t>
      </w:r>
      <w:r w:rsidRPr="00F933AF">
        <w:rPr>
          <w:rFonts w:cs="Calibri"/>
          <w:sz w:val="14"/>
        </w:rPr>
        <w:t xml:space="preserve">” (St. Pierre, 2015). </w:t>
      </w:r>
      <w:r w:rsidRPr="00F933AF">
        <w:rPr>
          <w:rFonts w:cs="Calibri"/>
          <w:u w:val="single"/>
        </w:rPr>
        <w:t>A disability-informed framework holds the potential to reconﬁgure communicative systems in such a way that is cognizant of human interdependency and imagines futurities in unrestricted ways.</w:t>
      </w:r>
      <w:r w:rsidRPr="00F933AF">
        <w:rPr>
          <w:rFonts w:cs="Calibri"/>
          <w:sz w:val="14"/>
        </w:rPr>
        <w:t xml:space="preserve"> Veering away from the deﬁcit model sustained by the ﬁeld of developmental psychology, an anti-oppressive approach can be taken through acknowledging the instability of meaning systems. No longer are differential ways of being and expressing the self understood as waste; they are sites of learning for those who previously assumed they know all. This may legitimize paths that are purposefully and strategically against the idea of developing ﬂuency and envisioning a future within neoliberalism. Communication is, indeed, a multi-directional and non-linear process and, so, non-normative communication actively resists the binds of having a voice restricted in the conﬁnes of the subaltern margins. </w:t>
      </w:r>
      <w:r w:rsidRPr="00F933AF">
        <w:rPr>
          <w:rFonts w:cs="Calibri"/>
          <w:u w:val="single"/>
        </w:rPr>
        <w:t>Ultimately, we need not even settle on a single answer, agreement, or resolution when it comes to this matter. For it is precisely through the constant, though unstable dialogue that we come to learn and grow more about our collective existence</w:t>
      </w:r>
      <w:r w:rsidRPr="00F933AF">
        <w:rPr>
          <w:rFonts w:cs="Calibri"/>
          <w:sz w:val="14"/>
        </w:rPr>
        <w:t>.</w:t>
      </w:r>
    </w:p>
    <w:p w:rsidR="00D71D53" w:rsidRDefault="00D71D53" w:rsidP="00D71D53"/>
    <w:p w:rsidR="00E5343F" w:rsidRPr="00F933AF" w:rsidRDefault="00E5343F" w:rsidP="00E5343F">
      <w:pPr>
        <w:pStyle w:val="Heading3"/>
        <w:rPr>
          <w:rFonts w:cs="Calibri"/>
        </w:rPr>
      </w:pPr>
      <w:r w:rsidRPr="00F933AF">
        <w:rPr>
          <w:rFonts w:cs="Calibri"/>
        </w:rPr>
        <w:t xml:space="preserve">Alt - Set Col </w:t>
      </w:r>
    </w:p>
    <w:p w:rsidR="00E5343F" w:rsidRPr="00F933AF" w:rsidRDefault="00E5343F" w:rsidP="00E5343F">
      <w:pPr>
        <w:pStyle w:val="Heading4"/>
        <w:rPr>
          <w:rFonts w:cs="Calibri"/>
        </w:rPr>
      </w:pPr>
      <w:r w:rsidRPr="00F933AF">
        <w:rPr>
          <w:rFonts w:cs="Calibri"/>
        </w:rPr>
        <w:t xml:space="preserve">We must reject the top-down state reformism in favor of anti-occupational structures – only by interrogating and challenging the underlying colonialism and militarization of the state can we challenge ableism </w:t>
      </w:r>
    </w:p>
    <w:p w:rsidR="00E5343F" w:rsidRPr="00F933AF" w:rsidRDefault="00E5343F" w:rsidP="00E5343F">
      <w:pPr>
        <w:rPr>
          <w:rFonts w:cs="Calibri"/>
        </w:rPr>
      </w:pPr>
      <w:r w:rsidRPr="00F933AF">
        <w:rPr>
          <w:rStyle w:val="Style13ptBold"/>
          <w:rFonts w:cs="Calibri"/>
        </w:rPr>
        <w:t>Block et al. 15</w:t>
      </w:r>
      <w:r w:rsidRPr="00F933AF">
        <w:rPr>
          <w:rStyle w:val="Style13ptBold"/>
          <w:rFonts w:cs="Calibri"/>
          <w:b w:val="0"/>
          <w:color w:val="000000" w:themeColor="text1"/>
          <w:sz w:val="16"/>
          <w:szCs w:val="16"/>
        </w:rPr>
        <w:t>, Pamela -</w:t>
      </w:r>
      <w:r w:rsidRPr="00F933AF">
        <w:rPr>
          <w:rStyle w:val="Style13ptBold"/>
          <w:rFonts w:cs="Calibri"/>
          <w:color w:val="000000" w:themeColor="text1"/>
          <w:sz w:val="16"/>
          <w:szCs w:val="16"/>
        </w:rPr>
        <w:t xml:space="preserve"> </w:t>
      </w:r>
      <w:r w:rsidRPr="00F933AF">
        <w:rPr>
          <w:rFonts w:cs="Calibri"/>
          <w:color w:val="000000" w:themeColor="text1"/>
          <w:sz w:val="16"/>
          <w:szCs w:val="16"/>
          <w:shd w:val="clear" w:color="auto" w:fill="FFFFFF"/>
        </w:rPr>
        <w:t>Professor and Director of the Concentration in Disability Studies for the Ph.D. Program in Health and Rehabilitation Sciences</w:t>
      </w:r>
      <w:r w:rsidRPr="00F933AF">
        <w:rPr>
          <w:rFonts w:cs="Calibri"/>
          <w:color w:val="000000" w:themeColor="text1"/>
          <w:sz w:val="16"/>
          <w:szCs w:val="16"/>
        </w:rPr>
        <w:t xml:space="preserve"> “Occupying Disability: </w:t>
      </w:r>
      <w:r w:rsidRPr="00F933AF">
        <w:rPr>
          <w:rFonts w:cs="Calibri"/>
          <w:color w:val="000000" w:themeColor="text1"/>
          <w:sz w:val="16"/>
          <w:szCs w:val="16"/>
          <w:shd w:val="clear" w:color="auto" w:fill="FFFFFF"/>
        </w:rPr>
        <w:t>Critical Approaches to Community, Justice, and Decolonizing Disability</w:t>
      </w:r>
      <w:r w:rsidRPr="00F933AF">
        <w:rPr>
          <w:rFonts w:cs="Calibri"/>
          <w:color w:val="000000" w:themeColor="text1"/>
          <w:sz w:val="16"/>
          <w:szCs w:val="16"/>
        </w:rPr>
        <w:t>” Pg. 59-60</w:t>
      </w:r>
      <w:r w:rsidR="002B3A0E">
        <w:rPr>
          <w:rFonts w:cs="Calibri"/>
          <w:color w:val="000000" w:themeColor="text1"/>
          <w:sz w:val="16"/>
          <w:szCs w:val="16"/>
        </w:rPr>
        <w:t>//mr</w:t>
      </w:r>
    </w:p>
    <w:p w:rsidR="00E5343F" w:rsidRPr="00F933AF" w:rsidRDefault="00E5343F" w:rsidP="00E5343F">
      <w:pPr>
        <w:pStyle w:val="NormalWeb"/>
        <w:rPr>
          <w:rFonts w:cs="Calibri"/>
          <w:u w:val="single"/>
        </w:rPr>
      </w:pPr>
      <w:r w:rsidRPr="00F933AF">
        <w:rPr>
          <w:rFonts w:cs="Calibri"/>
          <w:sz w:val="16"/>
        </w:rPr>
        <w:t xml:space="preserve">As the above analysis demonstrates, </w:t>
      </w:r>
      <w:r w:rsidRPr="00F933AF">
        <w:rPr>
          <w:rFonts w:cs="Calibri"/>
          <w:u w:val="single"/>
        </w:rPr>
        <w:t xml:space="preserve">there is a vast need to create not only coalitions, but connections across intersecting identities and subjugations and the power structures that hold them together and apart. Without understanding the interconnectedness of exclusion in various levels there is no possibility of transformation, </w:t>
      </w:r>
      <w:r w:rsidRPr="00F933AF">
        <w:rPr>
          <w:rFonts w:cs="Calibri"/>
          <w:b/>
          <w:u w:val="single"/>
        </w:rPr>
        <w:t>only symbolic victories of one group that will eventually oppress another</w:t>
      </w:r>
      <w:r w:rsidRPr="00F933AF">
        <w:rPr>
          <w:rFonts w:cs="Calibri"/>
          <w:u w:val="single"/>
        </w:rPr>
        <w:t>.</w:t>
      </w:r>
      <w:r w:rsidRPr="00F933AF">
        <w:rPr>
          <w:rFonts w:cs="Calibri"/>
          <w:sz w:val="16"/>
        </w:rPr>
        <w:t xml:space="preserve"> As I have tried to demonstrate, </w:t>
      </w:r>
      <w:r w:rsidRPr="00F933AF">
        <w:rPr>
          <w:rFonts w:cs="Calibri"/>
          <w:u w:val="single"/>
        </w:rPr>
        <w:t>one cannot detach disability benefits and labor organizing from a critique of capitalism and neoliberalism; and one cannot fight a war for rights and inclusion without fighting against fighting and creating inclusive struggles.</w:t>
      </w:r>
      <w:r w:rsidRPr="00F933AF">
        <w:rPr>
          <w:rFonts w:cs="Calibri"/>
          <w:sz w:val="16"/>
        </w:rPr>
        <w:t xml:space="preserve"> I believe that resisting militarization and (settler) colonialism should always be on the agenda of disability activists. </w:t>
      </w:r>
      <w:r w:rsidRPr="00F933AF">
        <w:rPr>
          <w:rFonts w:cs="Calibri"/>
          <w:u w:val="single"/>
        </w:rPr>
        <w:t xml:space="preserve">Disability is always inherent in anti-occupation and anti-war </w:t>
      </w:r>
      <w:r w:rsidRPr="00F933AF">
        <w:rPr>
          <w:rFonts w:cs="Calibri"/>
          <w:sz w:val="16"/>
        </w:rPr>
        <w:t xml:space="preserve">(for instance in relation to militarization, budgetary priorities and the remaking of the New Israeli Jew to discard the frail disabled one in the Diaspora) </w:t>
      </w:r>
      <w:r w:rsidRPr="00F933AF">
        <w:rPr>
          <w:rFonts w:cs="Calibri"/>
          <w:u w:val="single"/>
        </w:rPr>
        <w:t>but it is often made invisible. And occupation/settler colonialism is always a part of disability protests, even though it is rendered invisible by a discourse that claims to be unified and apolitical</w:t>
      </w:r>
      <w:r w:rsidRPr="00F933AF">
        <w:rPr>
          <w:rFonts w:cs="Calibri"/>
          <w:sz w:val="16"/>
        </w:rPr>
        <w:t xml:space="preserve">. Settler colonialism and militarization based on nationalism is related to disablement of both Jews and Palestinians, and the services afforded to them by the (contested) state. </w:t>
      </w:r>
      <w:r w:rsidRPr="00F933AF">
        <w:rPr>
          <w:rFonts w:cs="Calibri"/>
          <w:u w:val="single"/>
        </w:rPr>
        <w:t>These are not separate issues, and that is the lesson for the Occupy movement in the United States too.</w:t>
      </w:r>
      <w:r w:rsidRPr="00F933AF">
        <w:rPr>
          <w:rFonts w:cs="Calibri"/>
          <w:sz w:val="16"/>
        </w:rPr>
        <w:t xml:space="preserve"> I will not get into the unfortunate use of the title of Occupy to be used to unify a movement for social and economic justice </w:t>
      </w:r>
      <w:r w:rsidRPr="00F933AF">
        <w:rPr>
          <w:rFonts w:cs="Calibri"/>
          <w:u w:val="single"/>
        </w:rPr>
        <w:t xml:space="preserve">that should be most notably about </w:t>
      </w:r>
      <w:r w:rsidRPr="00F933AF">
        <w:rPr>
          <w:rFonts w:cs="Calibri"/>
          <w:i/>
          <w:iCs/>
          <w:u w:val="single"/>
        </w:rPr>
        <w:t>anti</w:t>
      </w:r>
      <w:r w:rsidRPr="00F933AF">
        <w:rPr>
          <w:rFonts w:cs="Calibri"/>
          <w:u w:val="single"/>
        </w:rPr>
        <w:t>-occupation</w:t>
      </w:r>
      <w:r w:rsidRPr="00F933AF">
        <w:rPr>
          <w:rFonts w:cs="Calibri"/>
          <w:sz w:val="16"/>
        </w:rPr>
        <w:t>; but will only paraphrase Tuck and Yang’s (</w:t>
      </w:r>
      <w:r w:rsidRPr="00F933AF">
        <w:rPr>
          <w:rFonts w:cs="Calibri"/>
          <w:color w:val="0000FF"/>
          <w:sz w:val="16"/>
        </w:rPr>
        <w:t>2012</w:t>
      </w:r>
      <w:r w:rsidRPr="00F933AF">
        <w:rPr>
          <w:rFonts w:cs="Calibri"/>
          <w:sz w:val="16"/>
        </w:rPr>
        <w:t>) cautionary message that decolonialization (and occupation) is not a metaphor</w:t>
      </w:r>
      <w:r w:rsidRPr="00F933AF">
        <w:rPr>
          <w:rFonts w:cs="Calibri"/>
          <w:u w:val="single"/>
        </w:rPr>
        <w:t>. Having an inclusive movement is not just about wheelchair accessible gathering space. It is a much larger movement that needs to be cognizant of access, very broadly defined, including land use itself</w:t>
      </w:r>
      <w:r w:rsidRPr="00F933AF">
        <w:rPr>
          <w:rFonts w:cs="Calibri"/>
          <w:sz w:val="16"/>
        </w:rPr>
        <w:t xml:space="preserve">. </w:t>
      </w:r>
      <w:r w:rsidRPr="00F933AF">
        <w:rPr>
          <w:rFonts w:cs="Calibri"/>
          <w:b/>
          <w:u w:val="single"/>
        </w:rPr>
        <w:t>The violence of colonialism, occupation and military aggression does not merely cause disability and disabling environments for years to come, but also renders disability meaningless and invisible</w:t>
      </w:r>
      <w:r w:rsidRPr="00F933AF">
        <w:rPr>
          <w:rFonts w:cs="Calibri"/>
          <w:sz w:val="16"/>
        </w:rPr>
        <w:t xml:space="preserve">. It would be useful, in my mind, if anti- occupation movement/s embrace disability as a critical framework, especially as they brush against Zionist ideology. Disability has been viewed historically as the antithesis of Zionist myths and ethos, as a remnant of the Diasporic weak Jew of the past. As stated earlier, Zionism thought to transform Jewishness into a national body politic. Disability was included in this paradigm by exclusion only. </w:t>
      </w:r>
      <w:r w:rsidRPr="00F933AF">
        <w:rPr>
          <w:rFonts w:cs="Calibri"/>
          <w:u w:val="single"/>
        </w:rPr>
        <w:t xml:space="preserve">Excavating and claiming disability as both a critical lens and a social/political identity, and not merely a negation for the severe consequences of war and militarization, can signal a transformative move toward liberatory resistance to occupation and other forms of dominance and state repression that, at the very least, simultaneously reflects on and conjures the limits of the State itself. </w:t>
      </w:r>
    </w:p>
    <w:p w:rsidR="0025410F" w:rsidRPr="00F933AF" w:rsidRDefault="0025410F" w:rsidP="0025410F">
      <w:pPr>
        <w:rPr>
          <w:rFonts w:cs="Calibri"/>
          <w:color w:val="000000"/>
          <w:sz w:val="16"/>
        </w:rPr>
      </w:pPr>
    </w:p>
    <w:p w:rsidR="0025410F" w:rsidRPr="00F933AF" w:rsidRDefault="00CF6C97" w:rsidP="002B3A0E">
      <w:pPr>
        <w:pStyle w:val="Heading3"/>
        <w:rPr>
          <w:rFonts w:cs="Calibri"/>
        </w:rPr>
      </w:pPr>
      <w:r w:rsidRPr="00F933AF">
        <w:rPr>
          <w:rFonts w:cs="Calibri"/>
        </w:rPr>
        <w:t xml:space="preserve">Alt - </w:t>
      </w:r>
      <w:r w:rsidR="0025410F" w:rsidRPr="00F933AF">
        <w:rPr>
          <w:rFonts w:cs="Calibri"/>
        </w:rPr>
        <w:t>De</w:t>
      </w:r>
      <w:r w:rsidR="00924169" w:rsidRPr="00F933AF">
        <w:rPr>
          <w:rFonts w:cs="Calibri"/>
        </w:rPr>
        <w:t>leuze</w:t>
      </w:r>
    </w:p>
    <w:p w:rsidR="0025410F" w:rsidRPr="00F933AF" w:rsidRDefault="0025410F" w:rsidP="0025410F">
      <w:pPr>
        <w:pStyle w:val="Heading4"/>
        <w:rPr>
          <w:rFonts w:cs="Calibri"/>
        </w:rPr>
      </w:pPr>
      <w:r w:rsidRPr="00F933AF">
        <w:rPr>
          <w:rFonts w:cs="Calibri"/>
        </w:rPr>
        <w:t>A Deleuzian analysis of disability avoids essentialism while allowing the recognition of limitations of the body – an engagement with material sciences allows critiques of social scientific practices</w:t>
      </w:r>
    </w:p>
    <w:p w:rsidR="0025410F" w:rsidRPr="00F933AF" w:rsidRDefault="0025410F" w:rsidP="0025410F">
      <w:pPr>
        <w:rPr>
          <w:rFonts w:cs="Calibri"/>
        </w:rPr>
      </w:pPr>
      <w:r w:rsidRPr="00F933AF">
        <w:rPr>
          <w:rStyle w:val="Style13ptBold"/>
          <w:rFonts w:cs="Calibri"/>
        </w:rPr>
        <w:t>Feely 15</w:t>
      </w:r>
      <w:r w:rsidRPr="00F933AF">
        <w:rPr>
          <w:rFonts w:cs="Calibri"/>
        </w:rPr>
        <w:t xml:space="preserve"> (Michael Feely, Department of Social Work and Social Policy at Trinity College Dublin, "Disability studies after the ontological turn: a return to the material world and material bodies without a return to essentialism," [Taylor &amp;amp; Francis], 7-23-2015, accessed: 7-11-2018, https://www.tandfonline.com/doi/abs/10.1080/09687599.2016.1208603?scroll=top&amp;amp;needAccess=true&amp;amp;journalCode=cdso20)//DCai</w:t>
      </w:r>
    </w:p>
    <w:p w:rsidR="0025410F" w:rsidRPr="00F933AF" w:rsidRDefault="0025410F" w:rsidP="0025410F">
      <w:pPr>
        <w:rPr>
          <w:rStyle w:val="StyleUnderline"/>
          <w:rFonts w:cs="Calibri"/>
        </w:rPr>
      </w:pPr>
      <w:r w:rsidRPr="00F933AF">
        <w:rPr>
          <w:rFonts w:cs="Calibri"/>
          <w:sz w:val="16"/>
        </w:rPr>
        <w:t xml:space="preserve">Deleuze is – in certain ways – dissimilar to poststructuralist theorists such as Foucault and Butler. In short, </w:t>
      </w:r>
      <w:r w:rsidRPr="00F933AF">
        <w:rPr>
          <w:rStyle w:val="StyleUnderline"/>
          <w:rFonts w:cs="Calibri"/>
        </w:rPr>
        <w:t>these thinkers belong, to a greater or lesser extent, to the idealist philosophical tradition</w:t>
      </w:r>
      <w:r w:rsidRPr="00F933AF">
        <w:rPr>
          <w:rFonts w:cs="Calibri"/>
          <w:sz w:val="16"/>
        </w:rPr>
        <w:t xml:space="preserve">. As such, </w:t>
      </w:r>
      <w:r w:rsidRPr="00F933AF">
        <w:rPr>
          <w:rStyle w:val="StyleUnderline"/>
          <w:rFonts w:cs="Calibri"/>
        </w:rPr>
        <w:t>they tend to be highly sceptical of ontology</w:t>
      </w:r>
      <w:r w:rsidRPr="00F933AF">
        <w:rPr>
          <w:rFonts w:cs="Calibri"/>
          <w:sz w:val="16"/>
        </w:rPr>
        <w:t xml:space="preserve"> (the study of what there is in the world) because ontological statements (statements about what there is in the world) actually serve to constitute the entities they presume to describe. </w:t>
      </w:r>
      <w:r w:rsidRPr="00F933AF">
        <w:rPr>
          <w:rStyle w:val="StyleUnderline"/>
          <w:rFonts w:cs="Calibri"/>
        </w:rPr>
        <w:t xml:space="preserve">Deleuze, by contrast, fully embraces ontology, albeit of an idiosyncratic variety </w:t>
      </w:r>
      <w:r w:rsidRPr="00F933AF">
        <w:rPr>
          <w:rFonts w:cs="Calibri"/>
          <w:sz w:val="16"/>
        </w:rPr>
        <w:t xml:space="preserve">(see May 2005). </w:t>
      </w:r>
      <w:r w:rsidRPr="00F933AF">
        <w:rPr>
          <w:rStyle w:val="StyleUnderline"/>
          <w:rFonts w:cs="Calibri"/>
        </w:rPr>
        <w:t>Deleuze’s ontology acknowledges that discourse is important, and affects material entities, but simultaneously holds that material entities are important and affect discourse. Thus Deleuze collapses the traditional discourse/matter divide and suggests that both discursive statements and material objects are real and, moreover, they are mutually affecting</w:t>
      </w:r>
      <w:r w:rsidRPr="00F933AF">
        <w:rPr>
          <w:rFonts w:cs="Calibri"/>
          <w:sz w:val="16"/>
        </w:rPr>
        <w:t xml:space="preserve"> (see Figure 1). </w:t>
      </w:r>
      <w:r w:rsidRPr="00F933AF">
        <w:rPr>
          <w:rStyle w:val="StyleUnderline"/>
          <w:rFonts w:cs="Calibri"/>
        </w:rPr>
        <w:t xml:space="preserve">Within this ontology, material and semiotic entities ‘have the same ontological status’ </w:t>
      </w:r>
      <w:r w:rsidRPr="00F933AF">
        <w:rPr>
          <w:rFonts w:cs="Calibri"/>
          <w:sz w:val="16"/>
        </w:rPr>
        <w:t xml:space="preserve">(Grosz 1994, 167). Thus </w:t>
      </w:r>
      <w:r w:rsidRPr="00F933AF">
        <w:rPr>
          <w:rStyle w:val="StyleUnderline"/>
          <w:rFonts w:cs="Calibri"/>
        </w:rPr>
        <w:t>existence, for Deleuze, becomes a flat ontological plane populated by different but mutually affecting material and semiotic entities.</w:t>
      </w:r>
      <w:r w:rsidRPr="00F933AF">
        <w:rPr>
          <w:rFonts w:cs="Calibri"/>
          <w:sz w:val="16"/>
        </w:rPr>
        <w:t xml:space="preserve"> To make such an ontology work, however, requires a new way of thinking about and discussing actual material entities, rather than representations of them. Deleuzian materialism Deleuze espouses a particular and anti-essentialist variety of materialism. He believes </w:t>
      </w:r>
      <w:r w:rsidRPr="00F933AF">
        <w:rPr>
          <w:rStyle w:val="StyleUnderline"/>
          <w:rFonts w:cs="Calibri"/>
        </w:rPr>
        <w:t>in a material world which precedes any human observer and exists outside (or more accurately alongside) human concepts and language.</w:t>
      </w:r>
      <w:r w:rsidRPr="00F933AF">
        <w:rPr>
          <w:rFonts w:cs="Calibri"/>
          <w:sz w:val="16"/>
        </w:rPr>
        <w:t xml:space="preserve"> However, his materialism stresses ‘change and difference’ (Taylor 2013, 47). </w:t>
      </w:r>
      <w:r w:rsidRPr="00F933AF">
        <w:rPr>
          <w:rStyle w:val="StyleUnderline"/>
          <w:rFonts w:cs="Calibri"/>
        </w:rPr>
        <w:t>Nothing has existed forever or will exist forever: from a particular human body; to the human race; to the planet Earth and the Sun.</w:t>
      </w:r>
      <w:r w:rsidRPr="00F933AF">
        <w:rPr>
          <w:rFonts w:cs="Calibri"/>
          <w:sz w:val="16"/>
        </w:rPr>
        <w:t xml:space="preserve"> Everything in the Deleuzian universe is in motion, continually becoming at different rates of speed (mayfly eggs, becoming nymphs, becoming mayfly duns, becoming mayfly spinners, becoming plentiful and high-protein trout food, becoming large trout, becoming catch of the day on a disability service fishing trip) and slowness (molten lava, becoming mountain, becoming rocks, becoming sand, becoming glass, becoming a window in a disability service daycentre). In a universe where everything is continually becoming, it is impossible to speak of the essence of any entity (its true identity at all times and in all places). Eternal essences are what DeLanda (2006, 49) calls ‘a kind of “optical illusion” produced by relatively slow rates of change’. The concept of the essence, a remnant of classical thought, was imagined by minds that were unaware, for example, of evolution or plate tectonics. Thus for Deleuze the essence is an anachronistic and ontologically questionable concept. This position is also held by many in the material sciences who are unequivocal that ‘essentialism and evolution are incompatible’ (Ereshefsky 2007, 9). As discussed previously, </w:t>
      </w:r>
      <w:r w:rsidRPr="00F933AF">
        <w:rPr>
          <w:rStyle w:val="Emphasis"/>
          <w:rFonts w:cs="Calibri"/>
        </w:rPr>
        <w:t>within disability studies the conventional way to attack essentialist thought is to highlight variability in the language used to describe an entity over time or between cultures in order to demonstrate that its supposedly immutable essence is actually historically and geographically variable.</w:t>
      </w:r>
      <w:r w:rsidRPr="00F933AF">
        <w:rPr>
          <w:rFonts w:cs="Calibri"/>
          <w:sz w:val="16"/>
        </w:rPr>
        <w:t xml:space="preserve"> Deleuze offers an alternative approach. </w:t>
      </w:r>
      <w:r w:rsidRPr="00F933AF">
        <w:rPr>
          <w:rStyle w:val="StyleUnderline"/>
          <w:rFonts w:cs="Calibri"/>
        </w:rPr>
        <w:t xml:space="preserve">His materialism, which is much indebted to Spinoza, allows us to think and speak about bodies </w:t>
      </w:r>
      <w:r w:rsidRPr="00F933AF">
        <w:rPr>
          <w:rFonts w:cs="Calibri"/>
          <w:sz w:val="16"/>
        </w:rPr>
        <w:t xml:space="preserve">(or any entities). However, </w:t>
      </w:r>
      <w:r w:rsidRPr="00F933AF">
        <w:rPr>
          <w:rStyle w:val="StyleUnderline"/>
          <w:rFonts w:cs="Calibri"/>
        </w:rPr>
        <w:t>it insists that we reject the traditional preoccupation with essentialist questions</w:t>
      </w:r>
      <w:r w:rsidRPr="00F933AF">
        <w:rPr>
          <w:rFonts w:cs="Calibri"/>
          <w:sz w:val="16"/>
        </w:rPr>
        <w:t xml:space="preserve"> (‘What is a body?’) </w:t>
      </w:r>
      <w:r w:rsidRPr="00F933AF">
        <w:rPr>
          <w:rStyle w:val="StyleUnderline"/>
          <w:rFonts w:cs="Calibri"/>
        </w:rPr>
        <w:t>and focus instead on its currently actualised, or what Deleuze calls actual, capacities</w:t>
      </w:r>
      <w:r w:rsidRPr="00F933AF">
        <w:rPr>
          <w:rFonts w:cs="Calibri"/>
          <w:sz w:val="16"/>
        </w:rPr>
        <w:t xml:space="preserve"> (‘What can a body do?’) </w:t>
      </w:r>
      <w:r w:rsidRPr="00F933AF">
        <w:rPr>
          <w:rStyle w:val="StyleUnderline"/>
          <w:rFonts w:cs="Calibri"/>
        </w:rPr>
        <w:t>as well as its potential, or what Deleuze terms virtual, capacities</w:t>
      </w:r>
      <w:r w:rsidRPr="00F933AF">
        <w:rPr>
          <w:rFonts w:cs="Calibri"/>
          <w:sz w:val="16"/>
        </w:rPr>
        <w:t xml:space="preserve"> (‘What else could a body do?’). At this stage, a concrete example may help to explain the distinction between a body’s actual and virtual capacities. A particular service user of Rathbeg Services, who has a diagnosis of cerebral palsy, may be currently unable to speak. Thus, </w:t>
      </w:r>
      <w:r w:rsidRPr="00F933AF">
        <w:rPr>
          <w:rStyle w:val="StyleUnderline"/>
          <w:rFonts w:cs="Calibri"/>
        </w:rPr>
        <w:t>in Deleuzian terminology, producing speech is not an actual capacity of this body</w:t>
      </w:r>
      <w:r w:rsidRPr="00F933AF">
        <w:rPr>
          <w:rFonts w:cs="Calibri"/>
          <w:sz w:val="16"/>
        </w:rPr>
        <w:t xml:space="preserve"> (something it can presently do). However, </w:t>
      </w:r>
      <w:r w:rsidRPr="00F933AF">
        <w:rPr>
          <w:rStyle w:val="StyleUnderline"/>
          <w:rFonts w:cs="Calibri"/>
        </w:rPr>
        <w:t>this is not to say that an inability to speak is an essence of this body</w:t>
      </w:r>
      <w:r w:rsidRPr="00F933AF">
        <w:rPr>
          <w:rFonts w:cs="Calibri"/>
          <w:sz w:val="16"/>
        </w:rPr>
        <w:t xml:space="preserve"> (a brute truth that must exist at all times and in all places). If this currently speechless body had access to sufficient resources and cutting-edge speech production technologies, it might acquire the capacity to produce speech. </w:t>
      </w:r>
      <w:r w:rsidRPr="00F933AF">
        <w:rPr>
          <w:rStyle w:val="StyleUnderline"/>
          <w:rFonts w:cs="Calibri"/>
        </w:rPr>
        <w:t xml:space="preserve">In Deleuzian terminology, producing speech may be a virtual capacity of this body, something it cannot currently do but could potentially do in a different context. </w:t>
      </w:r>
      <w:r w:rsidRPr="00F933AF">
        <w:rPr>
          <w:rFonts w:cs="Calibri"/>
          <w:sz w:val="16"/>
        </w:rPr>
        <w:t xml:space="preserve">Indeed, we can see a concrete example of the process of a virtual capacity becoming an actually capacity in the case of Cillian McSweeney, a young Irishman with cerebral palsy who secured considerable media coverage in 2014. Cillian was once unable to speak, and struggled to communicate: ‘My close family could always communicate with me using gestures and a process of elimination but it was very frustrating’. However, when he collaborated with technologists and learned to use software including Eyegaze (which allows him to generate synthesised speech by looking at words and symbols on a screen) he gained the capacity to speak and even write songs: ‘I realised that by using Eyegaze, I could put feelings into words … Technology is vital to me’ (McSweeney quoted in thejournal.ie 2014). For Deleuze, </w:t>
      </w:r>
      <w:r w:rsidRPr="00F933AF">
        <w:rPr>
          <w:rStyle w:val="StyleUnderline"/>
          <w:rFonts w:cs="Calibri"/>
        </w:rPr>
        <w:t xml:space="preserve">we simply cannot discuss what a body can do in a way that ignores its context. </w:t>
      </w:r>
      <w:r w:rsidRPr="00F933AF">
        <w:rPr>
          <w:rFonts w:cs="Calibri"/>
          <w:sz w:val="16"/>
        </w:rPr>
        <w:t xml:space="preserve">Indeed, in Srnicek’s words: </w:t>
      </w:r>
      <w:r w:rsidRPr="00F933AF">
        <w:rPr>
          <w:rStyle w:val="StyleUnderline"/>
          <w:rFonts w:cs="Calibri"/>
        </w:rPr>
        <w:t>Concrete individuals are never ontologically isolatable from their environment … In fact, the division between individuals and their environment is in many ways already an abstraction from the real situation.</w:t>
      </w:r>
      <w:r w:rsidRPr="00F933AF">
        <w:rPr>
          <w:rFonts w:cs="Calibri"/>
          <w:sz w:val="16"/>
        </w:rPr>
        <w:t xml:space="preserve"> (2007, 29) </w:t>
      </w:r>
      <w:r w:rsidRPr="00F933AF">
        <w:rPr>
          <w:rStyle w:val="StyleUnderline"/>
          <w:rFonts w:cs="Calibri"/>
        </w:rPr>
        <w:t>Because a body always/already exists within a specific material context, its capacities – the things it can and cannot do – are always contextual and relational.</w:t>
      </w:r>
      <w:r w:rsidRPr="00F933AF">
        <w:rPr>
          <w:rFonts w:cs="Calibri"/>
          <w:sz w:val="16"/>
        </w:rPr>
        <w:t xml:space="preserve"> Therefore a list of these capacities will necessarily be ongoing. The capacities of a particular human body, for example, will be radically different depending on whether it is underwater, in space, on horseback, online or offline, rich or poor. This focus on context-dependent capacities also applies to non-human bodies. For example, we do not ask the essentialist question ‘What is a pencil?’ (</w:t>
      </w:r>
      <w:proofErr w:type="gramStart"/>
      <w:r w:rsidRPr="00F933AF">
        <w:rPr>
          <w:rFonts w:cs="Calibri"/>
          <w:sz w:val="16"/>
        </w:rPr>
        <w:t>‘a</w:t>
      </w:r>
      <w:proofErr w:type="gramEnd"/>
      <w:r w:rsidRPr="00F933AF">
        <w:rPr>
          <w:rFonts w:cs="Calibri"/>
          <w:sz w:val="16"/>
        </w:rPr>
        <w:t xml:space="preserve"> writing implement comprised of wood and graphite’) but rather ‘What can a pencil do?’ (</w:t>
      </w:r>
      <w:proofErr w:type="gramStart"/>
      <w:r w:rsidRPr="00F933AF">
        <w:rPr>
          <w:rFonts w:cs="Calibri"/>
          <w:sz w:val="16"/>
        </w:rPr>
        <w:t>which</w:t>
      </w:r>
      <w:proofErr w:type="gramEnd"/>
      <w:r w:rsidRPr="00F933AF">
        <w:rPr>
          <w:rFonts w:cs="Calibri"/>
          <w:sz w:val="16"/>
        </w:rPr>
        <w:t xml:space="preserve"> suggests an ongoing list of context-dependent capacities: ‘it can write, it can stab; it can be burnt as firewood …’). </w:t>
      </w:r>
      <w:r w:rsidRPr="00F933AF">
        <w:rPr>
          <w:rStyle w:val="StyleUnderline"/>
          <w:rFonts w:cs="Calibri"/>
        </w:rPr>
        <w:t>Crucially for disability studies, Deleuzian materialism avoids a return to essentialism or ‘normal’/‘impaired’ distinctions</w:t>
      </w:r>
      <w:r w:rsidRPr="00F933AF">
        <w:rPr>
          <w:rFonts w:cs="Calibri"/>
          <w:sz w:val="16"/>
        </w:rPr>
        <w:t xml:space="preserve">, </w:t>
      </w:r>
      <w:r w:rsidRPr="00F933AF">
        <w:rPr>
          <w:rStyle w:val="StyleUnderline"/>
          <w:rFonts w:cs="Calibri"/>
        </w:rPr>
        <w:t>whilst allowing us to recognise the very real limitations some bodies face.</w:t>
      </w:r>
      <w:r w:rsidRPr="00F933AF">
        <w:rPr>
          <w:rFonts w:cs="Calibri"/>
          <w:sz w:val="16"/>
        </w:rPr>
        <w:t xml:space="preserve"> To explain, </w:t>
      </w:r>
      <w:r w:rsidRPr="00F933AF">
        <w:rPr>
          <w:rStyle w:val="Emphasis"/>
          <w:rFonts w:cs="Calibri"/>
        </w:rPr>
        <w:t xml:space="preserve">it avoids essentialism by affirming that all human bodies differ from each other and that each and every body is in a process of continual change and becoming, </w:t>
      </w:r>
      <w:r w:rsidRPr="00F933AF">
        <w:rPr>
          <w:rStyle w:val="StyleUnderline"/>
          <w:rFonts w:cs="Calibri"/>
        </w:rPr>
        <w:t>always differing from its younger self</w:t>
      </w:r>
      <w:r w:rsidRPr="00F933AF">
        <w:rPr>
          <w:rFonts w:cs="Calibri"/>
          <w:sz w:val="16"/>
        </w:rPr>
        <w:t xml:space="preserve"> (Hickey-Moody and Woods 2008). However, </w:t>
      </w:r>
      <w:r w:rsidRPr="00F933AF">
        <w:rPr>
          <w:rStyle w:val="StyleUnderline"/>
          <w:rFonts w:cs="Calibri"/>
        </w:rPr>
        <w:t>this does not prevent us from acknowledging a body’s limitations. At certain points in its process of becoming, and within certain contexts, a particular body will experience a whole range of limitations or things they cannot do.</w:t>
      </w:r>
      <w:r w:rsidRPr="00F933AF">
        <w:rPr>
          <w:rFonts w:cs="Calibri"/>
          <w:sz w:val="16"/>
        </w:rPr>
        <w:t xml:space="preserve"> For example, as mentioned previously, a particular body within Rathbeg services with cerebral palsy may be, at the current moment and in its current context, unable to speak. However, this limitation remains context dependent and is not an essence of the body or a brute truth. If its context changes, and it gains access to technologies such as Eyegaze, producing speech may become something this body can do. A focus on the context-dependent capacities, rather than essential identities, of entities ‘opens up a whole new canvas’ for social scientists (Wetherell 2012, 75). </w:t>
      </w:r>
      <w:r w:rsidRPr="00F933AF">
        <w:rPr>
          <w:rStyle w:val="StyleUnderline"/>
          <w:rFonts w:cs="Calibri"/>
        </w:rPr>
        <w:t xml:space="preserve">In the field of disability research, the Deleuzian approach makes the traditional obsession with categorising and ascribing fixed identities to bodies redundant. All that matters is discovering more and more context-dependent capacities or things a body can do. The only way to do this is through creative thought and ongoing experimentation. </w:t>
      </w:r>
      <w:r w:rsidRPr="00F933AF">
        <w:rPr>
          <w:rFonts w:cs="Calibri"/>
          <w:sz w:val="16"/>
        </w:rPr>
        <w:t xml:space="preserve">Deleuzian materialism and science In contrast to constructionist epistemologies, </w:t>
      </w:r>
      <w:r w:rsidRPr="00F933AF">
        <w:rPr>
          <w:rStyle w:val="StyleUnderline"/>
          <w:rFonts w:cs="Calibri"/>
        </w:rPr>
        <w:t>Deleuzian anti-essentialist materialism allows for ‘a rigorous, clear, precise, useful engagement with scientific disciplines’</w:t>
      </w:r>
      <w:r w:rsidRPr="00F933AF">
        <w:rPr>
          <w:rFonts w:cs="Calibri"/>
          <w:sz w:val="16"/>
        </w:rPr>
        <w:t xml:space="preserve"> (Bonta and Protevi 2004, vii). </w:t>
      </w:r>
      <w:r w:rsidRPr="00F933AF">
        <w:rPr>
          <w:rStyle w:val="StyleUnderline"/>
          <w:rFonts w:cs="Calibri"/>
        </w:rPr>
        <w:t xml:space="preserve">As such it allows disability scholars to engage productively, rather than critically, with the material sciences. </w:t>
      </w:r>
      <w:r w:rsidRPr="00F933AF">
        <w:rPr>
          <w:rFonts w:cs="Calibri"/>
          <w:sz w:val="16"/>
        </w:rPr>
        <w:t>These sciences can and do tell us what certain entities can or cannot do within specific contexts (e.g. ‘Can sound waves travel through a vacuum?’, ‘</w:t>
      </w:r>
      <w:proofErr w:type="gramStart"/>
      <w:r w:rsidRPr="00F933AF">
        <w:rPr>
          <w:rFonts w:cs="Calibri"/>
          <w:sz w:val="16"/>
        </w:rPr>
        <w:t>What</w:t>
      </w:r>
      <w:proofErr w:type="gramEnd"/>
      <w:r w:rsidRPr="00F933AF">
        <w:rPr>
          <w:rFonts w:cs="Calibri"/>
          <w:sz w:val="16"/>
        </w:rPr>
        <w:t xml:space="preserve"> is the boiling point of water at sea-level?’). Moreover, this scientific knowledge is extremely useful. It allows us create things which increase the number of things a body can do (e.g. new electronic communication technologies) or that alleviate embodied distress (e.g. drugs that alleviate pain). This non-essentialist scientific knowledge (regarding the context-dependent capacities of material entities) is, however, very different from the knowledge produced by the human sciences which Foucault critiques. These dubious sciences have, at times, sought to sort human bodies into hierarchical and fixed identity categories. Furthermore, these identities have, at times, been presented as objectively true, immutable and context independent. </w:t>
      </w:r>
      <w:r w:rsidRPr="00F933AF">
        <w:rPr>
          <w:rStyle w:val="StyleUnderline"/>
          <w:rFonts w:cs="Calibri"/>
        </w:rPr>
        <w:t>Whilst a Deleuzian approach allows us to critically re-engage with the material sciences, it simultaneously allows us to take a highly critical stance towards essentialist social scientific practices which attempt to ascribe fixed identities.</w:t>
      </w:r>
      <w:r w:rsidRPr="00F933AF">
        <w:rPr>
          <w:rFonts w:cs="Calibri"/>
          <w:sz w:val="16"/>
        </w:rPr>
        <w:t xml:space="preserve"> </w:t>
      </w:r>
      <w:r w:rsidRPr="00F933AF">
        <w:rPr>
          <w:rStyle w:val="StyleUnderline"/>
          <w:rFonts w:cs="Calibri"/>
        </w:rPr>
        <w:t>Within Deleuzian terminology, when a body is ascribed one of these identities</w:t>
      </w:r>
      <w:r w:rsidRPr="00F933AF">
        <w:rPr>
          <w:rFonts w:cs="Calibri"/>
          <w:sz w:val="16"/>
        </w:rPr>
        <w:t xml:space="preserve"> (e.g. ‘a person with a profound intellectual disability’), </w:t>
      </w:r>
      <w:r w:rsidRPr="00F933AF">
        <w:rPr>
          <w:rStyle w:val="StyleUnderline"/>
          <w:rFonts w:cs="Calibri"/>
        </w:rPr>
        <w:t>it is ‘over-coded’ and this prevents us from thinking creatively about the infinite number of things this body can or could do in different contexts</w:t>
      </w:r>
      <w:r w:rsidRPr="00F933AF">
        <w:rPr>
          <w:rFonts w:cs="Calibri"/>
          <w:sz w:val="16"/>
        </w:rPr>
        <w:t xml:space="preserve">. Whilst, during the science wars of the 1990s, poststructuralism was often pitted against science, this need not be the case. The enemy is not, and never was, science. The enemy is the essence. In short, then, </w:t>
      </w:r>
      <w:r w:rsidRPr="00F933AF">
        <w:rPr>
          <w:rStyle w:val="StyleUnderline"/>
          <w:rFonts w:cs="Calibri"/>
        </w:rPr>
        <w:t>the Deleuzian approach is not limited in the same ways as the more familiar poststructuralist theories of disability. It can and does offer a way to discuss the material world and the material sciences. As such it offers a materialist alternative to the social model as well as the critical realist approach. It allows us to acknowledge the context-dependent limitations of bodies without accepting impairment as a brute truth.</w:t>
      </w:r>
    </w:p>
    <w:p w:rsidR="0025410F" w:rsidRPr="00F933AF" w:rsidRDefault="0025410F" w:rsidP="0025410F">
      <w:pPr>
        <w:rPr>
          <w:rFonts w:cs="Calibri"/>
        </w:rPr>
      </w:pPr>
    </w:p>
    <w:p w:rsidR="0025410F" w:rsidRPr="00F933AF" w:rsidRDefault="0025410F" w:rsidP="0025410F">
      <w:pPr>
        <w:rPr>
          <w:rFonts w:cs="Calibri"/>
        </w:rPr>
      </w:pPr>
    </w:p>
    <w:p w:rsidR="0025410F" w:rsidRPr="00F933AF" w:rsidRDefault="002B3A0E" w:rsidP="002B3A0E">
      <w:pPr>
        <w:pStyle w:val="Heading3"/>
      </w:pPr>
      <w:r>
        <w:t>Alt - Biosemiotics</w:t>
      </w:r>
    </w:p>
    <w:p w:rsidR="0025410F" w:rsidRPr="00F933AF" w:rsidRDefault="0025410F" w:rsidP="0025410F">
      <w:pPr>
        <w:pStyle w:val="Heading4"/>
        <w:rPr>
          <w:rFonts w:cs="Calibri"/>
        </w:rPr>
      </w:pPr>
      <w:r w:rsidRPr="00F933AF">
        <w:rPr>
          <w:rFonts w:cs="Calibri"/>
        </w:rPr>
        <w:t>It isn’t enough to allow access without understanding forms of hegemonic control and its effect on bodies in a biosemiotic system- The alternative is to interrogate the modes of meaning making around embodied difference in the 1AC  – only by doing so can we understand how a eugenicist logic undergrids the system of legislation</w:t>
      </w:r>
    </w:p>
    <w:p w:rsidR="0025410F" w:rsidRPr="00F933AF" w:rsidRDefault="0025410F" w:rsidP="0025410F">
      <w:pPr>
        <w:rPr>
          <w:rFonts w:cs="Calibri"/>
          <w:b/>
          <w:sz w:val="26"/>
        </w:rPr>
      </w:pPr>
      <w:r w:rsidRPr="00F933AF">
        <w:rPr>
          <w:rStyle w:val="Style13ptBold"/>
          <w:rFonts w:cs="Calibri"/>
        </w:rPr>
        <w:t>Wheeler 17</w:t>
      </w:r>
      <w:r w:rsidRPr="00F933AF">
        <w:rPr>
          <w:rFonts w:cs="Calibri"/>
        </w:rPr>
        <w:t xml:space="preserve"> (Stephanie K. Wheeler, Department of Writing and Rhetoric at the University of Central Florida, “The construction of access: the eugenic precedent of the Americans with Disabilities Act,” [Taylor and Francis Online], February 10</w:t>
      </w:r>
      <w:r w:rsidRPr="00F933AF">
        <w:rPr>
          <w:rFonts w:cs="Calibri"/>
          <w:vertAlign w:val="superscript"/>
        </w:rPr>
        <w:t>th</w:t>
      </w:r>
      <w:r w:rsidRPr="00F933AF">
        <w:rPr>
          <w:rFonts w:cs="Calibri"/>
        </w:rPr>
        <w:t xml:space="preserve"> 2017, accessed: 7/11/18, https://www.tandfonline.com/doi/abs/10.1080/10304312.2016.1275132?src=recsys&amp;journalCode=ccon20)//DCai</w:t>
      </w:r>
    </w:p>
    <w:p w:rsidR="00E5343F" w:rsidRDefault="0025410F" w:rsidP="00E5343F">
      <w:pPr>
        <w:rPr>
          <w:rStyle w:val="Emphasis"/>
          <w:rFonts w:cs="Calibri"/>
        </w:rPr>
      </w:pPr>
      <w:r w:rsidRPr="00F933AF">
        <w:rPr>
          <w:rFonts w:cs="Calibri"/>
          <w:sz w:val="16"/>
        </w:rPr>
        <w:t xml:space="preserve">Identity – </w:t>
      </w:r>
      <w:r w:rsidRPr="00F933AF">
        <w:rPr>
          <w:rStyle w:val="StyleUnderline"/>
          <w:rFonts w:cs="Calibri"/>
        </w:rPr>
        <w:t>who has control over assigning it and what can be done with it – emerges as a focal point in the legislation.</w:t>
      </w:r>
      <w:r w:rsidRPr="00F933AF">
        <w:rPr>
          <w:rFonts w:cs="Calibri"/>
          <w:sz w:val="16"/>
        </w:rPr>
        <w:t xml:space="preserve"> I have analyzed above: </w:t>
      </w:r>
      <w:r w:rsidRPr="00F933AF">
        <w:rPr>
          <w:rStyle w:val="StyleUnderline"/>
          <w:rFonts w:cs="Calibri"/>
        </w:rPr>
        <w:t>the Immigration Act identifies who is (or is capable of becoming) a citizen and the ugly laws identify who is a person</w:t>
      </w:r>
      <w:r w:rsidRPr="00F933AF">
        <w:rPr>
          <w:rFonts w:cs="Calibri"/>
          <w:sz w:val="16"/>
        </w:rPr>
        <w:t xml:space="preserve">. The ADAAA, I argue, follows this same line of thought and attempts to combine the two: it provides previously inaccessible opportunities to participate and contribute to the larger citizenry (through work, education and the like), while simultaneously outlining what that contribution may look like (through protections and reasonable accommodations). </w:t>
      </w:r>
      <w:r w:rsidRPr="00F933AF">
        <w:rPr>
          <w:rStyle w:val="StyleUnderline"/>
          <w:rFonts w:cs="Calibri"/>
        </w:rPr>
        <w:t xml:space="preserve">It does this by intervening in the semiotic systems that have come to define disability, participation and personhood so as to provide more opportunities to foster the growth of a healthy, thriving and progressive nation. </w:t>
      </w:r>
      <w:r w:rsidRPr="00F933AF">
        <w:rPr>
          <w:rFonts w:cs="Calibri"/>
          <w:sz w:val="16"/>
        </w:rPr>
        <w:t xml:space="preserve">Of course this is not exactly a bad thing. Under my definition of eugenics, however – that is, </w:t>
      </w:r>
      <w:r w:rsidRPr="00F933AF">
        <w:rPr>
          <w:rStyle w:val="StyleUnderline"/>
          <w:rFonts w:cs="Calibri"/>
        </w:rPr>
        <w:t>eugenics as an intervention into a semiotic system for the purposes of improvement, manifested in attempts to name, categorize and condition</w:t>
      </w:r>
      <w:r w:rsidRPr="00F933AF">
        <w:rPr>
          <w:rFonts w:cs="Calibri"/>
          <w:sz w:val="16"/>
        </w:rPr>
        <w:t xml:space="preserve"> – it would follow that the ADAAA’s intervention into semiotic systems is a eugenic one. </w:t>
      </w:r>
      <w:proofErr w:type="gramStart"/>
      <w:r w:rsidRPr="00F933AF">
        <w:rPr>
          <w:rStyle w:val="StyleUnderline"/>
          <w:rFonts w:cs="Calibri"/>
        </w:rPr>
        <w:t>via</w:t>
      </w:r>
      <w:proofErr w:type="gramEnd"/>
      <w:r w:rsidRPr="00F933AF">
        <w:rPr>
          <w:rStyle w:val="StyleUnderline"/>
          <w:rFonts w:cs="Calibri"/>
        </w:rPr>
        <w:t xml:space="preserve"> an appeal to biology and science, it creates a biosemiotic system and deploys it as a legal system. As a consequence,</w:t>
      </w:r>
      <w:r w:rsidRPr="00F933AF">
        <w:rPr>
          <w:rFonts w:cs="Calibri"/>
          <w:sz w:val="16"/>
        </w:rPr>
        <w:t xml:space="preserve"> </w:t>
      </w:r>
      <w:r w:rsidRPr="00F933AF">
        <w:rPr>
          <w:rStyle w:val="StyleUnderline"/>
          <w:rFonts w:cs="Calibri"/>
        </w:rPr>
        <w:t>bodies are subjected to legal and medical language in the name of betterment – for their own lives and the lives of their fellow citizens.</w:t>
      </w:r>
      <w:r w:rsidRPr="00F933AF">
        <w:rPr>
          <w:rFonts w:cs="Calibri"/>
          <w:sz w:val="16"/>
        </w:rPr>
        <w:t xml:space="preserve"> Yet the </w:t>
      </w:r>
      <w:r w:rsidRPr="00F933AF">
        <w:rPr>
          <w:rStyle w:val="Emphasis"/>
          <w:rFonts w:cs="Calibri"/>
        </w:rPr>
        <w:t>freedom gained from access is just another form of hegemonic control, often at the cost of those bodies who do not fit the biological or legal category of ‘disabled’</w:t>
      </w:r>
      <w:r w:rsidRPr="00F933AF">
        <w:rPr>
          <w:rFonts w:cs="Calibri"/>
          <w:sz w:val="16"/>
        </w:rPr>
        <w:t xml:space="preserve">.3 While I in no way intend to suggest that the ADAAA has had direct, material consequences on the bodies of those who have been, and continue to be, subjected to eugenic medical practices, I do want to highlight the lineage that from which the logical functioning of the ADAAA works. The earliest appeals to eugenic practices in the work of Plato and Aristotle were couched in improving language and lessons of good men speaking well. The so-called ‘origin story’ of eugenics – the one with Francis Galton naming the science of race betterment – always begins with a word: eu (meaning better, or </w:t>
      </w:r>
      <w:proofErr w:type="gramStart"/>
      <w:r w:rsidRPr="00F933AF">
        <w:rPr>
          <w:rFonts w:cs="Calibri"/>
          <w:sz w:val="16"/>
        </w:rPr>
        <w:t>good</w:t>
      </w:r>
      <w:proofErr w:type="gramEnd"/>
      <w:r w:rsidRPr="00F933AF">
        <w:rPr>
          <w:rFonts w:cs="Calibri"/>
          <w:sz w:val="16"/>
        </w:rPr>
        <w:t xml:space="preserve">) genics (meaning birth). Thus, while I am not arguing that the ADAAA is a eugenic legislation – nor </w:t>
      </w:r>
      <w:r w:rsidRPr="00F933AF">
        <w:rPr>
          <w:rStyle w:val="StyleUnderline"/>
          <w:rFonts w:cs="Calibri"/>
        </w:rPr>
        <w:t>the Immigration Act</w:t>
      </w:r>
      <w:r w:rsidRPr="00F933AF">
        <w:rPr>
          <w:rFonts w:cs="Calibri"/>
          <w:sz w:val="16"/>
        </w:rPr>
        <w:t xml:space="preserve"> or the ugly laws – its </w:t>
      </w:r>
      <w:r w:rsidRPr="00F933AF">
        <w:rPr>
          <w:rStyle w:val="StyleUnderline"/>
          <w:rFonts w:cs="Calibri"/>
        </w:rPr>
        <w:t>appeal to semiotic functioning and reliance on languaging existence and personhood should not be taken lightly.</w:t>
      </w:r>
      <w:r w:rsidRPr="00F933AF">
        <w:rPr>
          <w:rFonts w:cs="Calibri"/>
          <w:sz w:val="16"/>
        </w:rPr>
        <w:t xml:space="preserve"> In Snyder and Mitchell’s (2006) terms, I suggest that the ADAAA is a cultural location of disability. </w:t>
      </w:r>
      <w:r w:rsidRPr="00F933AF">
        <w:rPr>
          <w:rStyle w:val="StyleUnderline"/>
          <w:rFonts w:cs="Calibri"/>
        </w:rPr>
        <w:t>Eugenics is in and of itself a binary system: define one as desirable or undesirable, Reproduce or sterilize, Cultivate or repress</w:t>
      </w:r>
      <w:r w:rsidRPr="00F933AF">
        <w:rPr>
          <w:rFonts w:cs="Calibri"/>
          <w:sz w:val="16"/>
        </w:rPr>
        <w:t xml:space="preserve">. Herein lies the crux of my argument: I am not arguing that every system that is sustained by removal and reproduction is a eugenic project. I am, however, arguing that </w:t>
      </w:r>
      <w:r w:rsidRPr="00F933AF">
        <w:rPr>
          <w:rStyle w:val="StyleUnderline"/>
          <w:rFonts w:cs="Calibri"/>
        </w:rPr>
        <w:t>those patterns of languaging, cataloguing and conditioning that are central to the workings of eugenic systems are the same that structure our basic notions of how language and meaning making works</w:t>
      </w:r>
      <w:r w:rsidRPr="00F933AF">
        <w:rPr>
          <w:rFonts w:cs="Calibri"/>
          <w:sz w:val="16"/>
        </w:rPr>
        <w:t xml:space="preserve">. Very often, </w:t>
      </w:r>
      <w:r w:rsidRPr="00F933AF">
        <w:rPr>
          <w:rStyle w:val="StyleUnderline"/>
          <w:rFonts w:cs="Calibri"/>
        </w:rPr>
        <w:t xml:space="preserve">appeals to improvement are languaged and made into metaphors that implicate the body. </w:t>
      </w:r>
      <w:r w:rsidRPr="00F933AF">
        <w:rPr>
          <w:rFonts w:cs="Calibri"/>
          <w:sz w:val="16"/>
        </w:rPr>
        <w:t xml:space="preserve">Consequently, </w:t>
      </w:r>
      <w:r w:rsidRPr="00F933AF">
        <w:rPr>
          <w:rStyle w:val="Emphasis"/>
          <w:rFonts w:cs="Calibri"/>
        </w:rPr>
        <w:t>it behoves us to take note of the modes of meaning making around embodied difference, as I have done here, and to take responsibility for interrogating those meanings, intended or not.</w:t>
      </w:r>
      <w:r w:rsidRPr="00F933AF">
        <w:rPr>
          <w:rFonts w:cs="Calibri"/>
          <w:sz w:val="16"/>
        </w:rPr>
        <w:t xml:space="preserve"> </w:t>
      </w:r>
      <w:r w:rsidRPr="00F933AF">
        <w:rPr>
          <w:rStyle w:val="StyleUnderline"/>
          <w:rFonts w:cs="Calibri"/>
        </w:rPr>
        <w:t>Doing so provides us a tool that reminds us that despite the consistent attempts to remove or hide unwanted bodies, these bodies never fully disappear and will not disappear as long as we continue to look for the additions that grow from the subtractions, and the subtractions that grow from the additions.</w:t>
      </w:r>
      <w:r w:rsidRPr="00F933AF">
        <w:rPr>
          <w:rFonts w:cs="Calibri"/>
          <w:sz w:val="16"/>
        </w:rPr>
        <w:t xml:space="preserve"> For every absence there is a presence; for every removal there is an addition. I opened this article up with a reference to the 2016 American Presidential election and I will conclude it with a quote that is deeply relevant here: in 1927, the United States Supreme Court ruled that compulsory sterilization of the ‘unfit’ – including those with cognitive, intellectual and physical disabilities – was constitutional on the grounds that it was ‘for the protection and health of the state’ (xxx 1927).4 Justice Oliver Wendell Holmes, Jr, spoke of his pleasure in writing the decision, noting that ‘sooner or later one gets a chance to say what one thinks’ (as quoted. in Cohen 2016, 277</w:t>
      </w:r>
      <w:r w:rsidRPr="00F933AF">
        <w:rPr>
          <w:rStyle w:val="StyleUnderline"/>
          <w:rFonts w:cs="Calibri"/>
        </w:rPr>
        <w:t>). In an age where politicians and the justice system systematically favours the strong over the weak, the winners over the losers and the haves over the have-nots, Holmes’ pleasure and entitlement of using language to dehumanize, disenfranchise and manipulate the bodies of an entire citizenry should feel distressingly familiar to all who are following the American election campaign</w:t>
      </w:r>
      <w:r w:rsidRPr="00F933AF">
        <w:rPr>
          <w:rFonts w:cs="Calibri"/>
          <w:sz w:val="16"/>
        </w:rPr>
        <w:t xml:space="preserve">. At its core, </w:t>
      </w:r>
      <w:r w:rsidRPr="00F933AF">
        <w:rPr>
          <w:rStyle w:val="StyleUnderline"/>
          <w:rFonts w:cs="Calibri"/>
        </w:rPr>
        <w:t>eugenicist logic posits the removal of unneeded or unwanted elements as an integral part of development, yet this idea of always moving towards something larger, that something can in fact be fully achieved or completed, runs counter to the ways in which meaning is made within semiotic systems.</w:t>
      </w:r>
      <w:r w:rsidRPr="00F933AF">
        <w:rPr>
          <w:rFonts w:cs="Calibri"/>
          <w:sz w:val="16"/>
        </w:rPr>
        <w:t xml:space="preserve"> </w:t>
      </w:r>
      <w:r w:rsidRPr="00F933AF">
        <w:rPr>
          <w:rStyle w:val="Emphasis"/>
          <w:rFonts w:cs="Calibri"/>
        </w:rPr>
        <w:t>If we continue to overlook how eugenicist logic has the capacity to thrive at the foundations of social justice legislation, bodies will continue to become effaced and forgotten, allowing language and communication based on eugenicist logic to construct our ideas about difference, human variation and disability.</w:t>
      </w:r>
    </w:p>
    <w:p w:rsidR="001902FF" w:rsidRPr="00F933AF" w:rsidRDefault="001902FF" w:rsidP="001902FF">
      <w:pPr>
        <w:pStyle w:val="Heading3"/>
        <w:rPr>
          <w:rFonts w:cs="Calibri"/>
        </w:rPr>
      </w:pPr>
      <w:r>
        <w:rPr>
          <w:rFonts w:cs="Calibri"/>
        </w:rPr>
        <w:t>Alt – Reps K</w:t>
      </w:r>
    </w:p>
    <w:p w:rsidR="001902FF" w:rsidRPr="00F933AF" w:rsidRDefault="001902FF" w:rsidP="001902FF">
      <w:pPr>
        <w:pStyle w:val="Heading4"/>
        <w:rPr>
          <w:rFonts w:cs="Calibri"/>
        </w:rPr>
      </w:pPr>
      <w:r w:rsidRPr="00F933AF">
        <w:rPr>
          <w:rFonts w:cs="Calibri"/>
        </w:rPr>
        <w:t>Our alternative is mētis- dispelling myth and rearticulating disability rhetoric- recognizing “perfect bodies” as constructs allows us to navigate our imperfect bodies</w:t>
      </w:r>
    </w:p>
    <w:p w:rsidR="001902FF" w:rsidRPr="00F933AF" w:rsidRDefault="001902FF" w:rsidP="001902FF">
      <w:pPr>
        <w:rPr>
          <w:rFonts w:cs="Calibri"/>
        </w:rPr>
      </w:pPr>
      <w:r w:rsidRPr="00F933AF">
        <w:rPr>
          <w:rStyle w:val="Style13ptBold"/>
          <w:rFonts w:cs="Calibri"/>
        </w:rPr>
        <w:t>Kellam 15</w:t>
      </w:r>
      <w:r w:rsidRPr="00F933AF">
        <w:rPr>
          <w:rFonts w:cs="Calibri"/>
        </w:rPr>
        <w:t xml:space="preserve"> (</w:t>
      </w:r>
      <w:hyperlink r:id="rId419" w:history="1">
        <w:r w:rsidRPr="00F933AF">
          <w:rPr>
            <w:rStyle w:val="Hyperlink"/>
            <w:rFonts w:cs="Calibri"/>
          </w:rPr>
          <w:t>R. Kyle Kellam</w:t>
        </w:r>
      </w:hyperlink>
      <w:r w:rsidRPr="00F933AF">
        <w:rPr>
          <w:rFonts w:cs="Calibri"/>
        </w:rPr>
        <w:t xml:space="preserve">, Assistant Professor of Communication and Director of Forensics at Marian University, PhD in communication from from Wayne State University, Winter 2015, Review of Disability Rhetoric, By Jay Timothy Dolmage, PhD in English from Miami University of Ohio, professor of English language and literature at the University of Waterloo, </w:t>
      </w:r>
      <w:hyperlink r:id="rId420" w:history="1">
        <w:r w:rsidRPr="00F933AF">
          <w:rPr>
            <w:rStyle w:val="Hyperlink"/>
            <w:rFonts w:cs="Calibri"/>
          </w:rPr>
          <w:t>Rhetoric &amp; Public Affairs</w:t>
        </w:r>
      </w:hyperlink>
      <w:r w:rsidRPr="00F933AF">
        <w:rPr>
          <w:rFonts w:cs="Calibri"/>
        </w:rPr>
        <w:t xml:space="preserve"> </w:t>
      </w:r>
      <w:hyperlink r:id="rId421" w:history="1">
        <w:r w:rsidRPr="00F933AF">
          <w:rPr>
            <w:rStyle w:val="Hyperlink"/>
            <w:rFonts w:cs="Calibri"/>
          </w:rPr>
          <w:t xml:space="preserve">Volume 18, Number 4, </w:t>
        </w:r>
      </w:hyperlink>
      <w:r w:rsidRPr="00F933AF">
        <w:rPr>
          <w:rFonts w:cs="Calibri"/>
        </w:rPr>
        <w:t xml:space="preserve"> </w:t>
      </w:r>
      <w:hyperlink r:id="rId422" w:history="1">
        <w:r w:rsidRPr="00F933AF">
          <w:rPr>
            <w:rStyle w:val="Hyperlink"/>
            <w:rFonts w:cs="Calibri"/>
          </w:rPr>
          <w:t>Michigan State University Press</w:t>
        </w:r>
      </w:hyperlink>
      <w:r w:rsidRPr="00F933AF">
        <w:rPr>
          <w:rFonts w:cs="Calibri"/>
        </w:rPr>
        <w:t>, Project Muse)/CWB</w:t>
      </w:r>
    </w:p>
    <w:p w:rsidR="001902FF" w:rsidRPr="00F933AF" w:rsidRDefault="001902FF" w:rsidP="001902FF">
      <w:pPr>
        <w:rPr>
          <w:rStyle w:val="StyleUnderline"/>
          <w:rFonts w:cs="Calibri"/>
        </w:rPr>
      </w:pPr>
      <w:r w:rsidRPr="00F933AF">
        <w:rPr>
          <w:rFonts w:cs="Calibri"/>
          <w:sz w:val="16"/>
        </w:rPr>
        <w:t xml:space="preserve">Jay Timothy </w:t>
      </w:r>
      <w:r w:rsidRPr="00F933AF">
        <w:rPr>
          <w:rStyle w:val="StyleUnderline"/>
          <w:rFonts w:cs="Calibri"/>
        </w:rPr>
        <w:t>Dolmage</w:t>
      </w:r>
      <w:r w:rsidRPr="00F933AF">
        <w:rPr>
          <w:rFonts w:cs="Calibri"/>
          <w:sz w:val="16"/>
        </w:rPr>
        <w:t xml:space="preserve">’s book Disability Rhetoric </w:t>
      </w:r>
      <w:r w:rsidRPr="00F933AF">
        <w:rPr>
          <w:rStyle w:val="StyleUnderline"/>
          <w:rFonts w:cs="Calibri"/>
        </w:rPr>
        <w:t>seeks to relocate the body as the source and function of all rhetoric. In doing so,</w:t>
      </w:r>
      <w:r w:rsidRPr="00F933AF">
        <w:rPr>
          <w:rFonts w:cs="Calibri"/>
          <w:sz w:val="16"/>
        </w:rPr>
        <w:t xml:space="preserve"> he argues, </w:t>
      </w:r>
      <w:r w:rsidRPr="00F933AF">
        <w:rPr>
          <w:rStyle w:val="StyleUnderline"/>
          <w:rFonts w:cs="Calibri"/>
        </w:rPr>
        <w:t>we might uncover lost histories and meanings of various lesser-known bodies—marginalized, disabled bodies—that can help us understand more fully our available means of persuasion</w:t>
      </w:r>
      <w:r w:rsidRPr="00F933AF">
        <w:rPr>
          <w:rFonts w:cs="Calibri"/>
          <w:sz w:val="16"/>
        </w:rPr>
        <w:t xml:space="preserve">. While the title of this book might suggest this work is solely for scholars in disability studies, a read of the text uncovers Dolmage’s attempt to help disability scholars see the ways that </w:t>
      </w:r>
      <w:r w:rsidRPr="00F933AF">
        <w:rPr>
          <w:rStyle w:val="StyleUnderline"/>
          <w:rFonts w:cs="Calibri"/>
        </w:rPr>
        <w:t>disability myths are always argued discursively and rhetoricians understand</w:t>
      </w:r>
      <w:r w:rsidRPr="00F933AF">
        <w:rPr>
          <w:rFonts w:cs="Calibri"/>
          <w:sz w:val="16"/>
        </w:rPr>
        <w:t xml:space="preserve"> [End Page 766] </w:t>
      </w:r>
      <w:r w:rsidRPr="00F933AF">
        <w:rPr>
          <w:rStyle w:val="StyleUnderline"/>
          <w:rFonts w:cs="Calibri"/>
        </w:rPr>
        <w:t>that embodied difference points to rhetoric’s multiplicity</w:t>
      </w:r>
      <w:r w:rsidRPr="00F933AF">
        <w:rPr>
          <w:rFonts w:cs="Calibri"/>
          <w:sz w:val="16"/>
        </w:rPr>
        <w:t xml:space="preserve">. </w:t>
      </w:r>
      <w:r w:rsidRPr="00F933AF">
        <w:rPr>
          <w:rStyle w:val="StyleUnderline"/>
          <w:rFonts w:cs="Calibri"/>
        </w:rPr>
        <w:t xml:space="preserve">Dolmage employs mētis as the driving methodology </w:t>
      </w:r>
      <w:r w:rsidRPr="00F933AF">
        <w:rPr>
          <w:rFonts w:cs="Calibri"/>
          <w:sz w:val="16"/>
        </w:rPr>
        <w:t xml:space="preserve">for his work </w:t>
      </w:r>
      <w:r w:rsidRPr="00F933AF">
        <w:rPr>
          <w:rStyle w:val="StyleUnderline"/>
          <w:rFonts w:cs="Calibri"/>
        </w:rPr>
        <w:t>because it is a “cunning and adaptive intelligence” and “demands a view of the body and embodied thinking as being double and divergent”</w:t>
      </w:r>
      <w:r w:rsidRPr="00F933AF">
        <w:rPr>
          <w:rFonts w:cs="Calibri"/>
          <w:sz w:val="16"/>
        </w:rPr>
        <w:t xml:space="preserve"> (5). </w:t>
      </w:r>
      <w:r w:rsidRPr="00F933AF">
        <w:rPr>
          <w:rStyle w:val="StyleUnderline"/>
          <w:rFonts w:cs="Calibri"/>
        </w:rPr>
        <w:t>Mētis is the means by which Dolmage skillfully maneuvers backward and forward through disability myths, deconstructing the way we centralize and memorialize the “normal” body through our classical rhetorical traditions.</w:t>
      </w:r>
      <w:r w:rsidRPr="00F933AF">
        <w:rPr>
          <w:rFonts w:cs="Calibri"/>
          <w:sz w:val="16"/>
        </w:rPr>
        <w:t xml:space="preserve"> In fact, chapter 1 claims our classical teachings demonstrate that </w:t>
      </w:r>
      <w:r w:rsidRPr="00F933AF">
        <w:rPr>
          <w:rStyle w:val="StyleUnderline"/>
          <w:rFonts w:cs="Calibri"/>
        </w:rPr>
        <w:t>normativity only persists rhetorically in myths where we embrace a common norm, mean, or ideal. From ancient stories</w:t>
      </w:r>
      <w:r w:rsidRPr="00F933AF">
        <w:rPr>
          <w:rFonts w:cs="Calibri"/>
          <w:sz w:val="16"/>
        </w:rPr>
        <w:t xml:space="preserve"> like Demosthenes overcoming his feminine style </w:t>
      </w:r>
      <w:r w:rsidRPr="00F933AF">
        <w:rPr>
          <w:rStyle w:val="StyleUnderline"/>
          <w:rFonts w:cs="Calibri"/>
        </w:rPr>
        <w:t>to</w:t>
      </w:r>
      <w:r w:rsidRPr="00F933AF">
        <w:rPr>
          <w:rFonts w:cs="Calibri"/>
          <w:sz w:val="16"/>
        </w:rPr>
        <w:t xml:space="preserve"> our </w:t>
      </w:r>
      <w:r w:rsidRPr="00F933AF">
        <w:rPr>
          <w:rStyle w:val="StyleUnderline"/>
          <w:rFonts w:cs="Calibri"/>
        </w:rPr>
        <w:t>modern medicalization of disability and difference, Dolmage argues that “rhetorical history—in this strange mixture of voices from antiquity and filters from our own time—does enforce bodily norms”</w:t>
      </w:r>
      <w:r w:rsidRPr="00F933AF">
        <w:rPr>
          <w:rFonts w:cs="Calibri"/>
          <w:sz w:val="16"/>
        </w:rPr>
        <w:t xml:space="preserve"> (29). The chapter archives various disability myths from multiple cultures that shape our understanding of disability and the body at large. </w:t>
      </w:r>
      <w:r w:rsidRPr="00F933AF">
        <w:rPr>
          <w:rStyle w:val="StyleUnderline"/>
          <w:rFonts w:cs="Calibri"/>
        </w:rPr>
        <w:t xml:space="preserve">Dolmage clearly charts these tropes so we as readers can see that “the pause, reflection, and reconsideration we might engender will themselves be critical and creative opportunities” </w:t>
      </w:r>
      <w:r w:rsidRPr="00F933AF">
        <w:rPr>
          <w:rFonts w:cs="Calibri"/>
          <w:sz w:val="16"/>
        </w:rPr>
        <w:t xml:space="preserve">(33). The second chapter then reframes the histories of disabled characters in ancient Greece, </w:t>
      </w:r>
      <w:r w:rsidRPr="00F933AF">
        <w:rPr>
          <w:rStyle w:val="StyleUnderline"/>
          <w:rFonts w:cs="Calibri"/>
        </w:rPr>
        <w:t>shift</w:t>
      </w:r>
      <w:r w:rsidRPr="00F933AF">
        <w:rPr>
          <w:rFonts w:cs="Calibri"/>
          <w:sz w:val="16"/>
        </w:rPr>
        <w:t xml:space="preserve">ing them </w:t>
      </w:r>
      <w:r w:rsidRPr="00F933AF">
        <w:rPr>
          <w:rStyle w:val="StyleUnderline"/>
          <w:rFonts w:cs="Calibri"/>
        </w:rPr>
        <w:t>from narratives that centralize normativity into histories that show unique rhetorical embodiments</w:t>
      </w:r>
      <w:r w:rsidRPr="00F933AF">
        <w:rPr>
          <w:rFonts w:cs="Calibri"/>
          <w:sz w:val="16"/>
        </w:rPr>
        <w:t xml:space="preserve">. For example, readers will understand that Tiresias’s blindness and/or sex change—both a kind of bodily difference and disability—are the very things that allow him the elite power of ornithomancy in the myth. </w:t>
      </w:r>
      <w:r w:rsidRPr="00F933AF">
        <w:rPr>
          <w:rStyle w:val="StyleUnderline"/>
          <w:rFonts w:cs="Calibri"/>
        </w:rPr>
        <w:t xml:space="preserve">In seeing disability as more than “stigma and disqualification” (63), we might “understand more fully the ways that normativity constrains our available means of persuasion” </w:t>
      </w:r>
      <w:r w:rsidRPr="00F933AF">
        <w:rPr>
          <w:rFonts w:cs="Calibri"/>
          <w:sz w:val="16"/>
        </w:rPr>
        <w:t xml:space="preserve">(92). Dolmage makes clear that </w:t>
      </w:r>
      <w:r w:rsidRPr="00F933AF">
        <w:rPr>
          <w:rStyle w:val="StyleUnderline"/>
          <w:rFonts w:cs="Calibri"/>
        </w:rPr>
        <w:t>the power to transform these myths begins with recontextualizing their powerful origins</w:t>
      </w:r>
      <w:r w:rsidRPr="00F933AF">
        <w:rPr>
          <w:rFonts w:cs="Calibri"/>
          <w:sz w:val="16"/>
        </w:rPr>
        <w:t xml:space="preserve">. Chapter 3 makes the important move to suggest that </w:t>
      </w:r>
      <w:r w:rsidRPr="00F933AF">
        <w:rPr>
          <w:rStyle w:val="StyleUnderline"/>
          <w:rFonts w:cs="Calibri"/>
        </w:rPr>
        <w:t>in reframing disability myths as testing our possibilities of communication, we can see that rhetoric itself is disabled. If disability stands in as an embodied model for responses to various non-normal situations, then rhetoric is the prosthesis that provides us with the imperfect means to respond. Rhetoric becomes the embodied extension of the self by which we navigate the imperfect process of meaning making.</w:t>
      </w:r>
      <w:r w:rsidRPr="00F933AF">
        <w:rPr>
          <w:rFonts w:cs="Calibri"/>
          <w:sz w:val="16"/>
        </w:rPr>
        <w:t xml:space="preserve"> This move, </w:t>
      </w:r>
      <w:r w:rsidRPr="00F933AF">
        <w:rPr>
          <w:rStyle w:val="StyleUnderline"/>
          <w:rFonts w:cs="Calibri"/>
        </w:rPr>
        <w:t>readers will</w:t>
      </w:r>
      <w:r w:rsidRPr="00F933AF">
        <w:rPr>
          <w:rFonts w:cs="Calibri"/>
          <w:sz w:val="16"/>
        </w:rPr>
        <w:t xml:space="preserve"> respect, “is an honest appraisal of the partiality and embodiment of communication” (124). The chapter </w:t>
      </w:r>
      <w:r w:rsidRPr="00F933AF">
        <w:rPr>
          <w:rStyle w:val="StyleUnderline"/>
          <w:rFonts w:cs="Calibri"/>
        </w:rPr>
        <w:t>then masterfully</w:t>
      </w:r>
      <w:r w:rsidRPr="00F933AF">
        <w:rPr>
          <w:rFonts w:cs="Calibri"/>
          <w:sz w:val="16"/>
        </w:rPr>
        <w:t xml:space="preserve"> shifts the disability myths highlighted in chapter 1 into an [End Page 767] extensive, but not exhaustive, collection of disability rhetorics used to </w:t>
      </w:r>
      <w:r w:rsidRPr="00F933AF">
        <w:rPr>
          <w:rStyle w:val="StyleUnderline"/>
          <w:rFonts w:cs="Calibri"/>
        </w:rPr>
        <w:t>imagine new ways of communicating. After constructing disability as a generative concept</w:t>
      </w:r>
      <w:r w:rsidRPr="00F933AF">
        <w:rPr>
          <w:rFonts w:cs="Calibri"/>
          <w:sz w:val="16"/>
        </w:rPr>
        <w:t xml:space="preserve">, chapter 4 </w:t>
      </w:r>
      <w:r w:rsidRPr="00F933AF">
        <w:rPr>
          <w:rStyle w:val="StyleUnderline"/>
          <w:rFonts w:cs="Calibri"/>
        </w:rPr>
        <w:t>return</w:t>
      </w:r>
      <w:r w:rsidRPr="00F933AF">
        <w:rPr>
          <w:rFonts w:cs="Calibri"/>
          <w:sz w:val="16"/>
        </w:rPr>
        <w:t xml:space="preserve">s </w:t>
      </w:r>
      <w:r w:rsidRPr="00F933AF">
        <w:rPr>
          <w:rStyle w:val="StyleUnderline"/>
          <w:rFonts w:cs="Calibri"/>
        </w:rPr>
        <w:t>to mētis, offered as the tool by which we practically employ these new disability rhetorics</w:t>
      </w:r>
      <w:r w:rsidRPr="00F933AF">
        <w:rPr>
          <w:rFonts w:cs="Calibri"/>
          <w:sz w:val="16"/>
        </w:rPr>
        <w:t xml:space="preserve">. Here we have Hephaestus, the Greek god of fire and metallurgy, whom we learn was actually celebrated for his disability because it granted him rare gifts of embodied intelligence. In some myths, his crooked feet allow for quicker lateral movement, and in other myths, his need for a wheelchair is the precise impetus for Hephaestus to develop such a skill for metallurgy. Layered and woven beautifully by Dolmage, Hephaestus’s various stories invite an interpretation where mētis is the rhetorical embodiment required for anyone to “adapt to and intervene in a world of change and chance” (150). </w:t>
      </w:r>
      <w:r w:rsidRPr="00F933AF">
        <w:rPr>
          <w:rStyle w:val="StyleUnderline"/>
          <w:rFonts w:cs="Calibri"/>
        </w:rPr>
        <w:t xml:space="preserve">With mētis firmly at the forefront, </w:t>
      </w:r>
      <w:r w:rsidRPr="00F933AF">
        <w:rPr>
          <w:rFonts w:cs="Calibri"/>
          <w:sz w:val="16"/>
        </w:rPr>
        <w:t xml:space="preserve">chapter 5 explores two </w:t>
      </w:r>
      <w:r w:rsidRPr="00F933AF">
        <w:rPr>
          <w:rStyle w:val="StyleUnderline"/>
          <w:rFonts w:cs="Calibri"/>
        </w:rPr>
        <w:t>critical steps</w:t>
      </w:r>
      <w:r w:rsidRPr="00F933AF">
        <w:rPr>
          <w:rFonts w:cs="Calibri"/>
          <w:sz w:val="16"/>
        </w:rPr>
        <w:t xml:space="preserve"> in Dolmage’s argument. First, it </w:t>
      </w:r>
      <w:r w:rsidRPr="00F933AF">
        <w:rPr>
          <w:rStyle w:val="StyleUnderline"/>
          <w:rFonts w:cs="Calibri"/>
        </w:rPr>
        <w:t>revisit</w:t>
      </w:r>
      <w:r w:rsidRPr="00F933AF">
        <w:rPr>
          <w:rFonts w:cs="Calibri"/>
          <w:sz w:val="16"/>
        </w:rPr>
        <w:t>s</w:t>
      </w:r>
      <w:r w:rsidRPr="00F933AF">
        <w:rPr>
          <w:rStyle w:val="StyleUnderline"/>
          <w:rFonts w:cs="Calibri"/>
        </w:rPr>
        <w:t xml:space="preserve"> the story of Metis, the Greek goddess who was eaten by Zeus for her cunning intelligence, as a way to demonstrate why rhetoric has perhaps suppressed mētis and the body</w:t>
      </w:r>
      <w:r w:rsidRPr="00F933AF">
        <w:rPr>
          <w:rFonts w:cs="Calibri"/>
          <w:sz w:val="16"/>
        </w:rPr>
        <w:t xml:space="preserve">. Second, it </w:t>
      </w:r>
      <w:r w:rsidRPr="00F933AF">
        <w:rPr>
          <w:rStyle w:val="StyleUnderline"/>
          <w:rFonts w:cs="Calibri"/>
        </w:rPr>
        <w:t>examine</w:t>
      </w:r>
      <w:r w:rsidRPr="00F933AF">
        <w:rPr>
          <w:rFonts w:cs="Calibri"/>
          <w:sz w:val="16"/>
        </w:rPr>
        <w:t xml:space="preserve">s </w:t>
      </w:r>
      <w:r w:rsidRPr="00F933AF">
        <w:rPr>
          <w:rStyle w:val="StyleUnderline"/>
          <w:rFonts w:cs="Calibri"/>
        </w:rPr>
        <w:t>Metis myths across various early civilizations and contemporary cultures to recover her legacy and invite both more inclusivity regarding bodies and more awareness of how discourses have limited them</w:t>
      </w:r>
      <w:r w:rsidRPr="00F933AF">
        <w:rPr>
          <w:rFonts w:cs="Calibri"/>
          <w:sz w:val="16"/>
        </w:rPr>
        <w:t xml:space="preserve">. Dolmage reminds us that </w:t>
      </w:r>
      <w:r w:rsidRPr="00F933AF">
        <w:rPr>
          <w:rStyle w:val="StyleUnderline"/>
          <w:rFonts w:cs="Calibri"/>
        </w:rPr>
        <w:t>what we have been told to fear we should instead embrace</w:t>
      </w:r>
      <w:r w:rsidRPr="00F933AF">
        <w:rPr>
          <w:rFonts w:cs="Calibri"/>
          <w:sz w:val="16"/>
        </w:rPr>
        <w:t xml:space="preserve">. He contends that </w:t>
      </w:r>
      <w:r w:rsidRPr="00F933AF">
        <w:rPr>
          <w:rStyle w:val="StyleUnderline"/>
          <w:rFonts w:cs="Calibri"/>
        </w:rPr>
        <w:t xml:space="preserve">rhetoric is “best metaphorized and dynamized not by the proportionate and perfect body, but by a range of bodies… using cunning rather than brute force to defeat a Titanic tradition that has channeled oppressive strength to delimit rhetorical possibility” </w:t>
      </w:r>
      <w:r w:rsidRPr="00F933AF">
        <w:rPr>
          <w:rFonts w:cs="Calibri"/>
          <w:sz w:val="16"/>
        </w:rPr>
        <w:t xml:space="preserve">(224). The final chapter applies mētis to The King’s Speech, a contemporary artifact fraught with criticisms concerned about the award-winning film’s prominent role in representing disability, to uncover the multiple ways it does just that. Besides Dolmage’s mastery for constructing inspirational prose within his academic work, readers will also appreciate how Disability Rhetoric attempts to </w:t>
      </w:r>
      <w:r w:rsidRPr="00F933AF">
        <w:rPr>
          <w:rStyle w:val="StyleUnderline"/>
          <w:rFonts w:cs="Calibri"/>
        </w:rPr>
        <w:t>do something bigger than just dispel myth. Using</w:t>
      </w:r>
      <w:r w:rsidRPr="00F933AF">
        <w:rPr>
          <w:rFonts w:cs="Calibri"/>
          <w:sz w:val="16"/>
        </w:rPr>
        <w:t xml:space="preserve"> his own </w:t>
      </w:r>
      <w:r w:rsidRPr="00F933AF">
        <w:rPr>
          <w:rStyle w:val="StyleUnderline"/>
          <w:rFonts w:cs="Calibri"/>
        </w:rPr>
        <w:t>cunning trickery,</w:t>
      </w:r>
      <w:r w:rsidRPr="00F933AF">
        <w:rPr>
          <w:rFonts w:cs="Calibri"/>
          <w:sz w:val="16"/>
        </w:rPr>
        <w:t xml:space="preserve"> Dolmage </w:t>
      </w:r>
      <w:r w:rsidRPr="00F933AF">
        <w:rPr>
          <w:rStyle w:val="StyleUnderline"/>
          <w:rFonts w:cs="Calibri"/>
        </w:rPr>
        <w:t>boldly rearticulate</w:t>
      </w:r>
      <w:r w:rsidRPr="00F933AF">
        <w:rPr>
          <w:rFonts w:cs="Calibri"/>
          <w:sz w:val="16"/>
        </w:rPr>
        <w:t xml:space="preserve">s </w:t>
      </w:r>
      <w:r w:rsidRPr="00F933AF">
        <w:rPr>
          <w:rStyle w:val="StyleUnderline"/>
          <w:rFonts w:cs="Calibri"/>
        </w:rPr>
        <w:t>disability not to accept and accommodate it but rather so we might see it as rhetoric itself</w:t>
      </w:r>
      <w:r w:rsidRPr="00F933AF">
        <w:rPr>
          <w:rFonts w:cs="Calibri"/>
          <w:sz w:val="16"/>
        </w:rPr>
        <w:t xml:space="preserve">. Disability Rhetoric feels like it has been a long time coming, stopping at the intersection of disability and rhetoric to speak with sustained tensions of both. </w:t>
      </w:r>
      <w:r w:rsidRPr="00F933AF">
        <w:rPr>
          <w:rStyle w:val="StyleUnderline"/>
          <w:rFonts w:cs="Calibri"/>
        </w:rPr>
        <w:t>Where is the line between able and disabled? What, when, or whom constitutes a rhetoric? In a world where perfect bodies and perfect responses are ephemeral and elusive constructs, perhaps the answer to both lies in our imperfect bodies always navigating imperfect situations.</w:t>
      </w:r>
    </w:p>
    <w:p w:rsidR="001902FF" w:rsidRDefault="001902FF" w:rsidP="001902FF">
      <w:pPr>
        <w:rPr>
          <w:rFonts w:cs="Calibri"/>
          <w:sz w:val="14"/>
        </w:rPr>
      </w:pPr>
    </w:p>
    <w:p w:rsidR="001902FF" w:rsidRPr="00F933AF" w:rsidRDefault="001902FF" w:rsidP="00E5343F">
      <w:pPr>
        <w:rPr>
          <w:rStyle w:val="Emphasis"/>
          <w:rFonts w:cs="Calibri"/>
        </w:rPr>
      </w:pPr>
    </w:p>
    <w:p w:rsidR="002B593D" w:rsidRDefault="002B593D" w:rsidP="00721D38">
      <w:pPr>
        <w:pStyle w:val="Heading2"/>
        <w:rPr>
          <w:rFonts w:cs="Calibri"/>
        </w:rPr>
      </w:pPr>
      <w:r>
        <w:rPr>
          <w:rFonts w:cs="Calibri"/>
        </w:rPr>
        <w:t>Answers</w:t>
      </w:r>
    </w:p>
    <w:p w:rsidR="002B593D" w:rsidRPr="002B593D" w:rsidRDefault="002B593D" w:rsidP="002B593D">
      <w:pPr>
        <w:pStyle w:val="Heading3"/>
      </w:pPr>
      <w:r>
        <w:t>Liberalism Bad</w:t>
      </w:r>
    </w:p>
    <w:p w:rsidR="002B593D" w:rsidRDefault="002B593D" w:rsidP="002B593D">
      <w:pPr>
        <w:pStyle w:val="Heading4"/>
      </w:pPr>
      <w:r>
        <w:t>Identity liberalism cedes politics to the alt right—diversity discourse alienates conservatives and absolves liberals of the consequences of ignoring Trump’s base</w:t>
      </w:r>
    </w:p>
    <w:p w:rsidR="002B593D" w:rsidRPr="00E51BF0" w:rsidRDefault="002B593D" w:rsidP="002B593D">
      <w:r>
        <w:rPr>
          <w:b/>
        </w:rPr>
        <w:t xml:space="preserve">Lilla 16 </w:t>
      </w:r>
      <w:r w:rsidRPr="00D56FC5">
        <w:rPr>
          <w:sz w:val="18"/>
          <w:szCs w:val="18"/>
        </w:rPr>
        <w:t xml:space="preserve">(Mark Lilla, Mark Lilla is a political scientist/journalist who is a professor of humanities at Columbia University, </w:t>
      </w:r>
      <w:proofErr w:type="gramStart"/>
      <w:r w:rsidRPr="00D56FC5">
        <w:rPr>
          <w:sz w:val="18"/>
          <w:szCs w:val="18"/>
        </w:rPr>
        <w:t>The</w:t>
      </w:r>
      <w:proofErr w:type="gramEnd"/>
      <w:r w:rsidRPr="00D56FC5">
        <w:rPr>
          <w:sz w:val="18"/>
          <w:szCs w:val="18"/>
        </w:rPr>
        <w:t xml:space="preserve"> New York Times, 11/18/16, “The End of Identity Liberalism,” http://marklilla.com/wp-content/uploads/2017/07/NYT-identity-liberalism.pdf)//jy</w:t>
      </w:r>
    </w:p>
    <w:p w:rsidR="00721D38" w:rsidRPr="001902FF" w:rsidRDefault="002B593D" w:rsidP="00E5343F">
      <w:pPr>
        <w:rPr>
          <w:sz w:val="12"/>
        </w:rPr>
      </w:pPr>
      <w:r w:rsidRPr="00F11F60">
        <w:rPr>
          <w:u w:val="single"/>
        </w:rPr>
        <w:t xml:space="preserve">It is a truism that America has become a more diverse country. </w:t>
      </w:r>
      <w:r w:rsidRPr="00700191">
        <w:rPr>
          <w:sz w:val="12"/>
        </w:rPr>
        <w:t xml:space="preserve">It is also a beautiful thing to watch. Visitors from other countries, particularly those having trouble incorporating different ethnic groups and faiths, are amazed that we manage to pull it off. Not perfectly, of course, but certainly better than any European or Asian nation today. It’s an extraordinary success story. </w:t>
      </w:r>
      <w:r w:rsidRPr="00F11F60">
        <w:rPr>
          <w:u w:val="single"/>
        </w:rPr>
        <w:t>But how should this diversity shape our politics? The standard liberal answer</w:t>
      </w:r>
      <w:r w:rsidRPr="00700191">
        <w:rPr>
          <w:sz w:val="12"/>
        </w:rPr>
        <w:t xml:space="preserve"> for nearly a generation now </w:t>
      </w:r>
      <w:r w:rsidRPr="00F11F60">
        <w:rPr>
          <w:u w:val="single"/>
        </w:rPr>
        <w:t>has been that we should become aware of and “celebrate” our differences. Which is a splendid principle of moral pedagogy — but disastrous as a foundation for democratic politics in our ideological age</w:t>
      </w:r>
      <w:r w:rsidRPr="00700191">
        <w:rPr>
          <w:sz w:val="12"/>
        </w:rPr>
        <w:t xml:space="preserve">. In recent years </w:t>
      </w:r>
      <w:r w:rsidRPr="00F11F60">
        <w:rPr>
          <w:u w:val="single"/>
        </w:rPr>
        <w:t>American liberalism has slipped into a kind of moral panic about racial, gender and sexual identity that has distorted liberalism’s message and prevented it from becoming a unifying force capable of governing.</w:t>
      </w:r>
      <w:r w:rsidRPr="00700191">
        <w:rPr>
          <w:sz w:val="12"/>
        </w:rPr>
        <w:t xml:space="preserve"> One of the many lessons of the recent presidential election campaign and its repugnant outcome is that the age of identity liberalism must be brought to an end. </w:t>
      </w:r>
      <w:r w:rsidRPr="00F11F60">
        <w:rPr>
          <w:u w:val="single"/>
        </w:rPr>
        <w:t>Hillary Clinton was at her best</w:t>
      </w:r>
      <w:r w:rsidRPr="00700191">
        <w:rPr>
          <w:sz w:val="12"/>
        </w:rPr>
        <w:t xml:space="preserve"> and most uplifting </w:t>
      </w:r>
      <w:r w:rsidRPr="00F11F60">
        <w:rPr>
          <w:u w:val="single"/>
        </w:rPr>
        <w:t xml:space="preserve">when she spoke about American interests in world affairs and how they relate to our understanding of democracy. But </w:t>
      </w:r>
      <w:r w:rsidRPr="00700191">
        <w:rPr>
          <w:sz w:val="12"/>
        </w:rPr>
        <w:t xml:space="preserve">when it came to life at home, </w:t>
      </w:r>
      <w:r w:rsidRPr="00F11F60">
        <w:rPr>
          <w:u w:val="single"/>
        </w:rPr>
        <w:t>she tended</w:t>
      </w:r>
      <w:r w:rsidRPr="00700191">
        <w:rPr>
          <w:sz w:val="12"/>
        </w:rPr>
        <w:t xml:space="preserve"> on the campaign trail </w:t>
      </w:r>
      <w:r w:rsidRPr="00F11F60">
        <w:rPr>
          <w:u w:val="single"/>
        </w:rPr>
        <w:t>to lose that large vision and slip into the rhetoric of diversity</w:t>
      </w:r>
      <w:r w:rsidRPr="00700191">
        <w:rPr>
          <w:sz w:val="12"/>
        </w:rPr>
        <w:t xml:space="preserve">, calling out explicitly to African American, Latino, L.G.B.T. and women voters at every stop. </w:t>
      </w:r>
      <w:r w:rsidRPr="00F11F60">
        <w:rPr>
          <w:u w:val="single"/>
        </w:rPr>
        <w:t>This was a strategic mistake. If you are going to mention groups in America, you had better mention all of them. If you don’t, those left out will notice and feel excluded. Which,</w:t>
      </w:r>
      <w:r w:rsidRPr="00700191">
        <w:rPr>
          <w:sz w:val="12"/>
        </w:rPr>
        <w:t xml:space="preserve"> as the data show</w:t>
      </w:r>
      <w:r w:rsidRPr="00F11F60">
        <w:rPr>
          <w:u w:val="single"/>
        </w:rPr>
        <w:t>, was exactly what happened with the white working class and those with strong religious convictions</w:t>
      </w:r>
      <w:r w:rsidRPr="00700191">
        <w:rPr>
          <w:sz w:val="12"/>
        </w:rPr>
        <w:t xml:space="preserve">. Fully </w:t>
      </w:r>
      <w:r w:rsidRPr="00F11F60">
        <w:rPr>
          <w:u w:val="single"/>
        </w:rPr>
        <w:t>two-thirds of white voters without college degrees voted for</w:t>
      </w:r>
      <w:r w:rsidRPr="00700191">
        <w:rPr>
          <w:sz w:val="12"/>
        </w:rPr>
        <w:t xml:space="preserve"> Donald </w:t>
      </w:r>
      <w:r w:rsidRPr="00F11F60">
        <w:rPr>
          <w:u w:val="single"/>
        </w:rPr>
        <w:t xml:space="preserve">Trump, as did over 80 percent of white evangelicals. </w:t>
      </w:r>
      <w:r w:rsidRPr="00E254FF">
        <w:rPr>
          <w:u w:val="single"/>
        </w:rPr>
        <w:t>The moral energy surrounding identity has, of course, had many good effects.</w:t>
      </w:r>
      <w:r w:rsidRPr="00700191">
        <w:rPr>
          <w:sz w:val="12"/>
        </w:rPr>
        <w:t xml:space="preserve"> Affirmative action has reshaped and improved corporate life. Black Lives Matter has delivered a wake-up call to every American with a conscience. Hollywood’s efforts to normalize homosexuality in our popular culture helped to normalize it in American families and public life. </w:t>
      </w:r>
      <w:r w:rsidRPr="00E254FF">
        <w:rPr>
          <w:u w:val="single"/>
        </w:rPr>
        <w:t>But the fixation on diversity</w:t>
      </w:r>
      <w:r w:rsidRPr="00700191">
        <w:rPr>
          <w:sz w:val="12"/>
        </w:rPr>
        <w:t xml:space="preserve"> in our schools and </w:t>
      </w:r>
      <w:r w:rsidRPr="00E254FF">
        <w:rPr>
          <w:u w:val="single"/>
        </w:rPr>
        <w:t>in the press has produced a generation of liberals and progressives narcissistically unaware of conditions outside their self-defined groups, and indifferent to the task of reaching out to Americans in every walk of life.</w:t>
      </w:r>
      <w:r w:rsidRPr="00700191">
        <w:rPr>
          <w:sz w:val="12"/>
        </w:rPr>
        <w:t xml:space="preserve"> At a very young age our children are being encouraged to talk about their individual identities, even before they have them. By the time they reach college many assume that </w:t>
      </w:r>
      <w:r w:rsidRPr="00E254FF">
        <w:rPr>
          <w:u w:val="single"/>
        </w:rPr>
        <w:t>diversity discourse exhausts political discourse, and have shockingly little to say about such perennial questions as class, war, the economy and the common good.</w:t>
      </w:r>
      <w:r w:rsidRPr="00700191">
        <w:rPr>
          <w:sz w:val="12"/>
        </w:rPr>
        <w:t xml:space="preserve"> In large part this is because of high school history </w:t>
      </w:r>
      <w:r w:rsidRPr="00AD70B4">
        <w:rPr>
          <w:u w:val="single"/>
        </w:rPr>
        <w:t>curriculums,</w:t>
      </w:r>
      <w:r w:rsidRPr="00700191">
        <w:rPr>
          <w:sz w:val="12"/>
        </w:rPr>
        <w:t xml:space="preserve"> which </w:t>
      </w:r>
      <w:r w:rsidRPr="00AD70B4">
        <w:rPr>
          <w:u w:val="single"/>
        </w:rPr>
        <w:t xml:space="preserve">anachronistically project the identity politics of today back onto the past, creating a distorted picture of the major forces and individuals that shaped our country. </w:t>
      </w:r>
      <w:r w:rsidRPr="00700191">
        <w:rPr>
          <w:sz w:val="12"/>
        </w:rPr>
        <w:t xml:space="preserve">(The achievements of women’s rights movements, for instance, were real and important, but you cannot understand them if you do not first understand the founding fathers’ achievement in establishing a system of government based on the guarantee of rights.) When young people arrive at college they are encouraged to keep this focus on themselves by student groups, faculty members and also administrators whose full-time job is to deal with — and heighten the significance of — “diversity issues.” Fox News and other </w:t>
      </w:r>
      <w:r w:rsidRPr="00E215EA">
        <w:rPr>
          <w:u w:val="single"/>
        </w:rPr>
        <w:t>conservative media outlets make great sport of mocking the “campus craziness”</w:t>
      </w:r>
      <w:r w:rsidRPr="00700191">
        <w:rPr>
          <w:sz w:val="12"/>
        </w:rPr>
        <w:t xml:space="preserve"> that surrounds such issues, and more often than not they are right to. </w:t>
      </w:r>
      <w:r w:rsidRPr="00E215EA">
        <w:rPr>
          <w:u w:val="single"/>
        </w:rPr>
        <w:t>Which only plays into the hands of populist demagogues who want to delegitimize learning in the eyes of those who have never set foot on a campus.</w:t>
      </w:r>
      <w:r w:rsidRPr="00700191">
        <w:rPr>
          <w:sz w:val="12"/>
        </w:rPr>
        <w:t xml:space="preserve"> How to explain to the average voter the supposed moral urgency of giving college students the right to choose the designated gender pronouns to be used when addressing them? How not to laugh along with those voters at the story of a University of Michigan prankster who wrote in “His Majesty”? This campus-diversity consciousness has over the years filtered into the liberal media, and not subtly. </w:t>
      </w:r>
      <w:r w:rsidRPr="00E215EA">
        <w:rPr>
          <w:u w:val="single"/>
        </w:rPr>
        <w:t>Affirmative action for women and minorities at America’s newspapers and broadcasters has been an extraordinary social achievement</w:t>
      </w:r>
      <w:r w:rsidRPr="00700191">
        <w:rPr>
          <w:sz w:val="12"/>
        </w:rPr>
        <w:t xml:space="preserve"> — and has even changed, quite literally, the face of right-wing media, as journalists like Megyn Kelly and Laura Ingraham have gained prominence. </w:t>
      </w:r>
      <w:r w:rsidRPr="00E215EA">
        <w:rPr>
          <w:u w:val="single"/>
        </w:rPr>
        <w:t>But it also appears to have encouraged the assumption, especially among younger journalists and editors, that simply by focusing on identity they have done their jobs</w:t>
      </w:r>
      <w:r w:rsidRPr="00700191">
        <w:rPr>
          <w:sz w:val="12"/>
        </w:rPr>
        <w:t xml:space="preserve">. Recently I performed a little experiment during a sabbatical in France: For a full year I read only European publications, not American ones. My thought was to try seeing the world as European readers did. But it was far more instructive to return home and realize how the lens of identity has transformed American reporting in recent years. How often, for example, the laziest story in American journalism — about the “first X to do Y” — is told and retold. </w:t>
      </w:r>
      <w:r w:rsidRPr="00E215EA">
        <w:rPr>
          <w:u w:val="single"/>
        </w:rPr>
        <w:t>Fascination with the identity drama has even affected foreign reporting</w:t>
      </w:r>
      <w:r w:rsidRPr="00700191">
        <w:rPr>
          <w:sz w:val="12"/>
        </w:rPr>
        <w:t xml:space="preserve">, which is in distressingly short supply. However interesting it may be to read, say, about the fate of transgender people in Egypt, it contributes nothing to educating Americans about the powerful political and religious currents that will determine Egypt’s future, and indirectly, our own. No major news outlet in Europe would think of adopting such a focus. </w:t>
      </w:r>
      <w:r w:rsidRPr="00E215EA">
        <w:rPr>
          <w:u w:val="single"/>
        </w:rPr>
        <w:t>But it is at the level of electoral politics that identity liberalism has failed most spectacularly</w:t>
      </w:r>
      <w:r w:rsidRPr="00700191">
        <w:rPr>
          <w:sz w:val="12"/>
        </w:rPr>
        <w:t xml:space="preserve">, as we have just seen. </w:t>
      </w:r>
      <w:r w:rsidRPr="00E215EA">
        <w:rPr>
          <w:u w:val="single"/>
        </w:rPr>
        <w:t>National politics in healthy periods is not about “difference,” it is about commonality</w:t>
      </w:r>
      <w:r w:rsidRPr="00700191">
        <w:rPr>
          <w:sz w:val="12"/>
        </w:rPr>
        <w:t>. And it will be dominated by whoever best captures Americans’ imaginations about our shared destiny. Ronald Reagan did that very skillfully, whatever one may think of his vision. So did Bill Clinton, who took a page from Reagan’s playbook. He seized the Democratic Party away from its identity-conscious wing, concentrated his energies on domestic programs that would benefit everyone (like national health insurance) and defined America’s role in the post-1989 world. By remaining in office for two terms, he was then able to accomplish much for different groups in the Democratic coalition</w:t>
      </w:r>
      <w:r w:rsidRPr="00E215EA">
        <w:rPr>
          <w:u w:val="single"/>
        </w:rPr>
        <w:t>. Identity politics</w:t>
      </w:r>
      <w:r w:rsidRPr="00700191">
        <w:rPr>
          <w:sz w:val="12"/>
        </w:rPr>
        <w:t xml:space="preserve">, by contrast, </w:t>
      </w:r>
      <w:r w:rsidRPr="00E215EA">
        <w:rPr>
          <w:u w:val="single"/>
        </w:rPr>
        <w:t>is largely expressive, not persuasive. Which is why it never wins elections — but can lose them</w:t>
      </w:r>
      <w:r w:rsidRPr="00700191">
        <w:rPr>
          <w:sz w:val="12"/>
        </w:rPr>
        <w:t xml:space="preserve">. The media’s newfound, almost anthropological, interest in the angry white male reveals as much about the state of our liberalism as it does about this much maligned, and previously ignored, figure. </w:t>
      </w:r>
      <w:r w:rsidRPr="005404C8">
        <w:rPr>
          <w:u w:val="single"/>
        </w:rPr>
        <w:t>A convenient liberal interpretation of the</w:t>
      </w:r>
      <w:r w:rsidRPr="00700191">
        <w:rPr>
          <w:sz w:val="12"/>
        </w:rPr>
        <w:t xml:space="preserve"> </w:t>
      </w:r>
      <w:r w:rsidRPr="005404C8">
        <w:rPr>
          <w:u w:val="single"/>
        </w:rPr>
        <w:t>recent presidential election would have it that</w:t>
      </w:r>
      <w:r w:rsidRPr="00700191">
        <w:rPr>
          <w:sz w:val="12"/>
        </w:rPr>
        <w:t xml:space="preserve"> Mr. </w:t>
      </w:r>
      <w:r w:rsidRPr="005404C8">
        <w:rPr>
          <w:u w:val="single"/>
        </w:rPr>
        <w:t xml:space="preserve">Trump won </w:t>
      </w:r>
      <w:r w:rsidRPr="00700191">
        <w:rPr>
          <w:sz w:val="12"/>
        </w:rPr>
        <w:t xml:space="preserve">in large part </w:t>
      </w:r>
      <w:r w:rsidRPr="005404C8">
        <w:rPr>
          <w:u w:val="single"/>
        </w:rPr>
        <w:t xml:space="preserve">because he managed to transform economic disadvantage into racial rage </w:t>
      </w:r>
      <w:r w:rsidRPr="00700191">
        <w:rPr>
          <w:sz w:val="12"/>
        </w:rPr>
        <w:t xml:space="preserve">— the “whitelash” thesis. </w:t>
      </w:r>
      <w:r w:rsidRPr="005404C8">
        <w:rPr>
          <w:u w:val="single"/>
        </w:rPr>
        <w:t>This</w:t>
      </w:r>
      <w:r w:rsidRPr="00700191">
        <w:rPr>
          <w:sz w:val="12"/>
        </w:rPr>
        <w:t xml:space="preserve"> is convenient because it sanctions a conviction of moral superiority and </w:t>
      </w:r>
      <w:r w:rsidRPr="005404C8">
        <w:rPr>
          <w:u w:val="single"/>
        </w:rPr>
        <w:t>allows liberals to ignore what those voters said were their overriding concerns. It also encourages the fantasy that the Republican right is doomed to demographic extinction in the long run</w:t>
      </w:r>
      <w:r w:rsidRPr="00700191">
        <w:rPr>
          <w:sz w:val="12"/>
        </w:rPr>
        <w:t xml:space="preserve"> — which means liberals have only to wait for the country to fall into their laps. The surprisingly high percentage of the Latino vote that went to Mr. Trump should remind us that the longer ethnic groups are here in this country, the more politically diverse they become. Finally, the whitelash thesis is convenient because </w:t>
      </w:r>
      <w:r w:rsidRPr="005404C8">
        <w:rPr>
          <w:u w:val="single"/>
        </w:rPr>
        <w:t>it absolves liberals of not recognizing how their own obsession with diversity has encouraged white, rural, religious Americans to think of themselves as a disadvantaged group whose identity is being threatened or ignored</w:t>
      </w:r>
      <w:r w:rsidRPr="00700191">
        <w:rPr>
          <w:sz w:val="12"/>
        </w:rPr>
        <w:t xml:space="preserve">. Such people are not actually reacting against the reality of our diverse America (they tend, after all, to live in homogeneous areas of the country). But </w:t>
      </w:r>
      <w:r w:rsidRPr="00700191">
        <w:rPr>
          <w:u w:val="single"/>
        </w:rPr>
        <w:t>they are reacting against the omnipresent rhetoric of identity, which is what they mean by “political correctness</w:t>
      </w:r>
      <w:r w:rsidRPr="00700191">
        <w:rPr>
          <w:sz w:val="12"/>
        </w:rPr>
        <w:t xml:space="preserve">.” Liberals should bear in mind that the first identity movement in American politics was the Ku Klux Klan, which still exists. Those who play the identity game should be prepared to lose it. </w:t>
      </w:r>
      <w:r w:rsidRPr="00700191">
        <w:rPr>
          <w:u w:val="single"/>
        </w:rPr>
        <w:t>We need a post-identity liberalism, and it should draw from the past successes of pre-identity liberalism. Such a liberalism would concentrate on widening its base by appealing to Americans as Americans and emphasizing the issues that affect a vast majority of them</w:t>
      </w:r>
      <w:r w:rsidRPr="00700191">
        <w:rPr>
          <w:sz w:val="12"/>
        </w:rPr>
        <w:t xml:space="preserve">. It would speak to the nation as a nation of citizens who are in this together and must help one another. As for narrower issues that are highly charged symbolically and can drive potential allies away, especially those touching on sexuality and religion, </w:t>
      </w:r>
      <w:r w:rsidRPr="00700191">
        <w:rPr>
          <w:u w:val="single"/>
        </w:rPr>
        <w:t>such a liberalism would work quietly, sensitively and with a proper sense of scale.</w:t>
      </w:r>
      <w:r w:rsidRPr="00700191">
        <w:rPr>
          <w:sz w:val="12"/>
        </w:rPr>
        <w:t xml:space="preserve"> (To paraphrase Bernie Sanders, America is sick and tired of hearing about liberals’ damn bathrooms.) Teachers committed to such a liberalism would refocus attention on their main political responsibility in a democracy: to form committed citizens aware of their system of government and the major forces and events in our history. </w:t>
      </w:r>
      <w:r w:rsidRPr="00700191">
        <w:rPr>
          <w:u w:val="single"/>
        </w:rPr>
        <w:t>A postidentity liberalism would also emphasize that democracy is not only about rights; it also confers duties on its citizens, such as the duties to keep informed and vote</w:t>
      </w:r>
      <w:r w:rsidRPr="00700191">
        <w:rPr>
          <w:sz w:val="12"/>
        </w:rPr>
        <w:t xml:space="preserve">. A post-identity liberal press would begin educating itself about parts of the country that have been ignored, and about what matters there, especially religion. </w:t>
      </w:r>
      <w:r w:rsidRPr="00700191">
        <w:rPr>
          <w:u w:val="single"/>
        </w:rPr>
        <w:t>And it would take seriously its responsibility to educate Americans about the major forces shaping world politics, especially their historical dimension.</w:t>
      </w:r>
      <w:r w:rsidRPr="00700191">
        <w:rPr>
          <w:sz w:val="12"/>
        </w:rPr>
        <w:t xml:space="preserve"> Some years ago I was invited to a union convention in Florida to speak on a panel about Franklin D. Roosevelt’s famous Four Freedoms speech of 1941. The hall was full of representatives from local chapters — men, women, blacks, whites, Latinos. We began by singing the national anthem, and then sat down to listen to a recording of Roosevelt’s speech. As I looked out into the crowd, and saw the array of different faces, I was struck by how focused they were on what they shared. And listening to Roosevelt’s stirring voice as he invoked the freedom of speech, the freedom of worship, the freedom from want and the freedom from fear — freedoms that Roosevelt demanded for “everyone in the world” — I was reminded of what the real foundations of modern American liberalism are</w:t>
      </w:r>
      <w:r w:rsidR="001902FF">
        <w:rPr>
          <w:sz w:val="12"/>
        </w:rPr>
        <w:t xml:space="preserve">. </w:t>
      </w:r>
    </w:p>
    <w:sectPr w:rsidR="00721D38" w:rsidRPr="001902F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altName w:val="Arial"/>
    <w:panose1 w:val="020B0604020202020204"/>
    <w:charset w:val="00"/>
    <w:family w:val="swiss"/>
    <w:pitch w:val="variable"/>
    <w:sig w:usb0="E0002EFF" w:usb1="C000785B" w:usb2="00000009" w:usb3="00000000" w:csb0="000001FF" w:csb1="00000000"/>
  </w:font>
  <w:font w:name="ff6">
    <w:altName w:val="Cambria"/>
    <w:panose1 w:val="00000000000000000000"/>
    <w:charset w:val="00"/>
    <w:family w:val="roman"/>
    <w:notTrueType/>
    <w:pitch w:val="default"/>
  </w:font>
  <w:font w:name="ff2">
    <w:altName w:val="Cambria"/>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79707F9"/>
    <w:multiLevelType w:val="hybridMultilevel"/>
    <w:tmpl w:val="BC1AD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BD6389"/>
    <w:multiLevelType w:val="multilevel"/>
    <w:tmpl w:val="7BF0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5343F"/>
    <w:rsid w:val="000029E3"/>
    <w:rsid w:val="000029E8"/>
    <w:rsid w:val="00004225"/>
    <w:rsid w:val="000066CA"/>
    <w:rsid w:val="00007264"/>
    <w:rsid w:val="000076A9"/>
    <w:rsid w:val="000125FB"/>
    <w:rsid w:val="00014AD0"/>
    <w:rsid w:val="00014FAD"/>
    <w:rsid w:val="00015D2A"/>
    <w:rsid w:val="000213B7"/>
    <w:rsid w:val="0002490B"/>
    <w:rsid w:val="00026465"/>
    <w:rsid w:val="00030204"/>
    <w:rsid w:val="000312A0"/>
    <w:rsid w:val="00031842"/>
    <w:rsid w:val="00035337"/>
    <w:rsid w:val="00035F66"/>
    <w:rsid w:val="00047C99"/>
    <w:rsid w:val="00052FB1"/>
    <w:rsid w:val="00054276"/>
    <w:rsid w:val="000547B1"/>
    <w:rsid w:val="00057119"/>
    <w:rsid w:val="0006091E"/>
    <w:rsid w:val="000638C1"/>
    <w:rsid w:val="00065FEE"/>
    <w:rsid w:val="000664A0"/>
    <w:rsid w:val="00071322"/>
    <w:rsid w:val="00072718"/>
    <w:rsid w:val="0007381E"/>
    <w:rsid w:val="000761DC"/>
    <w:rsid w:val="0008785F"/>
    <w:rsid w:val="00090CBE"/>
    <w:rsid w:val="000A2D8A"/>
    <w:rsid w:val="000D26A6"/>
    <w:rsid w:val="000D2B90"/>
    <w:rsid w:val="000D6B43"/>
    <w:rsid w:val="000D6ED8"/>
    <w:rsid w:val="000D6FF9"/>
    <w:rsid w:val="000D717B"/>
    <w:rsid w:val="00100B28"/>
    <w:rsid w:val="00115442"/>
    <w:rsid w:val="00117316"/>
    <w:rsid w:val="001209B4"/>
    <w:rsid w:val="00125A1B"/>
    <w:rsid w:val="001348C9"/>
    <w:rsid w:val="00136FF6"/>
    <w:rsid w:val="00155A7D"/>
    <w:rsid w:val="001741FE"/>
    <w:rsid w:val="001761FC"/>
    <w:rsid w:val="00182655"/>
    <w:rsid w:val="00183BF2"/>
    <w:rsid w:val="001840F2"/>
    <w:rsid w:val="00185134"/>
    <w:rsid w:val="001856C6"/>
    <w:rsid w:val="001902FF"/>
    <w:rsid w:val="00191B5F"/>
    <w:rsid w:val="00192487"/>
    <w:rsid w:val="0019267D"/>
    <w:rsid w:val="001931F4"/>
    <w:rsid w:val="0019668D"/>
    <w:rsid w:val="001A25FD"/>
    <w:rsid w:val="001A5371"/>
    <w:rsid w:val="001A72C7"/>
    <w:rsid w:val="001B0167"/>
    <w:rsid w:val="001B73E3"/>
    <w:rsid w:val="001C316D"/>
    <w:rsid w:val="001D0992"/>
    <w:rsid w:val="001D1A0D"/>
    <w:rsid w:val="001D36BF"/>
    <w:rsid w:val="001D4C28"/>
    <w:rsid w:val="001E0B1F"/>
    <w:rsid w:val="001E1E0B"/>
    <w:rsid w:val="001F1173"/>
    <w:rsid w:val="001F1F1E"/>
    <w:rsid w:val="001F30DE"/>
    <w:rsid w:val="002005A8"/>
    <w:rsid w:val="00203DD8"/>
    <w:rsid w:val="00204E1D"/>
    <w:rsid w:val="002059BD"/>
    <w:rsid w:val="00210FAF"/>
    <w:rsid w:val="002168F2"/>
    <w:rsid w:val="0022589F"/>
    <w:rsid w:val="002343FE"/>
    <w:rsid w:val="00246905"/>
    <w:rsid w:val="002502CF"/>
    <w:rsid w:val="0025410F"/>
    <w:rsid w:val="00255725"/>
    <w:rsid w:val="002635B9"/>
    <w:rsid w:val="00266AB6"/>
    <w:rsid w:val="00267EBB"/>
    <w:rsid w:val="0027023B"/>
    <w:rsid w:val="00274BF6"/>
    <w:rsid w:val="00274EDB"/>
    <w:rsid w:val="0027729E"/>
    <w:rsid w:val="00284ED6"/>
    <w:rsid w:val="0028514E"/>
    <w:rsid w:val="00290C5A"/>
    <w:rsid w:val="00292949"/>
    <w:rsid w:val="0029647A"/>
    <w:rsid w:val="00296504"/>
    <w:rsid w:val="002B3A0E"/>
    <w:rsid w:val="002B5511"/>
    <w:rsid w:val="002B593D"/>
    <w:rsid w:val="002B7ACF"/>
    <w:rsid w:val="002D1EEF"/>
    <w:rsid w:val="002E0643"/>
    <w:rsid w:val="002E392E"/>
    <w:rsid w:val="002E6BBC"/>
    <w:rsid w:val="002F1BA9"/>
    <w:rsid w:val="002F5211"/>
    <w:rsid w:val="002F6E74"/>
    <w:rsid w:val="003067F6"/>
    <w:rsid w:val="003106B3"/>
    <w:rsid w:val="0031385D"/>
    <w:rsid w:val="00315428"/>
    <w:rsid w:val="003223B2"/>
    <w:rsid w:val="00322A67"/>
    <w:rsid w:val="00330101"/>
    <w:rsid w:val="00330E13"/>
    <w:rsid w:val="00332B1F"/>
    <w:rsid w:val="00335A23"/>
    <w:rsid w:val="00340585"/>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B3CFE"/>
    <w:rsid w:val="003C5F4C"/>
    <w:rsid w:val="003C6EA2"/>
    <w:rsid w:val="003D49E5"/>
    <w:rsid w:val="003D5EA8"/>
    <w:rsid w:val="003D6357"/>
    <w:rsid w:val="003E305E"/>
    <w:rsid w:val="003E34DB"/>
    <w:rsid w:val="003E5302"/>
    <w:rsid w:val="003E5BF1"/>
    <w:rsid w:val="003F0AB2"/>
    <w:rsid w:val="003F2452"/>
    <w:rsid w:val="003F41EA"/>
    <w:rsid w:val="003F7DF0"/>
    <w:rsid w:val="004039AF"/>
    <w:rsid w:val="00407AFF"/>
    <w:rsid w:val="0041155D"/>
    <w:rsid w:val="004170BF"/>
    <w:rsid w:val="004250A7"/>
    <w:rsid w:val="004270E3"/>
    <w:rsid w:val="004348DC"/>
    <w:rsid w:val="00434921"/>
    <w:rsid w:val="00442018"/>
    <w:rsid w:val="00447B10"/>
    <w:rsid w:val="00452EE4"/>
    <w:rsid w:val="004536D6"/>
    <w:rsid w:val="00457224"/>
    <w:rsid w:val="0045745F"/>
    <w:rsid w:val="0046205A"/>
    <w:rsid w:val="004675AB"/>
    <w:rsid w:val="00467FC6"/>
    <w:rsid w:val="0048047E"/>
    <w:rsid w:val="00482AF9"/>
    <w:rsid w:val="00495F48"/>
    <w:rsid w:val="004B37B4"/>
    <w:rsid w:val="004B52BF"/>
    <w:rsid w:val="004B58F1"/>
    <w:rsid w:val="004C0314"/>
    <w:rsid w:val="004C0D3D"/>
    <w:rsid w:val="004C213E"/>
    <w:rsid w:val="004C376C"/>
    <w:rsid w:val="004C657F"/>
    <w:rsid w:val="004C79C6"/>
    <w:rsid w:val="004D04CA"/>
    <w:rsid w:val="004D17D8"/>
    <w:rsid w:val="004D4BE7"/>
    <w:rsid w:val="004E355B"/>
    <w:rsid w:val="005028E5"/>
    <w:rsid w:val="00503735"/>
    <w:rsid w:val="00511A02"/>
    <w:rsid w:val="005224F2"/>
    <w:rsid w:val="00524258"/>
    <w:rsid w:val="00526EAD"/>
    <w:rsid w:val="00536D8B"/>
    <w:rsid w:val="005379C3"/>
    <w:rsid w:val="005519C2"/>
    <w:rsid w:val="005523E0"/>
    <w:rsid w:val="0055320F"/>
    <w:rsid w:val="0055699B"/>
    <w:rsid w:val="00563D3D"/>
    <w:rsid w:val="005659AA"/>
    <w:rsid w:val="005676E8"/>
    <w:rsid w:val="00574091"/>
    <w:rsid w:val="00581048"/>
    <w:rsid w:val="00581203"/>
    <w:rsid w:val="005823B6"/>
    <w:rsid w:val="0058349C"/>
    <w:rsid w:val="00585FBE"/>
    <w:rsid w:val="005870E8"/>
    <w:rsid w:val="005A4D4E"/>
    <w:rsid w:val="005A7237"/>
    <w:rsid w:val="005B1B2B"/>
    <w:rsid w:val="005B21FA"/>
    <w:rsid w:val="005B3244"/>
    <w:rsid w:val="005B6EE8"/>
    <w:rsid w:val="005B7731"/>
    <w:rsid w:val="005C4515"/>
    <w:rsid w:val="005C5602"/>
    <w:rsid w:val="005C74A6"/>
    <w:rsid w:val="005D1E16"/>
    <w:rsid w:val="005D3B4D"/>
    <w:rsid w:val="005D4AED"/>
    <w:rsid w:val="005D615C"/>
    <w:rsid w:val="005E1860"/>
    <w:rsid w:val="005F063B"/>
    <w:rsid w:val="005F192D"/>
    <w:rsid w:val="005F24C8"/>
    <w:rsid w:val="005F26AF"/>
    <w:rsid w:val="00601294"/>
    <w:rsid w:val="0061383D"/>
    <w:rsid w:val="00614D69"/>
    <w:rsid w:val="00617030"/>
    <w:rsid w:val="00621301"/>
    <w:rsid w:val="0062173F"/>
    <w:rsid w:val="006235FB"/>
    <w:rsid w:val="00626A15"/>
    <w:rsid w:val="00631F6A"/>
    <w:rsid w:val="006438CB"/>
    <w:rsid w:val="006529B9"/>
    <w:rsid w:val="00654695"/>
    <w:rsid w:val="00654D92"/>
    <w:rsid w:val="0065500A"/>
    <w:rsid w:val="00655217"/>
    <w:rsid w:val="0065727C"/>
    <w:rsid w:val="0067262B"/>
    <w:rsid w:val="00674A78"/>
    <w:rsid w:val="00675770"/>
    <w:rsid w:val="006804BB"/>
    <w:rsid w:val="00696A16"/>
    <w:rsid w:val="00696B3D"/>
    <w:rsid w:val="006A4840"/>
    <w:rsid w:val="006A7E1D"/>
    <w:rsid w:val="006C3A56"/>
    <w:rsid w:val="006D13F4"/>
    <w:rsid w:val="006D59F7"/>
    <w:rsid w:val="006D6AED"/>
    <w:rsid w:val="006E4271"/>
    <w:rsid w:val="006E6D0B"/>
    <w:rsid w:val="006F126E"/>
    <w:rsid w:val="006F3834"/>
    <w:rsid w:val="006F5693"/>
    <w:rsid w:val="006F6EF3"/>
    <w:rsid w:val="00717499"/>
    <w:rsid w:val="00717B01"/>
    <w:rsid w:val="00721D38"/>
    <w:rsid w:val="007227D9"/>
    <w:rsid w:val="0072491F"/>
    <w:rsid w:val="007374A1"/>
    <w:rsid w:val="00752712"/>
    <w:rsid w:val="00753A84"/>
    <w:rsid w:val="007611F5"/>
    <w:rsid w:val="007619E4"/>
    <w:rsid w:val="00761E75"/>
    <w:rsid w:val="0076495E"/>
    <w:rsid w:val="00765FC8"/>
    <w:rsid w:val="00791443"/>
    <w:rsid w:val="00793F46"/>
    <w:rsid w:val="007A1325"/>
    <w:rsid w:val="007A1A18"/>
    <w:rsid w:val="007B53D8"/>
    <w:rsid w:val="007C22C5"/>
    <w:rsid w:val="007C57E1"/>
    <w:rsid w:val="007C5811"/>
    <w:rsid w:val="007C5931"/>
    <w:rsid w:val="007D2DF5"/>
    <w:rsid w:val="007D451A"/>
    <w:rsid w:val="007D5E3E"/>
    <w:rsid w:val="007D7596"/>
    <w:rsid w:val="007E242C"/>
    <w:rsid w:val="007E3C82"/>
    <w:rsid w:val="007E6631"/>
    <w:rsid w:val="00803A12"/>
    <w:rsid w:val="008266F9"/>
    <w:rsid w:val="00826A9B"/>
    <w:rsid w:val="00831743"/>
    <w:rsid w:val="00834842"/>
    <w:rsid w:val="00840E7B"/>
    <w:rsid w:val="00845B8F"/>
    <w:rsid w:val="00853D40"/>
    <w:rsid w:val="008564FC"/>
    <w:rsid w:val="00864E76"/>
    <w:rsid w:val="00872581"/>
    <w:rsid w:val="0087459D"/>
    <w:rsid w:val="0087680F"/>
    <w:rsid w:val="00876D81"/>
    <w:rsid w:val="00881D86"/>
    <w:rsid w:val="00883306"/>
    <w:rsid w:val="00886B2B"/>
    <w:rsid w:val="00890E4C"/>
    <w:rsid w:val="00890E74"/>
    <w:rsid w:val="0089418F"/>
    <w:rsid w:val="00897C29"/>
    <w:rsid w:val="008A1A9C"/>
    <w:rsid w:val="008A4633"/>
    <w:rsid w:val="008B032E"/>
    <w:rsid w:val="008B2D5B"/>
    <w:rsid w:val="008B491B"/>
    <w:rsid w:val="008C0FA2"/>
    <w:rsid w:val="008C2342"/>
    <w:rsid w:val="008C5803"/>
    <w:rsid w:val="008C5D52"/>
    <w:rsid w:val="008C77B6"/>
    <w:rsid w:val="008D16C9"/>
    <w:rsid w:val="008D1B91"/>
    <w:rsid w:val="008D724A"/>
    <w:rsid w:val="008E0DF1"/>
    <w:rsid w:val="008E7A3E"/>
    <w:rsid w:val="008F41FD"/>
    <w:rsid w:val="008F4479"/>
    <w:rsid w:val="008F4BA0"/>
    <w:rsid w:val="00901726"/>
    <w:rsid w:val="00904C4C"/>
    <w:rsid w:val="00910110"/>
    <w:rsid w:val="00920E6A"/>
    <w:rsid w:val="00924169"/>
    <w:rsid w:val="00931816"/>
    <w:rsid w:val="00932C71"/>
    <w:rsid w:val="00946D8A"/>
    <w:rsid w:val="009509D5"/>
    <w:rsid w:val="00952DD5"/>
    <w:rsid w:val="009538F5"/>
    <w:rsid w:val="00957187"/>
    <w:rsid w:val="009603E1"/>
    <w:rsid w:val="00961C9D"/>
    <w:rsid w:val="00963065"/>
    <w:rsid w:val="0097151F"/>
    <w:rsid w:val="00973777"/>
    <w:rsid w:val="00976E78"/>
    <w:rsid w:val="009775C0"/>
    <w:rsid w:val="00990634"/>
    <w:rsid w:val="00991733"/>
    <w:rsid w:val="00992078"/>
    <w:rsid w:val="009A0C25"/>
    <w:rsid w:val="009A1467"/>
    <w:rsid w:val="009A6464"/>
    <w:rsid w:val="009B5BE6"/>
    <w:rsid w:val="009B69F5"/>
    <w:rsid w:val="009C3B3A"/>
    <w:rsid w:val="009C5FF7"/>
    <w:rsid w:val="009C6292"/>
    <w:rsid w:val="009D15DB"/>
    <w:rsid w:val="009F1CBB"/>
    <w:rsid w:val="009F3305"/>
    <w:rsid w:val="009F6FB2"/>
    <w:rsid w:val="009F7A23"/>
    <w:rsid w:val="00A00B43"/>
    <w:rsid w:val="00A0588B"/>
    <w:rsid w:val="00A071C0"/>
    <w:rsid w:val="00A10642"/>
    <w:rsid w:val="00A22670"/>
    <w:rsid w:val="00A24B35"/>
    <w:rsid w:val="00A271BA"/>
    <w:rsid w:val="00A27F86"/>
    <w:rsid w:val="00A30177"/>
    <w:rsid w:val="00A407E4"/>
    <w:rsid w:val="00A431C6"/>
    <w:rsid w:val="00A54315"/>
    <w:rsid w:val="00A60929"/>
    <w:rsid w:val="00A60FBC"/>
    <w:rsid w:val="00A65C0B"/>
    <w:rsid w:val="00A81FD2"/>
    <w:rsid w:val="00A8441A"/>
    <w:rsid w:val="00A8674A"/>
    <w:rsid w:val="00AA40A1"/>
    <w:rsid w:val="00AA6F6E"/>
    <w:rsid w:val="00AB13B3"/>
    <w:rsid w:val="00AB48D3"/>
    <w:rsid w:val="00AD6806"/>
    <w:rsid w:val="00AD74EB"/>
    <w:rsid w:val="00AE2124"/>
    <w:rsid w:val="00AE24BC"/>
    <w:rsid w:val="00AE3E3F"/>
    <w:rsid w:val="00AF4760"/>
    <w:rsid w:val="00AF55D4"/>
    <w:rsid w:val="00B059DC"/>
    <w:rsid w:val="00B05C2D"/>
    <w:rsid w:val="00B06629"/>
    <w:rsid w:val="00B11F15"/>
    <w:rsid w:val="00B12933"/>
    <w:rsid w:val="00B12B88"/>
    <w:rsid w:val="00B13BC8"/>
    <w:rsid w:val="00B24662"/>
    <w:rsid w:val="00B246B5"/>
    <w:rsid w:val="00B3569C"/>
    <w:rsid w:val="00B43676"/>
    <w:rsid w:val="00B447AE"/>
    <w:rsid w:val="00B60125"/>
    <w:rsid w:val="00B63751"/>
    <w:rsid w:val="00B6656B"/>
    <w:rsid w:val="00B71625"/>
    <w:rsid w:val="00B75C54"/>
    <w:rsid w:val="00B92A93"/>
    <w:rsid w:val="00BA11FE"/>
    <w:rsid w:val="00BA17A8"/>
    <w:rsid w:val="00BA3C33"/>
    <w:rsid w:val="00BB0878"/>
    <w:rsid w:val="00BB1879"/>
    <w:rsid w:val="00BB1B68"/>
    <w:rsid w:val="00BC0ABE"/>
    <w:rsid w:val="00BC30DB"/>
    <w:rsid w:val="00BC64FF"/>
    <w:rsid w:val="00BC7C37"/>
    <w:rsid w:val="00BD2244"/>
    <w:rsid w:val="00BE6472"/>
    <w:rsid w:val="00BF29B8"/>
    <w:rsid w:val="00BF46EA"/>
    <w:rsid w:val="00C07D05"/>
    <w:rsid w:val="00C10856"/>
    <w:rsid w:val="00C10BAF"/>
    <w:rsid w:val="00C203FA"/>
    <w:rsid w:val="00C3164F"/>
    <w:rsid w:val="00C31B5E"/>
    <w:rsid w:val="00C34D3E"/>
    <w:rsid w:val="00C35B37"/>
    <w:rsid w:val="00C3747A"/>
    <w:rsid w:val="00C44296"/>
    <w:rsid w:val="00C500B6"/>
    <w:rsid w:val="00C53908"/>
    <w:rsid w:val="00C56DCC"/>
    <w:rsid w:val="00C57075"/>
    <w:rsid w:val="00C72AFE"/>
    <w:rsid w:val="00C76FDF"/>
    <w:rsid w:val="00C81619"/>
    <w:rsid w:val="00CA013C"/>
    <w:rsid w:val="00CA6D6D"/>
    <w:rsid w:val="00CB4A30"/>
    <w:rsid w:val="00CC7A4E"/>
    <w:rsid w:val="00CD1359"/>
    <w:rsid w:val="00CD4C83"/>
    <w:rsid w:val="00CE6D10"/>
    <w:rsid w:val="00CF386D"/>
    <w:rsid w:val="00CF6C97"/>
    <w:rsid w:val="00D01EDC"/>
    <w:rsid w:val="00D078AA"/>
    <w:rsid w:val="00D10058"/>
    <w:rsid w:val="00D1176E"/>
    <w:rsid w:val="00D11978"/>
    <w:rsid w:val="00D15E30"/>
    <w:rsid w:val="00D16129"/>
    <w:rsid w:val="00D23025"/>
    <w:rsid w:val="00D25DBD"/>
    <w:rsid w:val="00D26929"/>
    <w:rsid w:val="00D30CBD"/>
    <w:rsid w:val="00D30D9E"/>
    <w:rsid w:val="00D33908"/>
    <w:rsid w:val="00D354F2"/>
    <w:rsid w:val="00D36C30"/>
    <w:rsid w:val="00D43A8C"/>
    <w:rsid w:val="00D53072"/>
    <w:rsid w:val="00D61738"/>
    <w:rsid w:val="00D61A4E"/>
    <w:rsid w:val="00D634EA"/>
    <w:rsid w:val="00D71D53"/>
    <w:rsid w:val="00D77956"/>
    <w:rsid w:val="00D80F0C"/>
    <w:rsid w:val="00D92077"/>
    <w:rsid w:val="00D951E2"/>
    <w:rsid w:val="00D952BD"/>
    <w:rsid w:val="00D9565A"/>
    <w:rsid w:val="00DB2337"/>
    <w:rsid w:val="00DB5F87"/>
    <w:rsid w:val="00DC0376"/>
    <w:rsid w:val="00DC099B"/>
    <w:rsid w:val="00DD2E61"/>
    <w:rsid w:val="00DD4CD4"/>
    <w:rsid w:val="00DD65A2"/>
    <w:rsid w:val="00DD6770"/>
    <w:rsid w:val="00DE0749"/>
    <w:rsid w:val="00DE1CE2"/>
    <w:rsid w:val="00DE4FE5"/>
    <w:rsid w:val="00DE6A7C"/>
    <w:rsid w:val="00DF1210"/>
    <w:rsid w:val="00DF1FAC"/>
    <w:rsid w:val="00DF31E9"/>
    <w:rsid w:val="00DF5C23"/>
    <w:rsid w:val="00E01DAD"/>
    <w:rsid w:val="00E021DC"/>
    <w:rsid w:val="00E0353C"/>
    <w:rsid w:val="00E03F91"/>
    <w:rsid w:val="00E064F2"/>
    <w:rsid w:val="00E0717B"/>
    <w:rsid w:val="00E20D65"/>
    <w:rsid w:val="00E21E86"/>
    <w:rsid w:val="00E353A2"/>
    <w:rsid w:val="00E36881"/>
    <w:rsid w:val="00E42E4C"/>
    <w:rsid w:val="00E47013"/>
    <w:rsid w:val="00E5343F"/>
    <w:rsid w:val="00E541F9"/>
    <w:rsid w:val="00E57B79"/>
    <w:rsid w:val="00E6184C"/>
    <w:rsid w:val="00E63419"/>
    <w:rsid w:val="00E64496"/>
    <w:rsid w:val="00E65063"/>
    <w:rsid w:val="00E8322E"/>
    <w:rsid w:val="00E903E0"/>
    <w:rsid w:val="00EA1115"/>
    <w:rsid w:val="00EA28E3"/>
    <w:rsid w:val="00EA2A3C"/>
    <w:rsid w:val="00EA39EB"/>
    <w:rsid w:val="00EA58CE"/>
    <w:rsid w:val="00EB33FF"/>
    <w:rsid w:val="00EC03A6"/>
    <w:rsid w:val="00EC046D"/>
    <w:rsid w:val="00EC2759"/>
    <w:rsid w:val="00EC4C20"/>
    <w:rsid w:val="00EC7106"/>
    <w:rsid w:val="00ED0120"/>
    <w:rsid w:val="00ED020B"/>
    <w:rsid w:val="00ED4E12"/>
    <w:rsid w:val="00EE051B"/>
    <w:rsid w:val="00EE31FC"/>
    <w:rsid w:val="00EE54B4"/>
    <w:rsid w:val="00EF2125"/>
    <w:rsid w:val="00EF2B5C"/>
    <w:rsid w:val="00EF7794"/>
    <w:rsid w:val="00F02046"/>
    <w:rsid w:val="00F053D8"/>
    <w:rsid w:val="00F07888"/>
    <w:rsid w:val="00F1313D"/>
    <w:rsid w:val="00F16931"/>
    <w:rsid w:val="00F201E7"/>
    <w:rsid w:val="00F21C79"/>
    <w:rsid w:val="00F238C9"/>
    <w:rsid w:val="00F23CA5"/>
    <w:rsid w:val="00F277AA"/>
    <w:rsid w:val="00F31955"/>
    <w:rsid w:val="00F34C06"/>
    <w:rsid w:val="00F4159D"/>
    <w:rsid w:val="00F43EA3"/>
    <w:rsid w:val="00F50C55"/>
    <w:rsid w:val="00F57FFB"/>
    <w:rsid w:val="00F601E6"/>
    <w:rsid w:val="00F61794"/>
    <w:rsid w:val="00F6498F"/>
    <w:rsid w:val="00F703ED"/>
    <w:rsid w:val="00F736C9"/>
    <w:rsid w:val="00F73954"/>
    <w:rsid w:val="00F83520"/>
    <w:rsid w:val="00F933AF"/>
    <w:rsid w:val="00F94060"/>
    <w:rsid w:val="00F9495B"/>
    <w:rsid w:val="00FA56F6"/>
    <w:rsid w:val="00FB329D"/>
    <w:rsid w:val="00FC0B45"/>
    <w:rsid w:val="00FC27E3"/>
    <w:rsid w:val="00FC74C7"/>
    <w:rsid w:val="00FD2128"/>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F02F011-9CEF-6E45-99B7-9D8F8AB9D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66AB6"/>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266A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66A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66A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gs,No Spacing1111,ta,No Spacing112,No Spacing1121,T,t,Tag1,tag, Ch"/>
    <w:basedOn w:val="Normal"/>
    <w:next w:val="Normal"/>
    <w:link w:val="Heading4Char"/>
    <w:uiPriority w:val="3"/>
    <w:unhideWhenUsed/>
    <w:qFormat/>
    <w:rsid w:val="00266AB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66A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6AB6"/>
  </w:style>
  <w:style w:type="character" w:customStyle="1" w:styleId="Heading1Char">
    <w:name w:val="Heading 1 Char"/>
    <w:aliases w:val="Pocket Char"/>
    <w:basedOn w:val="DefaultParagraphFont"/>
    <w:link w:val="Heading1"/>
    <w:rsid w:val="00266A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66AB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66AB6"/>
    <w:rPr>
      <w:rFonts w:ascii="Calibri" w:eastAsiaTheme="majorEastAsia" w:hAnsi="Calibri" w:cstheme="majorBidi"/>
      <w:b/>
      <w:sz w:val="32"/>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266AB6"/>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66AB6"/>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Bold Cite Char,Citation Char Char Char,c,Bo,cite,B,no Char"/>
    <w:basedOn w:val="DefaultParagraphFont"/>
    <w:uiPriority w:val="6"/>
    <w:qFormat/>
    <w:rsid w:val="00266AB6"/>
    <w:rPr>
      <w:b w:val="0"/>
      <w:sz w:val="22"/>
      <w:u w:val="single"/>
    </w:rPr>
  </w:style>
  <w:style w:type="character" w:styleId="Emphasis">
    <w:name w:val="Emphasis"/>
    <w:aliases w:val="Minimized,minimized,tag2,Size 10,emphasis in card,Evidence,Highlighted,CD Card,ED - Tag,emphasis,small,Bold Underline,Emphasis!!,Qualifications,bold underline,normal card text,Shrunk,qualifications in card,qualifications,Style1,Box,Debate,s,B1"/>
    <w:basedOn w:val="DefaultParagraphFont"/>
    <w:link w:val="textbold"/>
    <w:uiPriority w:val="7"/>
    <w:qFormat/>
    <w:rsid w:val="00266AB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66AB6"/>
    <w:rPr>
      <w:color w:val="auto"/>
      <w:u w:val="none"/>
    </w:rPr>
  </w:style>
  <w:style w:type="character" w:styleId="Hyperlink">
    <w:name w:val="Hyperlink"/>
    <w:basedOn w:val="DefaultParagraphFont"/>
    <w:uiPriority w:val="99"/>
    <w:unhideWhenUsed/>
    <w:rsid w:val="00266AB6"/>
    <w:rPr>
      <w:color w:val="auto"/>
      <w:u w:val="none"/>
    </w:rPr>
  </w:style>
  <w:style w:type="paragraph" w:styleId="DocumentMap">
    <w:name w:val="Document Map"/>
    <w:basedOn w:val="Normal"/>
    <w:link w:val="DocumentMapChar"/>
    <w:uiPriority w:val="99"/>
    <w:semiHidden/>
    <w:unhideWhenUsed/>
    <w:rsid w:val="0024690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46905"/>
    <w:rPr>
      <w:rFonts w:ascii="Lucida Grande" w:hAnsi="Lucida Grande" w:cs="Lucida Grande"/>
    </w:rPr>
  </w:style>
  <w:style w:type="paragraph" w:customStyle="1" w:styleId="textbold">
    <w:name w:val="text bold"/>
    <w:basedOn w:val="Normal"/>
    <w:link w:val="Emphasis"/>
    <w:autoRedefine/>
    <w:uiPriority w:val="7"/>
    <w:qFormat/>
    <w:rsid w:val="00E5343F"/>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NormalWeb">
    <w:name w:val="Normal (Web)"/>
    <w:basedOn w:val="Normal"/>
    <w:uiPriority w:val="99"/>
    <w:unhideWhenUsed/>
    <w:rsid w:val="00E5343F"/>
    <w:pPr>
      <w:spacing w:before="100" w:beforeAutospacing="1" w:after="100" w:afterAutospacing="1"/>
    </w:pPr>
  </w:style>
  <w:style w:type="paragraph" w:customStyle="1" w:styleId="p1">
    <w:name w:val="p1"/>
    <w:basedOn w:val="Normal"/>
    <w:rsid w:val="00E5343F"/>
    <w:pPr>
      <w:spacing w:before="100" w:beforeAutospacing="1" w:after="100" w:afterAutospacing="1"/>
    </w:pPr>
  </w:style>
  <w:style w:type="character" w:customStyle="1" w:styleId="s1">
    <w:name w:val="s1"/>
    <w:basedOn w:val="DefaultParagraphFont"/>
    <w:rsid w:val="00E5343F"/>
  </w:style>
  <w:style w:type="character" w:customStyle="1" w:styleId="apple-converted-space">
    <w:name w:val="apple-converted-space"/>
    <w:basedOn w:val="DefaultParagraphFont"/>
    <w:rsid w:val="00E5343F"/>
  </w:style>
  <w:style w:type="character" w:customStyle="1" w:styleId="s3">
    <w:name w:val="s3"/>
    <w:basedOn w:val="DefaultParagraphFont"/>
    <w:rsid w:val="00E5343F"/>
  </w:style>
  <w:style w:type="character" w:customStyle="1" w:styleId="s8">
    <w:name w:val="s8"/>
    <w:basedOn w:val="DefaultParagraphFont"/>
    <w:rsid w:val="00E5343F"/>
  </w:style>
  <w:style w:type="paragraph" w:customStyle="1" w:styleId="selectionshareable">
    <w:name w:val="selectionshareable"/>
    <w:basedOn w:val="Normal"/>
    <w:rsid w:val="00E5343F"/>
    <w:pPr>
      <w:spacing w:before="100" w:beforeAutospacing="1" w:after="100" w:afterAutospacing="1"/>
    </w:pPr>
  </w:style>
  <w:style w:type="paragraph" w:styleId="NoSpacing">
    <w:name w:val="No Spacing"/>
    <w:uiPriority w:val="1"/>
    <w:qFormat/>
    <w:rsid w:val="00DF1FAC"/>
    <w:rPr>
      <w:rFonts w:ascii="Calibri" w:hAnsi="Calibri"/>
      <w:sz w:val="22"/>
    </w:rPr>
  </w:style>
  <w:style w:type="paragraph" w:customStyle="1" w:styleId="Emphasis1">
    <w:name w:val="Emphasis1"/>
    <w:basedOn w:val="Normal"/>
    <w:uiPriority w:val="20"/>
    <w:qFormat/>
    <w:rsid w:val="0091011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graf">
    <w:name w:val="graf"/>
    <w:basedOn w:val="Normal"/>
    <w:rsid w:val="00136FF6"/>
    <w:pPr>
      <w:spacing w:before="100" w:beforeAutospacing="1" w:after="100" w:afterAutospacing="1" w:line="240" w:lineRule="auto"/>
    </w:pPr>
    <w:rPr>
      <w:rFonts w:ascii="Times New Roman" w:eastAsia="Times New Roman" w:hAnsi="Times New Roman" w:cs="Times New Roman"/>
      <w:sz w:val="24"/>
    </w:rPr>
  </w:style>
  <w:style w:type="character" w:customStyle="1" w:styleId="yzlgbd">
    <w:name w:val="yzlgbd"/>
    <w:basedOn w:val="DefaultParagraphFont"/>
    <w:rsid w:val="00136FF6"/>
  </w:style>
  <w:style w:type="paragraph" w:customStyle="1" w:styleId="zn-bodyparagraph">
    <w:name w:val="zn-body__paragraph"/>
    <w:basedOn w:val="Normal"/>
    <w:rsid w:val="00155A7D"/>
    <w:pPr>
      <w:spacing w:before="100" w:beforeAutospacing="1" w:after="100" w:afterAutospacing="1" w:line="240" w:lineRule="auto"/>
    </w:pPr>
    <w:rPr>
      <w:rFonts w:ascii="Times New Roman" w:eastAsia="Times New Roman" w:hAnsi="Times New Roman" w:cs="Times New Roman"/>
      <w:sz w:val="24"/>
    </w:rPr>
  </w:style>
  <w:style w:type="character" w:customStyle="1" w:styleId="elstoryelementheader">
    <w:name w:val="el__storyelement__header"/>
    <w:basedOn w:val="DefaultParagraphFont"/>
    <w:rsid w:val="00155A7D"/>
  </w:style>
  <w:style w:type="character" w:customStyle="1" w:styleId="elstoryelementgray">
    <w:name w:val="el__storyelement__gray"/>
    <w:basedOn w:val="DefaultParagraphFont"/>
    <w:rsid w:val="00155A7D"/>
  </w:style>
  <w:style w:type="character" w:styleId="Strong">
    <w:name w:val="Strong"/>
    <w:basedOn w:val="DefaultParagraphFont"/>
    <w:uiPriority w:val="22"/>
    <w:qFormat/>
    <w:rsid w:val="006804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882400">
      <w:bodyDiv w:val="1"/>
      <w:marLeft w:val="0"/>
      <w:marRight w:val="0"/>
      <w:marTop w:val="0"/>
      <w:marBottom w:val="0"/>
      <w:divBdr>
        <w:top w:val="none" w:sz="0" w:space="0" w:color="auto"/>
        <w:left w:val="none" w:sz="0" w:space="0" w:color="auto"/>
        <w:bottom w:val="none" w:sz="0" w:space="0" w:color="auto"/>
        <w:right w:val="none" w:sz="0" w:space="0" w:color="auto"/>
      </w:divBdr>
      <w:divsChild>
        <w:div w:id="1021249967">
          <w:marLeft w:val="0"/>
          <w:marRight w:val="0"/>
          <w:marTop w:val="0"/>
          <w:marBottom w:val="0"/>
          <w:divBdr>
            <w:top w:val="none" w:sz="0" w:space="0" w:color="auto"/>
            <w:left w:val="none" w:sz="0" w:space="0" w:color="auto"/>
            <w:bottom w:val="none" w:sz="0" w:space="0" w:color="auto"/>
            <w:right w:val="none" w:sz="0" w:space="0" w:color="auto"/>
          </w:divBdr>
        </w:div>
        <w:div w:id="2119523301">
          <w:marLeft w:val="0"/>
          <w:marRight w:val="0"/>
          <w:marTop w:val="0"/>
          <w:marBottom w:val="0"/>
          <w:divBdr>
            <w:top w:val="none" w:sz="0" w:space="0" w:color="auto"/>
            <w:left w:val="none" w:sz="0" w:space="0" w:color="auto"/>
            <w:bottom w:val="none" w:sz="0" w:space="0" w:color="auto"/>
            <w:right w:val="none" w:sz="0" w:space="0" w:color="auto"/>
          </w:divBdr>
          <w:divsChild>
            <w:div w:id="1585993524">
              <w:marLeft w:val="0"/>
              <w:marRight w:val="450"/>
              <w:marTop w:val="150"/>
              <w:marBottom w:val="450"/>
              <w:divBdr>
                <w:top w:val="none" w:sz="0" w:space="0" w:color="auto"/>
                <w:left w:val="none" w:sz="0" w:space="0" w:color="auto"/>
                <w:bottom w:val="none" w:sz="0" w:space="0" w:color="auto"/>
                <w:right w:val="none" w:sz="0" w:space="0" w:color="auto"/>
              </w:divBdr>
              <w:divsChild>
                <w:div w:id="1446345022">
                  <w:marLeft w:val="0"/>
                  <w:marRight w:val="0"/>
                  <w:marTop w:val="0"/>
                  <w:marBottom w:val="0"/>
                  <w:divBdr>
                    <w:top w:val="none" w:sz="0" w:space="0" w:color="auto"/>
                    <w:left w:val="none" w:sz="0" w:space="0" w:color="auto"/>
                    <w:bottom w:val="none" w:sz="0" w:space="0" w:color="auto"/>
                    <w:right w:val="none" w:sz="0" w:space="0" w:color="auto"/>
                  </w:divBdr>
                  <w:divsChild>
                    <w:div w:id="970091706">
                      <w:marLeft w:val="0"/>
                      <w:marRight w:val="0"/>
                      <w:marTop w:val="450"/>
                      <w:marBottom w:val="0"/>
                      <w:divBdr>
                        <w:top w:val="none" w:sz="0" w:space="0" w:color="auto"/>
                        <w:left w:val="none" w:sz="0" w:space="0" w:color="auto"/>
                        <w:bottom w:val="none" w:sz="0" w:space="0" w:color="auto"/>
                        <w:right w:val="none" w:sz="0" w:space="0" w:color="auto"/>
                      </w:divBdr>
                      <w:divsChild>
                        <w:div w:id="47153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78911">
          <w:marLeft w:val="0"/>
          <w:marRight w:val="0"/>
          <w:marTop w:val="0"/>
          <w:marBottom w:val="225"/>
          <w:divBdr>
            <w:top w:val="none" w:sz="0" w:space="0" w:color="auto"/>
            <w:left w:val="none" w:sz="0" w:space="0" w:color="auto"/>
            <w:bottom w:val="none" w:sz="0" w:space="0" w:color="auto"/>
            <w:right w:val="none" w:sz="0" w:space="0" w:color="auto"/>
          </w:divBdr>
        </w:div>
        <w:div w:id="733546276">
          <w:marLeft w:val="0"/>
          <w:marRight w:val="0"/>
          <w:marTop w:val="0"/>
          <w:marBottom w:val="225"/>
          <w:divBdr>
            <w:top w:val="none" w:sz="0" w:space="0" w:color="auto"/>
            <w:left w:val="none" w:sz="0" w:space="0" w:color="auto"/>
            <w:bottom w:val="none" w:sz="0" w:space="0" w:color="auto"/>
            <w:right w:val="none" w:sz="0" w:space="0" w:color="auto"/>
          </w:divBdr>
        </w:div>
        <w:div w:id="1726298483">
          <w:marLeft w:val="0"/>
          <w:marRight w:val="0"/>
          <w:marTop w:val="0"/>
          <w:marBottom w:val="225"/>
          <w:divBdr>
            <w:top w:val="none" w:sz="0" w:space="0" w:color="auto"/>
            <w:left w:val="none" w:sz="0" w:space="0" w:color="auto"/>
            <w:bottom w:val="none" w:sz="0" w:space="0" w:color="auto"/>
            <w:right w:val="none" w:sz="0" w:space="0" w:color="auto"/>
          </w:divBdr>
        </w:div>
        <w:div w:id="284584951">
          <w:marLeft w:val="0"/>
          <w:marRight w:val="0"/>
          <w:marTop w:val="0"/>
          <w:marBottom w:val="225"/>
          <w:divBdr>
            <w:top w:val="none" w:sz="0" w:space="0" w:color="auto"/>
            <w:left w:val="none" w:sz="0" w:space="0" w:color="auto"/>
            <w:bottom w:val="none" w:sz="0" w:space="0" w:color="auto"/>
            <w:right w:val="none" w:sz="0" w:space="0" w:color="auto"/>
          </w:divBdr>
        </w:div>
        <w:div w:id="79452396">
          <w:marLeft w:val="0"/>
          <w:marRight w:val="0"/>
          <w:marTop w:val="0"/>
          <w:marBottom w:val="0"/>
          <w:divBdr>
            <w:top w:val="none" w:sz="0" w:space="0" w:color="auto"/>
            <w:left w:val="none" w:sz="0" w:space="0" w:color="auto"/>
            <w:bottom w:val="none" w:sz="0" w:space="0" w:color="auto"/>
            <w:right w:val="none" w:sz="0" w:space="0" w:color="auto"/>
          </w:divBdr>
          <w:divsChild>
            <w:div w:id="523061308">
              <w:marLeft w:val="0"/>
              <w:marRight w:val="0"/>
              <w:marTop w:val="0"/>
              <w:marBottom w:val="0"/>
              <w:divBdr>
                <w:top w:val="none" w:sz="0" w:space="0" w:color="auto"/>
                <w:left w:val="none" w:sz="0" w:space="0" w:color="auto"/>
                <w:bottom w:val="none" w:sz="0" w:space="0" w:color="auto"/>
                <w:right w:val="none" w:sz="0" w:space="0" w:color="auto"/>
              </w:divBdr>
              <w:divsChild>
                <w:div w:id="692726808">
                  <w:marLeft w:val="0"/>
                  <w:marRight w:val="450"/>
                  <w:marTop w:val="150"/>
                  <w:marBottom w:val="450"/>
                  <w:divBdr>
                    <w:top w:val="none" w:sz="0" w:space="0" w:color="auto"/>
                    <w:left w:val="none" w:sz="0" w:space="0" w:color="auto"/>
                    <w:bottom w:val="none" w:sz="0" w:space="0" w:color="auto"/>
                    <w:right w:val="none" w:sz="0" w:space="0" w:color="auto"/>
                  </w:divBdr>
                  <w:divsChild>
                    <w:div w:id="198587602">
                      <w:marLeft w:val="0"/>
                      <w:marRight w:val="0"/>
                      <w:marTop w:val="0"/>
                      <w:marBottom w:val="0"/>
                      <w:divBdr>
                        <w:top w:val="none" w:sz="0" w:space="0" w:color="auto"/>
                        <w:left w:val="none" w:sz="0" w:space="0" w:color="auto"/>
                        <w:bottom w:val="none" w:sz="0" w:space="0" w:color="auto"/>
                        <w:right w:val="none" w:sz="0" w:space="0" w:color="auto"/>
                      </w:divBdr>
                    </w:div>
                    <w:div w:id="1806461750">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955215372">
              <w:marLeft w:val="0"/>
              <w:marRight w:val="0"/>
              <w:marTop w:val="0"/>
              <w:marBottom w:val="225"/>
              <w:divBdr>
                <w:top w:val="none" w:sz="0" w:space="0" w:color="auto"/>
                <w:left w:val="none" w:sz="0" w:space="0" w:color="auto"/>
                <w:bottom w:val="none" w:sz="0" w:space="0" w:color="auto"/>
                <w:right w:val="none" w:sz="0" w:space="0" w:color="auto"/>
              </w:divBdr>
            </w:div>
            <w:div w:id="1861234121">
              <w:marLeft w:val="0"/>
              <w:marRight w:val="0"/>
              <w:marTop w:val="0"/>
              <w:marBottom w:val="225"/>
              <w:divBdr>
                <w:top w:val="none" w:sz="0" w:space="0" w:color="auto"/>
                <w:left w:val="none" w:sz="0" w:space="0" w:color="auto"/>
                <w:bottom w:val="none" w:sz="0" w:space="0" w:color="auto"/>
                <w:right w:val="none" w:sz="0" w:space="0" w:color="auto"/>
              </w:divBdr>
            </w:div>
            <w:div w:id="1069301917">
              <w:marLeft w:val="0"/>
              <w:marRight w:val="0"/>
              <w:marTop w:val="0"/>
              <w:marBottom w:val="0"/>
              <w:divBdr>
                <w:top w:val="none" w:sz="0" w:space="0" w:color="auto"/>
                <w:left w:val="none" w:sz="0" w:space="0" w:color="auto"/>
                <w:bottom w:val="none" w:sz="0" w:space="0" w:color="auto"/>
                <w:right w:val="none" w:sz="0" w:space="0" w:color="auto"/>
              </w:divBdr>
              <w:divsChild>
                <w:div w:id="1761632835">
                  <w:marLeft w:val="0"/>
                  <w:marRight w:val="450"/>
                  <w:marTop w:val="150"/>
                  <w:marBottom w:val="450"/>
                  <w:divBdr>
                    <w:top w:val="none" w:sz="0" w:space="0" w:color="auto"/>
                    <w:left w:val="none" w:sz="0" w:space="0" w:color="auto"/>
                    <w:bottom w:val="none" w:sz="0" w:space="0" w:color="auto"/>
                    <w:right w:val="none" w:sz="0" w:space="0" w:color="auto"/>
                  </w:divBdr>
                  <w:divsChild>
                    <w:div w:id="853114371">
                      <w:marLeft w:val="0"/>
                      <w:marRight w:val="0"/>
                      <w:marTop w:val="0"/>
                      <w:marBottom w:val="150"/>
                      <w:divBdr>
                        <w:top w:val="none" w:sz="0" w:space="0" w:color="auto"/>
                        <w:left w:val="none" w:sz="0" w:space="0" w:color="auto"/>
                        <w:bottom w:val="none" w:sz="0" w:space="0" w:color="auto"/>
                        <w:right w:val="none" w:sz="0" w:space="0" w:color="auto"/>
                      </w:divBdr>
                      <w:divsChild>
                        <w:div w:id="325210514">
                          <w:marLeft w:val="0"/>
                          <w:marRight w:val="0"/>
                          <w:marTop w:val="0"/>
                          <w:marBottom w:val="0"/>
                          <w:divBdr>
                            <w:top w:val="none" w:sz="0" w:space="0" w:color="auto"/>
                            <w:left w:val="none" w:sz="0" w:space="0" w:color="auto"/>
                            <w:bottom w:val="none" w:sz="0" w:space="0" w:color="auto"/>
                            <w:right w:val="none" w:sz="0" w:space="0" w:color="auto"/>
                          </w:divBdr>
                        </w:div>
                        <w:div w:id="1025445093">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138721947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16012210">
      <w:bodyDiv w:val="1"/>
      <w:marLeft w:val="0"/>
      <w:marRight w:val="0"/>
      <w:marTop w:val="0"/>
      <w:marBottom w:val="0"/>
      <w:divBdr>
        <w:top w:val="none" w:sz="0" w:space="0" w:color="auto"/>
        <w:left w:val="none" w:sz="0" w:space="0" w:color="auto"/>
        <w:bottom w:val="none" w:sz="0" w:space="0" w:color="auto"/>
        <w:right w:val="none" w:sz="0" w:space="0" w:color="auto"/>
      </w:divBdr>
      <w:divsChild>
        <w:div w:id="2134664776">
          <w:marLeft w:val="0"/>
          <w:marRight w:val="0"/>
          <w:marTop w:val="150"/>
          <w:marBottom w:val="450"/>
          <w:divBdr>
            <w:top w:val="none" w:sz="0" w:space="0" w:color="auto"/>
            <w:left w:val="none" w:sz="0" w:space="0" w:color="auto"/>
            <w:bottom w:val="none" w:sz="0" w:space="0" w:color="auto"/>
            <w:right w:val="none" w:sz="0" w:space="0" w:color="auto"/>
          </w:divBdr>
        </w:div>
      </w:divsChild>
    </w:div>
    <w:div w:id="266474590">
      <w:bodyDiv w:val="1"/>
      <w:marLeft w:val="0"/>
      <w:marRight w:val="0"/>
      <w:marTop w:val="0"/>
      <w:marBottom w:val="0"/>
      <w:divBdr>
        <w:top w:val="none" w:sz="0" w:space="0" w:color="auto"/>
        <w:left w:val="none" w:sz="0" w:space="0" w:color="auto"/>
        <w:bottom w:val="none" w:sz="0" w:space="0" w:color="auto"/>
        <w:right w:val="none" w:sz="0" w:space="0" w:color="auto"/>
      </w:divBdr>
    </w:div>
    <w:div w:id="510922553">
      <w:bodyDiv w:val="1"/>
      <w:marLeft w:val="0"/>
      <w:marRight w:val="0"/>
      <w:marTop w:val="0"/>
      <w:marBottom w:val="0"/>
      <w:divBdr>
        <w:top w:val="none" w:sz="0" w:space="0" w:color="auto"/>
        <w:left w:val="none" w:sz="0" w:space="0" w:color="auto"/>
        <w:bottom w:val="none" w:sz="0" w:space="0" w:color="auto"/>
        <w:right w:val="none" w:sz="0" w:space="0" w:color="auto"/>
      </w:divBdr>
      <w:divsChild>
        <w:div w:id="363553960">
          <w:marLeft w:val="0"/>
          <w:marRight w:val="0"/>
          <w:marTop w:val="0"/>
          <w:marBottom w:val="0"/>
          <w:divBdr>
            <w:top w:val="none" w:sz="0" w:space="0" w:color="auto"/>
            <w:left w:val="none" w:sz="0" w:space="0" w:color="auto"/>
            <w:bottom w:val="none" w:sz="0" w:space="0" w:color="auto"/>
            <w:right w:val="none" w:sz="0" w:space="0" w:color="auto"/>
          </w:divBdr>
          <w:divsChild>
            <w:div w:id="295451847">
              <w:marLeft w:val="0"/>
              <w:marRight w:val="0"/>
              <w:marTop w:val="0"/>
              <w:marBottom w:val="0"/>
              <w:divBdr>
                <w:top w:val="none" w:sz="0" w:space="0" w:color="auto"/>
                <w:left w:val="none" w:sz="0" w:space="0" w:color="auto"/>
                <w:bottom w:val="none" w:sz="0" w:space="0" w:color="auto"/>
                <w:right w:val="none" w:sz="0" w:space="0" w:color="auto"/>
              </w:divBdr>
            </w:div>
            <w:div w:id="1144274916">
              <w:marLeft w:val="0"/>
              <w:marRight w:val="0"/>
              <w:marTop w:val="0"/>
              <w:marBottom w:val="0"/>
              <w:divBdr>
                <w:top w:val="none" w:sz="0" w:space="0" w:color="auto"/>
                <w:left w:val="none" w:sz="0" w:space="0" w:color="auto"/>
                <w:bottom w:val="single" w:sz="6" w:space="23" w:color="FAFAFA"/>
                <w:right w:val="none" w:sz="0" w:space="0" w:color="auto"/>
              </w:divBdr>
            </w:div>
            <w:div w:id="614095714">
              <w:marLeft w:val="0"/>
              <w:marRight w:val="150"/>
              <w:marTop w:val="0"/>
              <w:marBottom w:val="0"/>
              <w:divBdr>
                <w:top w:val="none" w:sz="0" w:space="0" w:color="auto"/>
                <w:left w:val="none" w:sz="0" w:space="0" w:color="auto"/>
                <w:bottom w:val="none" w:sz="0" w:space="0" w:color="auto"/>
                <w:right w:val="none" w:sz="0" w:space="0" w:color="auto"/>
              </w:divBdr>
            </w:div>
            <w:div w:id="1228228923">
              <w:marLeft w:val="0"/>
              <w:marRight w:val="0"/>
              <w:marTop w:val="0"/>
              <w:marBottom w:val="0"/>
              <w:divBdr>
                <w:top w:val="none" w:sz="0" w:space="0" w:color="auto"/>
                <w:left w:val="none" w:sz="0" w:space="0" w:color="auto"/>
                <w:bottom w:val="none" w:sz="0" w:space="0" w:color="auto"/>
                <w:right w:val="none" w:sz="0" w:space="0" w:color="auto"/>
              </w:divBdr>
              <w:divsChild>
                <w:div w:id="406224629">
                  <w:marLeft w:val="0"/>
                  <w:marRight w:val="0"/>
                  <w:marTop w:val="0"/>
                  <w:marBottom w:val="75"/>
                  <w:divBdr>
                    <w:top w:val="none" w:sz="0" w:space="0" w:color="auto"/>
                    <w:left w:val="none" w:sz="0" w:space="0" w:color="auto"/>
                    <w:bottom w:val="none" w:sz="0" w:space="0" w:color="auto"/>
                    <w:right w:val="none" w:sz="0" w:space="0" w:color="auto"/>
                  </w:divBdr>
                  <w:divsChild>
                    <w:div w:id="1813324750">
                      <w:marLeft w:val="0"/>
                      <w:marRight w:val="0"/>
                      <w:marTop w:val="0"/>
                      <w:marBottom w:val="0"/>
                      <w:divBdr>
                        <w:top w:val="none" w:sz="0" w:space="0" w:color="auto"/>
                        <w:left w:val="none" w:sz="0" w:space="0" w:color="auto"/>
                        <w:bottom w:val="none" w:sz="0" w:space="0" w:color="auto"/>
                        <w:right w:val="none" w:sz="0" w:space="0" w:color="auto"/>
                      </w:divBdr>
                    </w:div>
                  </w:divsChild>
                </w:div>
                <w:div w:id="60465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68972">
          <w:marLeft w:val="0"/>
          <w:marRight w:val="0"/>
          <w:marTop w:val="0"/>
          <w:marBottom w:val="0"/>
          <w:divBdr>
            <w:top w:val="none" w:sz="0" w:space="0" w:color="auto"/>
            <w:left w:val="none" w:sz="0" w:space="0" w:color="auto"/>
            <w:bottom w:val="none" w:sz="0" w:space="0" w:color="auto"/>
            <w:right w:val="none" w:sz="0" w:space="0" w:color="auto"/>
          </w:divBdr>
          <w:divsChild>
            <w:div w:id="961375470">
              <w:marLeft w:val="0"/>
              <w:marRight w:val="0"/>
              <w:marTop w:val="0"/>
              <w:marBottom w:val="0"/>
              <w:divBdr>
                <w:top w:val="none" w:sz="0" w:space="0" w:color="auto"/>
                <w:left w:val="none" w:sz="0" w:space="0" w:color="auto"/>
                <w:bottom w:val="none" w:sz="0" w:space="0" w:color="auto"/>
                <w:right w:val="none" w:sz="0" w:space="0" w:color="auto"/>
              </w:divBdr>
              <w:divsChild>
                <w:div w:id="40207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22070">
      <w:bodyDiv w:val="1"/>
      <w:marLeft w:val="0"/>
      <w:marRight w:val="0"/>
      <w:marTop w:val="0"/>
      <w:marBottom w:val="0"/>
      <w:divBdr>
        <w:top w:val="none" w:sz="0" w:space="0" w:color="auto"/>
        <w:left w:val="none" w:sz="0" w:space="0" w:color="auto"/>
        <w:bottom w:val="none" w:sz="0" w:space="0" w:color="auto"/>
        <w:right w:val="none" w:sz="0" w:space="0" w:color="auto"/>
      </w:divBdr>
    </w:div>
    <w:div w:id="943609254">
      <w:bodyDiv w:val="1"/>
      <w:marLeft w:val="0"/>
      <w:marRight w:val="0"/>
      <w:marTop w:val="0"/>
      <w:marBottom w:val="0"/>
      <w:divBdr>
        <w:top w:val="none" w:sz="0" w:space="0" w:color="auto"/>
        <w:left w:val="none" w:sz="0" w:space="0" w:color="auto"/>
        <w:bottom w:val="none" w:sz="0" w:space="0" w:color="auto"/>
        <w:right w:val="none" w:sz="0" w:space="0" w:color="auto"/>
      </w:divBdr>
    </w:div>
    <w:div w:id="984242894">
      <w:bodyDiv w:val="1"/>
      <w:marLeft w:val="0"/>
      <w:marRight w:val="0"/>
      <w:marTop w:val="0"/>
      <w:marBottom w:val="0"/>
      <w:divBdr>
        <w:top w:val="none" w:sz="0" w:space="0" w:color="auto"/>
        <w:left w:val="none" w:sz="0" w:space="0" w:color="auto"/>
        <w:bottom w:val="none" w:sz="0" w:space="0" w:color="auto"/>
        <w:right w:val="none" w:sz="0" w:space="0" w:color="auto"/>
      </w:divBdr>
      <w:divsChild>
        <w:div w:id="1591817194">
          <w:blockQuote w:val="1"/>
          <w:marLeft w:val="450"/>
          <w:marRight w:val="450"/>
          <w:marTop w:val="360"/>
          <w:marBottom w:val="360"/>
          <w:divBdr>
            <w:top w:val="none" w:sz="0" w:space="0" w:color="auto"/>
            <w:left w:val="none" w:sz="0" w:space="0" w:color="auto"/>
            <w:bottom w:val="none" w:sz="0" w:space="0" w:color="auto"/>
            <w:right w:val="none" w:sz="0" w:space="0" w:color="auto"/>
          </w:divBdr>
        </w:div>
      </w:divsChild>
    </w:div>
    <w:div w:id="1407264216">
      <w:bodyDiv w:val="1"/>
      <w:marLeft w:val="0"/>
      <w:marRight w:val="0"/>
      <w:marTop w:val="0"/>
      <w:marBottom w:val="0"/>
      <w:divBdr>
        <w:top w:val="none" w:sz="0" w:space="0" w:color="auto"/>
        <w:left w:val="none" w:sz="0" w:space="0" w:color="auto"/>
        <w:bottom w:val="none" w:sz="0" w:space="0" w:color="auto"/>
        <w:right w:val="none" w:sz="0" w:space="0" w:color="auto"/>
      </w:divBdr>
    </w:div>
    <w:div w:id="1933660187">
      <w:bodyDiv w:val="1"/>
      <w:marLeft w:val="0"/>
      <w:marRight w:val="0"/>
      <w:marTop w:val="0"/>
      <w:marBottom w:val="0"/>
      <w:divBdr>
        <w:top w:val="none" w:sz="0" w:space="0" w:color="auto"/>
        <w:left w:val="none" w:sz="0" w:space="0" w:color="auto"/>
        <w:bottom w:val="none" w:sz="0" w:space="0" w:color="auto"/>
        <w:right w:val="none" w:sz="0" w:space="0" w:color="auto"/>
      </w:divBdr>
    </w:div>
    <w:div w:id="20105943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ashingtonpost.com/world/national-security/trump-proposal-would-penalize-immigrants-who-use-tax-credits-and-other-benefits/2018/03/28/4c6392e0-2924-11e8-bc72-077aa4dab9ef_story.html?utm_term=.d261e93ab60d" TargetMode="External"/><Relationship Id="rId299" Type="http://schemas.openxmlformats.org/officeDocument/2006/relationships/hyperlink" Target="https://www.documentcloud.org/documents/4335150-DOJ-Olmstead-Guidance-Employment.html" TargetMode="External"/><Relationship Id="rId21" Type="http://schemas.openxmlformats.org/officeDocument/2006/relationships/hyperlink" Target="https://www.nap.edu/read/23550/chapter/6" TargetMode="External"/><Relationship Id="rId63" Type="http://schemas.openxmlformats.org/officeDocument/2006/relationships/hyperlink" Target="https://www.kff.org/disparities-policy/issue-brief/potential-effects-of-public-charge-changes-on-health-coverage-for-citizen-children/view/footnotes/" TargetMode="External"/><Relationship Id="rId159" Type="http://schemas.openxmlformats.org/officeDocument/2006/relationships/hyperlink" Target="http://dreamteamla.org/" TargetMode="External"/><Relationship Id="rId324" Type="http://schemas.openxmlformats.org/officeDocument/2006/relationships/hyperlink" Target="https://www.chrt.org/publication/federally-qualified-health-centers-effective/" TargetMode="External"/><Relationship Id="rId366" Type="http://schemas.openxmlformats.org/officeDocument/2006/relationships/hyperlink" Target="https://www.washingtonpost.com/world/national-security/us-immigration-agency-to-more-closely-monitor-caseworkers-documents-show/2018/03/15/c8289c0c-2881-11e8-874b-d517e912f125_story.html?noredirect=on&amp;utm_term=.81c6d599308e" TargetMode="External"/><Relationship Id="rId170" Type="http://schemas.openxmlformats.org/officeDocument/2006/relationships/hyperlink" Target="https://www.washingtonpost.com/world/national-security/trump-administration-circulates-more-draft-immigration-restrictions-focusing-on-protecting-us-jobs/2017/01/31/38529236-e741-11e6-80c2-30e57e57e05d_story.html?hpid=hp_rhp-top-table-main_eoimmig" TargetMode="External"/><Relationship Id="rId226" Type="http://schemas.openxmlformats.org/officeDocument/2006/relationships/hyperlink" Target="http://www.salon.com/2016/01/29/americas_secret_history_of_forced_sterilization_remembering_a_disturbing_and_not_so_distant_past/" TargetMode="External"/><Relationship Id="rId268" Type="http://schemas.openxmlformats.org/officeDocument/2006/relationships/hyperlink" Target="https://www.washingtonpost.com/world/national-security/trump-proposal-would-penalize-immigrants-who-use-tax-credits-and-other-benefits/2018/03/28/4c6392e0-2924-11e8-bc72-077aa4dab9ef_story.html?utm_term=.810fb60b3640" TargetMode="External"/><Relationship Id="rId32" Type="http://schemas.openxmlformats.org/officeDocument/2006/relationships/hyperlink" Target="https://www.uscis.gov/greencard/public-charge" TargetMode="External"/><Relationship Id="rId74" Type="http://schemas.openxmlformats.org/officeDocument/2006/relationships/hyperlink" Target="https://www-sciencedirect-com.proxy.lib.umich.edu/science/article/pii/S0025712508000941" TargetMode="External"/><Relationship Id="rId128" Type="http://schemas.openxmlformats.org/officeDocument/2006/relationships/hyperlink" Target="https://www.washingtonpost.com/national/health-science/trump-energizes-the-anti-vaccine-movement-in-texas/2017/02/20/795bd3ae-ef08-11e6-b4ff-ac2cf509efe5_story.html?utm_term=.e3bc26f8e422" TargetMode="External"/><Relationship Id="rId335" Type="http://schemas.openxmlformats.org/officeDocument/2006/relationships/hyperlink" Target="https://www.kff.org/person/julia-zur/" TargetMode="External"/><Relationship Id="rId377" Type="http://schemas.openxmlformats.org/officeDocument/2006/relationships/hyperlink" Target="https://www.reuters.com/article/us-trump-effect-immigration/fewer-family-visas-approved-as-trump-toughens-vetting-of-immigrants-reuters-review-idUSKBN1ET15I" TargetMode="External"/><Relationship Id="rId5" Type="http://schemas.openxmlformats.org/officeDocument/2006/relationships/webSettings" Target="webSettings.xml"/><Relationship Id="rId181" Type="http://schemas.openxmlformats.org/officeDocument/2006/relationships/hyperlink" Target="https://e-space.mmu.ac.uk/618995/1/Posthuman_disability_studies_paper_for_Subjectivity-libre%20(2).pdf" TargetMode="External"/><Relationship Id="rId237" Type="http://schemas.openxmlformats.org/officeDocument/2006/relationships/hyperlink" Target="https://crippledscholar.com/2016/04/19/what-canadas-immigration-policies-say-about-the-status-of-disability-in-canada/" TargetMode="External"/><Relationship Id="rId402" Type="http://schemas.openxmlformats.org/officeDocument/2006/relationships/hyperlink" Target="http://www.vox.com/first-person/2016/11/9/13576712/trump-disability-policy-affordable-care-act" TargetMode="External"/><Relationship Id="rId279" Type="http://schemas.openxmlformats.org/officeDocument/2006/relationships/hyperlink" Target="http://www.npr.org/templates/story/story.php?storyId=12253244" TargetMode="External"/><Relationship Id="rId43" Type="http://schemas.openxmlformats.org/officeDocument/2006/relationships/hyperlink" Target="https://www.povertycenter.columbia.edu/news-internal/2018/3/28/changes-to-public-charge-rule-may-put-500000-more-us-citizen-children-at-risk-of-moving-into-poverty" TargetMode="External"/><Relationship Id="rId139" Type="http://schemas.openxmlformats.org/officeDocument/2006/relationships/hyperlink" Target="http://www.gallup.com/poll/190484/uninsured-rate-lowest-eight-year-trend.aspx" TargetMode="External"/><Relationship Id="rId290" Type="http://schemas.openxmlformats.org/officeDocument/2006/relationships/hyperlink" Target="https://www.cnn.com/2017/12/04/politics/supreme-court-travel-ban/index.html" TargetMode="External"/><Relationship Id="rId304" Type="http://schemas.openxmlformats.org/officeDocument/2006/relationships/hyperlink" Target="http://www.nachc.org/wp-content/uploads/2017/03/Strengthening-the-Safety-Net_NACHC_2017.pdf" TargetMode="External"/><Relationship Id="rId346" Type="http://schemas.openxmlformats.org/officeDocument/2006/relationships/hyperlink" Target="https://www.propublica.org/article/trumps-immigration-pick-attacked-obama-programs-in-ghost-written-senate" TargetMode="External"/><Relationship Id="rId388" Type="http://schemas.openxmlformats.org/officeDocument/2006/relationships/hyperlink" Target="about:invalid" TargetMode="External"/><Relationship Id="rId85" Type="http://schemas.openxmlformats.org/officeDocument/2006/relationships/hyperlink" Target="http://ocp.hul.harvard.edu/immigration/exclusion.html" TargetMode="External"/><Relationship Id="rId150" Type="http://schemas.openxmlformats.org/officeDocument/2006/relationships/hyperlink" Target="https://www.vox.com/2018/2/8/16993172/trump-regulation-immigrants-benefits-public-charge" TargetMode="External"/><Relationship Id="rId192" Type="http://schemas.openxmlformats.org/officeDocument/2006/relationships/hyperlink" Target="https://www.nytimes.com/2017/12/23/us/politics/trump-immigration.html?_r=2" TargetMode="External"/><Relationship Id="rId206" Type="http://schemas.openxmlformats.org/officeDocument/2006/relationships/hyperlink" Target="https://www.youtube.com/watch?v=id_nFso7QZ8" TargetMode="External"/><Relationship Id="rId413" Type="http://schemas.openxmlformats.org/officeDocument/2006/relationships/hyperlink" Target="https://themighty.com/2017/10/how-capitalism-contributes-to-ableism/" TargetMode="External"/><Relationship Id="rId248" Type="http://schemas.openxmlformats.org/officeDocument/2006/relationships/hyperlink" Target="https://www.healthcare.gov/immigrants/" TargetMode="External"/><Relationship Id="rId12" Type="http://schemas.openxmlformats.org/officeDocument/2006/relationships/hyperlink" Target="https://www.nilc.org/public-charge-changes-to-fam/" TargetMode="External"/><Relationship Id="rId108" Type="http://schemas.openxmlformats.org/officeDocument/2006/relationships/hyperlink" Target="http://apps.washingtonpost.com/g/documents/world/read-the-trump-administrations-draft-proposal-penalizing-immigrants-who-accept-almost-any-public-benefit/2841/" TargetMode="External"/><Relationship Id="rId315" Type="http://schemas.openxmlformats.org/officeDocument/2006/relationships/hyperlink" Target="https://www.chrt.org/publication/federally-qualified-health-centers-effective/" TargetMode="External"/><Relationship Id="rId357" Type="http://schemas.openxmlformats.org/officeDocument/2006/relationships/hyperlink" Target="https://www.vox.com/2018/2/14/17012358/immigration-congress-trump-daca" TargetMode="External"/><Relationship Id="rId54" Type="http://schemas.openxmlformats.org/officeDocument/2006/relationships/hyperlink" Target="https://www.domesticworkers.org/" TargetMode="External"/><Relationship Id="rId96" Type="http://schemas.openxmlformats.org/officeDocument/2006/relationships/hyperlink" Target="https://niskanencenter.org/blog/news/redefining-public-charge/" TargetMode="External"/><Relationship Id="rId161" Type="http://schemas.openxmlformats.org/officeDocument/2006/relationships/hyperlink" Target="http://www.thenyic.org/home" TargetMode="External"/><Relationship Id="rId217" Type="http://schemas.openxmlformats.org/officeDocument/2006/relationships/hyperlink" Target="http://www.alllaw.com/articles/nolo/us-immigration/mental-illness-barrier.html" TargetMode="External"/><Relationship Id="rId399" Type="http://schemas.openxmlformats.org/officeDocument/2006/relationships/hyperlink" Target="https://muse-jhu-edu.proxy.lib.umich.edu/issue/33693" TargetMode="External"/><Relationship Id="rId259" Type="http://schemas.openxmlformats.org/officeDocument/2006/relationships/hyperlink" Target="https://www.everycrsreport.com/files/20170206_R43220_6ece03686544d907d3d96c4291bb39a17268cdf8.pdf" TargetMode="External"/><Relationship Id="rId424" Type="http://schemas.openxmlformats.org/officeDocument/2006/relationships/theme" Target="theme/theme1.xml"/><Relationship Id="rId23" Type="http://schemas.openxmlformats.org/officeDocument/2006/relationships/hyperlink" Target="https://www.census.gov/quickfacts/fact/table/essexcountynewjersey,unioncountynewjersey,hudsoncountynewjersey/PST045216" TargetMode="External"/><Relationship Id="rId119" Type="http://schemas.openxmlformats.org/officeDocument/2006/relationships/hyperlink" Target="https://www.uscis.gov/greencard/public-charge" TargetMode="External"/><Relationship Id="rId270" Type="http://schemas.openxmlformats.org/officeDocument/2006/relationships/hyperlink" Target="https://cis.org/Report/Remembering-Barbara-Jordan-and-Her-Immigration-Legacy" TargetMode="External"/><Relationship Id="rId326" Type="http://schemas.openxmlformats.org/officeDocument/2006/relationships/hyperlink" Target="https://www.chrt.org/publication/federally-qualified-health-centers-effective/" TargetMode="External"/><Relationship Id="rId65" Type="http://schemas.openxmlformats.org/officeDocument/2006/relationships/hyperlink" Target="https://www.kff.org/disparities-policy/issue-brief/potential-effects-of-public-charge-changes-on-health-coverage-for-citizen-children/view/footnotes/" TargetMode="External"/><Relationship Id="rId130" Type="http://schemas.openxmlformats.org/officeDocument/2006/relationships/hyperlink" Target="http://foreignpolicy.com/2017/04/24/u-s-agency-for-international-development-foreign-aid-state-department-trump-slash-foreign-funding/" TargetMode="External"/><Relationship Id="rId368" Type="http://schemas.openxmlformats.org/officeDocument/2006/relationships/hyperlink" Target="https://drive.google.com/file/d/1qye5ejHU5L0qs7sjycXysLrkfKtqH5qk/view" TargetMode="External"/><Relationship Id="rId172" Type="http://schemas.openxmlformats.org/officeDocument/2006/relationships/hyperlink" Target="http://scholarship.law.berkeley.edu/cgi/viewcontent.cgi?article=1083&amp;context=aalj" TargetMode="External"/><Relationship Id="rId228" Type="http://schemas.openxmlformats.org/officeDocument/2006/relationships/hyperlink" Target="http://courses.washington.edu/intro2ds/Readings/Baynton.pdf" TargetMode="External"/><Relationship Id="rId281" Type="http://schemas.openxmlformats.org/officeDocument/2006/relationships/hyperlink" Target="http://www.theatlantic.com/health/archive/2015/10/emergency-room-wait-times-sexism/410515/" TargetMode="External"/><Relationship Id="rId337" Type="http://schemas.openxmlformats.org/officeDocument/2006/relationships/hyperlink" Target="https://www.cnn.com/2018/03/12/health/disease-x-blueprint-who/index.html" TargetMode="External"/><Relationship Id="rId34" Type="http://schemas.openxmlformats.org/officeDocument/2006/relationships/hyperlink" Target="https://www.acf.hhs.gov/ofa/programs/tanf" TargetMode="External"/><Relationship Id="rId76" Type="http://schemas.openxmlformats.org/officeDocument/2006/relationships/hyperlink" Target="http://globalhealth.org/event/the-path-towards-universal-health-coverage/%3E" TargetMode="External"/><Relationship Id="rId141" Type="http://schemas.openxmlformats.org/officeDocument/2006/relationships/hyperlink" Target="https://academic.oup.com/cid/article/36/10/1275/307956/Inhalational-Anthrax-Due-to-Bioterrorism-Would" TargetMode="External"/><Relationship Id="rId379" Type="http://schemas.openxmlformats.org/officeDocument/2006/relationships/hyperlink" Target="https://www.uscis.gov/ilink/docView/FR/HTML/FR/0-0-0-1/0-0-0-54070/0-0-0-54088/0-0-0-55744.html" TargetMode="External"/><Relationship Id="rId7" Type="http://schemas.openxmlformats.org/officeDocument/2006/relationships/hyperlink" Target="mailto:publiccharge@nilc.org" TargetMode="External"/><Relationship Id="rId183" Type="http://schemas.openxmlformats.org/officeDocument/2006/relationships/hyperlink" Target="http://www.lexisnexis.com.proxy.lib.umich.edu/lnacui2api/results/docview/docview.do?docLinkInd=true&amp;risb=21_T27722107320&amp;format=GNBFI&amp;sort=RELEVANCE&amp;startDocNo=1&amp;resultsUrlKey=29_T27722107324&amp;cisb=22_T27722107323&amp;treeMax=true&amp;treeWidth=0&amp;csi=7359&amp;docNo=2)//AO" TargetMode="External"/><Relationship Id="rId239" Type="http://schemas.openxmlformats.org/officeDocument/2006/relationships/hyperlink" Target="https://read.dukeupress.edu/jhppl/article/42/5/925/131418/Cautious-Citizenship-The-Deterring-Effect-of)//AO" TargetMode="External"/><Relationship Id="rId390" Type="http://schemas.openxmlformats.org/officeDocument/2006/relationships/hyperlink" Target="http://www.latimes.com/opinion/op-ed/la-oe-rajendra-immigration-20180309-story.html" TargetMode="External"/><Relationship Id="rId404" Type="http://schemas.openxmlformats.org/officeDocument/2006/relationships/hyperlink" Target="http://www.msnbc.com/rachel-maddow-show/trump-thinks-following-the-ada-worthy-boasts" TargetMode="External"/><Relationship Id="rId250" Type="http://schemas.openxmlformats.org/officeDocument/2006/relationships/hyperlink" Target="https://muse-jhu-edu.proxy.lib.umich.edu/journal/86" TargetMode="External"/><Relationship Id="rId292" Type="http://schemas.openxmlformats.org/officeDocument/2006/relationships/hyperlink" Target="https://www.nytimes.com/2017/11/29/opinion/gay-religious-freedom-cake.html" TargetMode="External"/><Relationship Id="rId306" Type="http://schemas.openxmlformats.org/officeDocument/2006/relationships/hyperlink" Target="https://www.chrt.org/publication/federally-qualified-health-centers-effective/" TargetMode="External"/><Relationship Id="rId45" Type="http://schemas.openxmlformats.org/officeDocument/2006/relationships/hyperlink" Target="https://gspp.berkeley.edu/assets/uploads/research/pdf/Hoynes-Schanzenbach-Almond-AER-2016.pdf" TargetMode="External"/><Relationship Id="rId87" Type="http://schemas.openxmlformats.org/officeDocument/2006/relationships/hyperlink" Target="http://www.presidency.ucsb.edu/ws/index.php?pid=22344" TargetMode="External"/><Relationship Id="rId110" Type="http://schemas.openxmlformats.org/officeDocument/2006/relationships/hyperlink" Target="https://www.vox.com/2018/2/8/16993172/trump-regulation-immigrants-benefits-public-charge" TargetMode="External"/><Relationship Id="rId348" Type="http://schemas.openxmlformats.org/officeDocument/2006/relationships/hyperlink" Target="https://www.newyorker.com/news/our-columnists/in-america-naturalized-citizens-no-longer-have-an-assumption-of-permanence" TargetMode="External"/><Relationship Id="rId152" Type="http://schemas.openxmlformats.org/officeDocument/2006/relationships/hyperlink" Target="https://www.communitycatalyst.org/news/newsletters/november-2017/the-intersection-of-immigration-status-and-health-has-never-been-more-clear" TargetMode="External"/><Relationship Id="rId194" Type="http://schemas.openxmlformats.org/officeDocument/2006/relationships/hyperlink" Target="https://www.aljazeera.com/news/2017/09/daca-rescinded-immigrant-programme-170905192454024.html" TargetMode="External"/><Relationship Id="rId208" Type="http://schemas.openxmlformats.org/officeDocument/2006/relationships/hyperlink" Target="http://legisworks.org/sal/32/stats/STATUTE-32-Pg1213.pdf" TargetMode="External"/><Relationship Id="rId415" Type="http://schemas.openxmlformats.org/officeDocument/2006/relationships/hyperlink" Target="https://enabledisability.wordpress.com/category/upias/" TargetMode="External"/><Relationship Id="rId261" Type="http://schemas.openxmlformats.org/officeDocument/2006/relationships/hyperlink" Target="https://www.cia.gov/library/Publications/the-world-factbook/geos/li.html" TargetMode="External"/><Relationship Id="rId14" Type="http://schemas.openxmlformats.org/officeDocument/2006/relationships/hyperlink" Target="https://cdn.vox-cdn.com/uploads/chorus_asset/file/10188201/DRAFT_NPRM_public_charge.0.pdf" TargetMode="External"/><Relationship Id="rId56" Type="http://schemas.openxmlformats.org/officeDocument/2006/relationships/hyperlink" Target="https://www.kff.org/person/samantha-artiga/" TargetMode="External"/><Relationship Id="rId317" Type="http://schemas.openxmlformats.org/officeDocument/2006/relationships/hyperlink" Target="https://www.chrt.org/publication/federally-qualified-health-centers-effective/" TargetMode="External"/><Relationship Id="rId359" Type="http://schemas.openxmlformats.org/officeDocument/2006/relationships/hyperlink" Target="http://www.pewresearch.org/fact-tank/2017/09/25/key-facts-about-unauthorized-immigrants-enrolled-in-daca/" TargetMode="External"/><Relationship Id="rId98" Type="http://schemas.openxmlformats.org/officeDocument/2006/relationships/hyperlink" Target="https://www.gpo.gov/fdsys/pkg/FR-1999-05-26/html/99-13188.htm" TargetMode="External"/><Relationship Id="rId121" Type="http://schemas.openxmlformats.org/officeDocument/2006/relationships/hyperlink" Target="https://www.washingtonpost.com/world/national-security/us-immigration-agency-to-more-closely-monitor-caseworkers-documents-show/2018/03/15/c8289c0c-2881-11e8-874b-d517e912f125_story.html?utm_term=.997aad0862a7" TargetMode="External"/><Relationship Id="rId163" Type="http://schemas.openxmlformats.org/officeDocument/2006/relationships/hyperlink" Target="https://psmag.com/social-justice/is-trump-solving-the-immigration-court-backlog-or-is-he-funding-it" TargetMode="External"/><Relationship Id="rId219" Type="http://schemas.openxmlformats.org/officeDocument/2006/relationships/hyperlink" Target="https://www.aclu.org/report/deportation-default-mental-disability-unfair-hearings-and-indefinite-detention-us-immigration?redirect=human-rights/deportation-default-mental-disability-unfair-hearings-and-indefinite-detention-us-immig" TargetMode="External"/><Relationship Id="rId370" Type="http://schemas.openxmlformats.org/officeDocument/2006/relationships/hyperlink" Target="http://publications.unidosus.org/bitstream/handle/123456789/1855/fy2019_factsheetonpotusbudget.pdf?sequence=3&amp;isAllowed=y" TargetMode="External"/><Relationship Id="rId230" Type="http://schemas.openxmlformats.org/officeDocument/2006/relationships/hyperlink" Target="https://poseidon01.ssrn.com/delivery.php?ID=447071097117025119008121113118082122033040063036031057022082085090121126018080125029045114020060007100109067002110007083071127122078037060059122028110095018003021033050027075006124085086126023112103083018119124092071066075010094113065065076003008&amp;EXT=pdf" TargetMode="External"/><Relationship Id="rId25" Type="http://schemas.openxmlformats.org/officeDocument/2006/relationships/hyperlink" Target="https://fns-prod.azureedge.net/sites/default/files/pd/27wilatest.pdf" TargetMode="External"/><Relationship Id="rId67" Type="http://schemas.openxmlformats.org/officeDocument/2006/relationships/hyperlink" Target="https://www.washingtonpost.com/world/national-security/trump-proposal-would-penalize-immigrants-who-use-tax-credits-and-other-benefits/2018/03/28/4c6392e0-2924-11e8-bc72-077aa4dab9ef_story.html?utm_term=.23f765f5c7e0" TargetMode="External"/><Relationship Id="rId272" Type="http://schemas.openxmlformats.org/officeDocument/2006/relationships/hyperlink" Target="https://www.theatlantic.com/health/archive/2016/06/infectious-diseases-extinction/487514/" TargetMode="External"/><Relationship Id="rId328" Type="http://schemas.openxmlformats.org/officeDocument/2006/relationships/hyperlink" Target="https://www.commonwealthfund.org/person/pamela-riley-md" TargetMode="External"/><Relationship Id="rId132" Type="http://schemas.openxmlformats.org/officeDocument/2006/relationships/hyperlink" Target="https://www.princeton.edu/sgs/" TargetMode="External"/><Relationship Id="rId174" Type="http://schemas.openxmlformats.org/officeDocument/2006/relationships/hyperlink" Target="http://colorlines.com/archives/2013/04/no_healthcare_for_newly_legalized_immigrants_but_may_still_pay_aca_fines.html" TargetMode="External"/><Relationship Id="rId381" Type="http://schemas.openxmlformats.org/officeDocument/2006/relationships/hyperlink" Target="https://fas.org/sgp/crs/misc/RL33809.pdf" TargetMode="External"/><Relationship Id="rId241" Type="http://schemas.openxmlformats.org/officeDocument/2006/relationships/hyperlink" Target="https://en.wikipedia.org/wiki/Griffith_University" TargetMode="External"/><Relationship Id="rId36" Type="http://schemas.openxmlformats.org/officeDocument/2006/relationships/hyperlink" Target="https://www.reginfo.gov/public/do/eAgendaViewRule?pubId=201710&amp;RIN=1615-AA22" TargetMode="External"/><Relationship Id="rId283" Type="http://schemas.openxmlformats.org/officeDocument/2006/relationships/hyperlink" Target="https://www.congress.gov/bill/115th-congress/house-bill/620" TargetMode="External"/><Relationship Id="rId339" Type="http://schemas.openxmlformats.org/officeDocument/2006/relationships/hyperlink" Target="https://www.unidosus.org/about-us/media/our-experts/profiles/carlos-a-guevara" TargetMode="External"/><Relationship Id="rId78" Type="http://schemas.openxmlformats.org/officeDocument/2006/relationships/hyperlink" Target="http://pulse.ncpolicywatch.org/2018/05/18/controversial-farm-bill-falls-in-the-u-s-house-divides-nc-congressional-delegation/" TargetMode="External"/><Relationship Id="rId101" Type="http://schemas.openxmlformats.org/officeDocument/2006/relationships/hyperlink" Target="https://mises.org/library/sweatshops-way-out-poverty" TargetMode="External"/><Relationship Id="rId143" Type="http://schemas.openxmlformats.org/officeDocument/2006/relationships/hyperlink" Target="https://www.theglobeandmail.com/news/national/lastmans-on-air-gaffes-add-to-torontos-woes/article1013974/" TargetMode="External"/><Relationship Id="rId185" Type="http://schemas.openxmlformats.org/officeDocument/2006/relationships/hyperlink" Target="https://www.lexisnexis.com/legalnewsroom/immigration/b/immigration-law-blog/archive/2018/01/22/39-public-charge-39-update-to-9-fam-302-8-jan-4-2018.aspx?Redirected=true" TargetMode="External"/><Relationship Id="rId350" Type="http://schemas.openxmlformats.org/officeDocument/2006/relationships/hyperlink" Target="https://www.cato.org/blog/how-time-can-move-backward-immigrants-waiting-green-cards-4" TargetMode="External"/><Relationship Id="rId406" Type="http://schemas.openxmlformats.org/officeDocument/2006/relationships/hyperlink" Target="http://www.nbcnews.com/news/us-news/half-people-killed-police-suffer-mental-disability-report-n538371" TargetMode="External"/><Relationship Id="rId9" Type="http://schemas.openxmlformats.org/officeDocument/2006/relationships/hyperlink" Target="https://www.whitehouse.gov/the-press-office/2017/01/25/presidential-executive-order-enhancing-public-safety-interior-united" TargetMode="External"/><Relationship Id="rId210" Type="http://schemas.openxmlformats.org/officeDocument/2006/relationships/hyperlink" Target="https://www.newstatesman.com/society/2010/12/disabled-america-immigration" TargetMode="External"/><Relationship Id="rId392" Type="http://schemas.openxmlformats.org/officeDocument/2006/relationships/hyperlink" Target="https://www.whitehouse.gov/presidential-actions/executive-order-reducing-poverty-america-promoting-opportunity-economic-mobility/" TargetMode="External"/><Relationship Id="rId252" Type="http://schemas.openxmlformats.org/officeDocument/2006/relationships/hyperlink" Target="https://muse-jhu-edu.proxy.lib.umich.edu/search?action=browse&amp;limit=subscription:y&amp;limit=publisher_id:1&amp;min=1&amp;max=10&amp;t=publisher_facet_select" TargetMode="External"/><Relationship Id="rId294" Type="http://schemas.openxmlformats.org/officeDocument/2006/relationships/hyperlink" Target="https://www.congress.gov/bill/115th-congress/house-bill/620" TargetMode="External"/><Relationship Id="rId308" Type="http://schemas.openxmlformats.org/officeDocument/2006/relationships/hyperlink" Target="https://www.chrt.org/publication/federally-qualified-health-centers-effective/" TargetMode="External"/><Relationship Id="rId47" Type="http://schemas.openxmlformats.org/officeDocument/2006/relationships/hyperlink" Target="http://www.apa.org/topics/anxiety/index.aspx" TargetMode="External"/><Relationship Id="rId89" Type="http://schemas.openxmlformats.org/officeDocument/2006/relationships/hyperlink" Target="https://academicworks.cuny.edu/cgi/viewcontent.cgi?article=1261&amp;context=cc_etds_theses" TargetMode="External"/><Relationship Id="rId112" Type="http://schemas.openxmlformats.org/officeDocument/2006/relationships/hyperlink" Target="https://taxfoundation.org/overview-earned-income-tax-credit-eitc-awareness-day/" TargetMode="External"/><Relationship Id="rId154" Type="http://schemas.openxmlformats.org/officeDocument/2006/relationships/hyperlink" Target="https://psmag.com/tag/immigration" TargetMode="External"/><Relationship Id="rId361" Type="http://schemas.openxmlformats.org/officeDocument/2006/relationships/hyperlink" Target="https://www.washingtonpost.com/news/post-nation/wp/2018/02/22/nation-of-immigrants-according-to-u-s-customs-and-immigration-services-not-so-much/?noredirect=on&amp;utm_term=.aea14e33111a" TargetMode="External"/><Relationship Id="rId196" Type="http://schemas.openxmlformats.org/officeDocument/2006/relationships/hyperlink" Target="https://www.theatlantic.com/politics/archive/2017/10/the-language-of-white-supremacy/542148/" TargetMode="External"/><Relationship Id="rId417" Type="http://schemas.openxmlformats.org/officeDocument/2006/relationships/hyperlink" Target="https://themighty.com/2017/07/employment-of-people-with-disabilities-remains-low-27-years-after-ada/" TargetMode="External"/><Relationship Id="rId16" Type="http://schemas.openxmlformats.org/officeDocument/2006/relationships/hyperlink" Target="https://www.nilc.org/wp-content/uploads/2018/01/Public-Charge-Fact-Sheet-2018.pdf" TargetMode="External"/><Relationship Id="rId221" Type="http://schemas.openxmlformats.org/officeDocument/2006/relationships/hyperlink" Target="https://patnet2012.files.wordpress.com/2011/09/mariana_obrien-pat_net_20121.pdf" TargetMode="External"/><Relationship Id="rId263" Type="http://schemas.openxmlformats.org/officeDocument/2006/relationships/hyperlink" Target="https://www.cia.gov/library/Publications/the-world-factbook/geos/sl.html" TargetMode="External"/><Relationship Id="rId319" Type="http://schemas.openxmlformats.org/officeDocument/2006/relationships/hyperlink" Target="https://www.chrt.org/publication/federally-qualified-health-centers-effective/" TargetMode="External"/><Relationship Id="rId58" Type="http://schemas.openxmlformats.org/officeDocument/2006/relationships/hyperlink" Target="https://www.kff.org/disparities-policy/issue-brief/potential-effects-of-public-charge-changes-on-health-coverage-for-citizen-children/view/footnotes/" TargetMode="External"/><Relationship Id="rId123" Type="http://schemas.openxmlformats.org/officeDocument/2006/relationships/hyperlink" Target="https://www.wsws.org/en/articles/2018/03/31/immi-m31.html" TargetMode="External"/><Relationship Id="rId330" Type="http://schemas.openxmlformats.org/officeDocument/2006/relationships/hyperlink" Target="http://www.modernhealthcare.com/article/20160820/MAGAZINE/308209979" TargetMode="External"/><Relationship Id="rId165" Type="http://schemas.openxmlformats.org/officeDocument/2006/relationships/hyperlink" Target="https://www.vox.com/2018/2/8/16993172/trump-regulation-immigrants-benefits-public-charge" TargetMode="External"/><Relationship Id="rId372" Type="http://schemas.openxmlformats.org/officeDocument/2006/relationships/hyperlink" Target="https://www.uscis.gov/news/news-releases/uscis-to-expand-in-person-interview-requirements-for-certain-permanent-residency-applicants" TargetMode="External"/><Relationship Id="rId232" Type="http://schemas.openxmlformats.org/officeDocument/2006/relationships/hyperlink" Target="http://www.alllaw.com/articles/nolo/us-immigration/mental-illness-barrier.html" TargetMode="External"/><Relationship Id="rId274" Type="http://schemas.openxmlformats.org/officeDocument/2006/relationships/hyperlink" Target="https://www.ada.gov/trump_tajmajal_sa.html" TargetMode="External"/><Relationship Id="rId27" Type="http://schemas.openxmlformats.org/officeDocument/2006/relationships/hyperlink" Target="https://www.census.gov/newsroom/press-releases/2017/income-povery.html" TargetMode="External"/><Relationship Id="rId69" Type="http://schemas.openxmlformats.org/officeDocument/2006/relationships/hyperlink" Target="https://www.migrationpolicy.org/article/immigrant-health-care-workers-united-states" TargetMode="External"/><Relationship Id="rId134" Type="http://schemas.openxmlformats.org/officeDocument/2006/relationships/hyperlink" Target="https://www.congress.gov/bill/115th-congress/house-bill/1628" TargetMode="External"/><Relationship Id="rId80" Type="http://schemas.openxmlformats.org/officeDocument/2006/relationships/hyperlink" Target="https://www.kff.org/disparities-policy/issue-brief/nearly-20-million-children-live-in-immigrant-families-that-could-be-affected-by-evolving-immigration-policies/" TargetMode="External"/><Relationship Id="rId176" Type="http://schemas.openxmlformats.org/officeDocument/2006/relationships/hyperlink" Target="https://www.nytimes.com/2017/04/03/opinion/who-is-the-victim-in-the-anna-stubblefield-case.html?_r=1" TargetMode="External"/><Relationship Id="rId341" Type="http://schemas.openxmlformats.org/officeDocument/2006/relationships/hyperlink" Target="https://www.nytimes.com/2016/10/18/opinion/why-trump-doubled-down-on-the-central-park-five.html" TargetMode="External"/><Relationship Id="rId383" Type="http://schemas.openxmlformats.org/officeDocument/2006/relationships/hyperlink" Target="http://blog.unidosus.org/2018/05/01/public-charge/" TargetMode="External"/><Relationship Id="rId201" Type="http://schemas.openxmlformats.org/officeDocument/2006/relationships/hyperlink" Target="https://www.cnbc.com/2017/09/05/daca-deportations-could-cost-us-economy-more-than-400-billion.html" TargetMode="External"/><Relationship Id="rId243" Type="http://schemas.openxmlformats.org/officeDocument/2006/relationships/hyperlink" Target="https://en.wikipedia.org/wiki/Griffith_University" TargetMode="External"/><Relationship Id="rId285" Type="http://schemas.openxmlformats.org/officeDocument/2006/relationships/hyperlink" Target="https://www.usatoday.com/story/news/2017/10/29/several-states-crack-down-fake-service-animals/807676001/" TargetMode="External"/><Relationship Id="rId17" Type="http://schemas.openxmlformats.org/officeDocument/2006/relationships/hyperlink" Target="https://cdn3.vox-cdn.com/uploads/chorus_asset/file/7872571/Protecting_Taxpayer_Resources_by_Ensuring_Our_Immigration_Laws_Promote_Accountability_and_Responsibility.0.pdf" TargetMode="External"/><Relationship Id="rId38" Type="http://schemas.openxmlformats.org/officeDocument/2006/relationships/hyperlink" Target="https://www.nytimes.com/2018/03/06/us/politics/trump-immigrants-public-nutrition-services.html" TargetMode="External"/><Relationship Id="rId59" Type="http://schemas.openxmlformats.org/officeDocument/2006/relationships/hyperlink" Target="https://www.kff.org/disparities-policy/fact-sheet/proposed-changes-to-public-charge-policies-for-immigrants-implications-for-health-coverage/" TargetMode="External"/><Relationship Id="rId103" Type="http://schemas.openxmlformats.org/officeDocument/2006/relationships/hyperlink" Target="https://en.wikipedia.org/wiki/Disability_rights_movement" TargetMode="External"/><Relationship Id="rId124" Type="http://schemas.openxmlformats.org/officeDocument/2006/relationships/hyperlink" Target="https://fas.org/irp/threat/nie99-17d.htm" TargetMode="External"/><Relationship Id="rId310" Type="http://schemas.openxmlformats.org/officeDocument/2006/relationships/hyperlink" Target="https://www.chrt.org/publication/federally-qualified-health-centers-effective/" TargetMode="External"/><Relationship Id="rId70" Type="http://schemas.openxmlformats.org/officeDocument/2006/relationships/hyperlink" Target="https://www.cnn.com/2017/04/17/health/home-health-worker-insurance-partner/index.html" TargetMode="External"/><Relationship Id="rId91" Type="http://schemas.openxmlformats.org/officeDocument/2006/relationships/hyperlink" Target="http://press.uchicago.edu/ucp/books/book/chicago/D/bo23467806.html" TargetMode="External"/><Relationship Id="rId145" Type="http://schemas.openxmlformats.org/officeDocument/2006/relationships/hyperlink" Target="http://www.euro.who.int/__data/assets/pdf_file/0009/302967/Israel-HiT.pdf?ua=1" TargetMode="External"/><Relationship Id="rId166" Type="http://schemas.openxmlformats.org/officeDocument/2006/relationships/hyperlink" Target="http://www.apple.com/" TargetMode="External"/><Relationship Id="rId187" Type="http://schemas.openxmlformats.org/officeDocument/2006/relationships/hyperlink" Target="http://www.whitlockgray.com/practice/immigration-waivers/" TargetMode="External"/><Relationship Id="rId331" Type="http://schemas.openxmlformats.org/officeDocument/2006/relationships/hyperlink" Target="https://www.commonwealthfund.org/publications/surveys/2015/jun/kaiser-family-foundationcommonwealth-fund-2015-national-survey" TargetMode="External"/><Relationship Id="rId352" Type="http://schemas.openxmlformats.org/officeDocument/2006/relationships/hyperlink" Target="https://niskanencenter.org/wp-content/uploads/2017/11/Overview-of-Family-Migration-Report.pdf" TargetMode="External"/><Relationship Id="rId373" Type="http://schemas.openxmlformats.org/officeDocument/2006/relationships/hyperlink" Target="https://www.reuters.com/article/us-trump-effect-immigration/fewer-family-visas-approved-as-trump-toughens-vetting-of-immigrants-reuters-review-idUSKBN1ET15I" TargetMode="External"/><Relationship Id="rId394" Type="http://schemas.openxmlformats.org/officeDocument/2006/relationships/hyperlink" Target="https://www.nbcnews.com/politics/white-house/trump-moves-stiffen-work-requirements-food-stamps-n850776" TargetMode="External"/><Relationship Id="rId408" Type="http://schemas.openxmlformats.org/officeDocument/2006/relationships/hyperlink" Target="http://www.npr.org/templates/story/story.php?storyId=12253244" TargetMode="External"/><Relationship Id="rId1" Type="http://schemas.openxmlformats.org/officeDocument/2006/relationships/customXml" Target="../customXml/item1.xml"/><Relationship Id="rId212" Type="http://schemas.openxmlformats.org/officeDocument/2006/relationships/hyperlink" Target="http://encyclopedia.densho.org/Immigration%2520Act%2520of%25201917/" TargetMode="External"/><Relationship Id="rId233" Type="http://schemas.openxmlformats.org/officeDocument/2006/relationships/hyperlink" Target="https://www.cdc.gov/immigrantrefugeehealth/laws-regs/hiv-ban-removal/fact-sheet.html" TargetMode="External"/><Relationship Id="rId254" Type="http://schemas.openxmlformats.org/officeDocument/2006/relationships/hyperlink" Target="https://plus.google.com/events/cine8vmm4agcr1ra5e6nngnjlok" TargetMode="External"/><Relationship Id="rId28" Type="http://schemas.openxmlformats.org/officeDocument/2006/relationships/hyperlink" Target="https://www.cbpp.org/research/poverty-and-inequality/child-poverty-falls-to-record-low-comprehensive-measure-shows" TargetMode="External"/><Relationship Id="rId49" Type="http://schemas.openxmlformats.org/officeDocument/2006/relationships/hyperlink" Target="file:///C:\Users\Charlie\Dropbox\Public%20Charge%20Aff%20Work\EQUAL%20VOICE%20NEWS,%20https:\www.caseygrants.org\evn\will-public-charge-block-citizenship-for-immigrants\)\CWB" TargetMode="External"/><Relationship Id="rId114" Type="http://schemas.openxmlformats.org/officeDocument/2006/relationships/hyperlink" Target="https://theslot.jezebel.com/the-department-of-homeland-security-has-found-a-new-ho-1824156841" TargetMode="External"/><Relationship Id="rId275" Type="http://schemas.openxmlformats.org/officeDocument/2006/relationships/hyperlink" Target="http://www.msnbc.com/rachel-maddow-show/trump-thinks-following-the-ada-worthy-boasts" TargetMode="External"/><Relationship Id="rId296" Type="http://schemas.openxmlformats.org/officeDocument/2006/relationships/hyperlink" Target="https://www.teenvogue.com/story/hr-620-could-put-disability-rights-at-risk" TargetMode="External"/><Relationship Id="rId300" Type="http://schemas.openxmlformats.org/officeDocument/2006/relationships/hyperlink" Target="https://www.tandfonline.com/loi/cdso20" TargetMode="External"/><Relationship Id="rId60" Type="http://schemas.openxmlformats.org/officeDocument/2006/relationships/hyperlink" Target="https://www.kff.org/disparities-policy/issue-brief/potential-effects-of-public-charge-changes-on-health-coverage-for-citizen-children/view/footnotes/" TargetMode="External"/><Relationship Id="rId81" Type="http://schemas.openxmlformats.org/officeDocument/2006/relationships/hyperlink" Target="https://www.nejm.org/doi/full/10.1056/nejmp078113" TargetMode="External"/><Relationship Id="rId135" Type="http://schemas.openxmlformats.org/officeDocument/2006/relationships/hyperlink" Target="https://www.cdc.gov/funding/documents/CDC-PPHF-Funding-Impact.pdf" TargetMode="External"/><Relationship Id="rId156" Type="http://schemas.openxmlformats.org/officeDocument/2006/relationships/hyperlink" Target="https://www.americanprogress.org/issues/immigration/news/2018/02/12/446413/trump-plans-new-limits-family-immigration-access-services/" TargetMode="External"/><Relationship Id="rId177" Type="http://schemas.openxmlformats.org/officeDocument/2006/relationships/hyperlink" Target="https://en.wikipedia.org/wiki/College_of_William_%26_Mary" TargetMode="External"/><Relationship Id="rId198" Type="http://schemas.openxmlformats.org/officeDocument/2006/relationships/hyperlink" Target="http://fortune.com/2017/09/11/daca-immigration-economy-donald-trump/" TargetMode="External"/><Relationship Id="rId321" Type="http://schemas.openxmlformats.org/officeDocument/2006/relationships/hyperlink" Target="https://www.chrt.org/publication/federally-qualified-health-centers-effective/" TargetMode="External"/><Relationship Id="rId342" Type="http://schemas.openxmlformats.org/officeDocument/2006/relationships/hyperlink" Target="https://medium.com/@WeAreUnidosUS/truth-about-trump-immigration-policy-c2642465cbcb" TargetMode="External"/><Relationship Id="rId363" Type="http://schemas.openxmlformats.org/officeDocument/2006/relationships/hyperlink" Target="https://medium.com/@WeAreUnidosUS/truth-about-trump-immigration-policy-c2642465cbcb" TargetMode="External"/><Relationship Id="rId384" Type="http://schemas.openxmlformats.org/officeDocument/2006/relationships/hyperlink" Target="https://www.migrationpolicy.org/sites/default/files/powerpoints/MPI-PublicCharge-June12-Webinar-Slides.pdf" TargetMode="External"/><Relationship Id="rId419" Type="http://schemas.openxmlformats.org/officeDocument/2006/relationships/hyperlink" Target="https://muse-jhu-edu.proxy.lib.umich.edu/search?action=search&amp;query=author:R.%20Kyle%20Kellam" TargetMode="External"/><Relationship Id="rId202" Type="http://schemas.openxmlformats.org/officeDocument/2006/relationships/hyperlink" Target="http://time.com/money/4928394/daca-economic-cost-trump/" TargetMode="External"/><Relationship Id="rId223" Type="http://schemas.openxmlformats.org/officeDocument/2006/relationships/hyperlink" Target="http://courses.washington.edu/intro2ds/Readings/Baynton.pdf" TargetMode="External"/><Relationship Id="rId244" Type="http://schemas.openxmlformats.org/officeDocument/2006/relationships/hyperlink" Target="http://www.uscis.gov/news/fact-sheets/public-charge-fact-sheet" TargetMode="External"/><Relationship Id="rId18" Type="http://schemas.openxmlformats.org/officeDocument/2006/relationships/hyperlink" Target="https://www.reginfo.gov/public/do/eAgendaViewRule?pubId=201710&amp;RIN=1615-AA22" TargetMode="External"/><Relationship Id="rId39" Type="http://schemas.openxmlformats.org/officeDocument/2006/relationships/hyperlink" Target="https://fns-prod.azureedge.net/sites/default/files/pd/SNAPsummary.pdf" TargetMode="External"/><Relationship Id="rId265" Type="http://schemas.openxmlformats.org/officeDocument/2006/relationships/hyperlink" Target="https://www.cia.gov/library/Publications/the-world-factbook/geos/dr.html" TargetMode="External"/><Relationship Id="rId286" Type="http://schemas.openxmlformats.org/officeDocument/2006/relationships/hyperlink" Target="http://www.ajc.com/travel/delta-passenger-bitten-emotional-support-dog-couldn-escape-says-attorney/nYtlgO1rGbVMv68XekCWUL/" TargetMode="External"/><Relationship Id="rId50" Type="http://schemas.openxmlformats.org/officeDocument/2006/relationships/hyperlink" Target="https://caimmigrant.org/" TargetMode="External"/><Relationship Id="rId104" Type="http://schemas.openxmlformats.org/officeDocument/2006/relationships/hyperlink" Target="https://en.wikipedia.org/wiki/Disability_Studies" TargetMode="External"/><Relationship Id="rId125" Type="http://schemas.openxmlformats.org/officeDocument/2006/relationships/hyperlink" Target="http://bush.tamu.edu/scowcroft/white-papers/The-Growing-Threat-of-Pandemics.pdf" TargetMode="External"/><Relationship Id="rId146" Type="http://schemas.openxmlformats.org/officeDocument/2006/relationships/hyperlink" Target="https://thebulletin.org/strong-health-care-equals-strong-emergency-response" TargetMode="External"/><Relationship Id="rId167" Type="http://schemas.openxmlformats.org/officeDocument/2006/relationships/hyperlink" Target="http://time.com/5100328/shithole-countries-trump-reactions/" TargetMode="External"/><Relationship Id="rId188" Type="http://schemas.openxmlformats.org/officeDocument/2006/relationships/hyperlink" Target="http://dyanwilliamslaw.com/2015/11/changes-to-the-visa-bulletin-understanding-the-two-filing-charts/" TargetMode="External"/><Relationship Id="rId311" Type="http://schemas.openxmlformats.org/officeDocument/2006/relationships/hyperlink" Target="https://www.chrt.org/publication/federally-qualified-health-centers-effective/" TargetMode="External"/><Relationship Id="rId332" Type="http://schemas.openxmlformats.org/officeDocument/2006/relationships/hyperlink" Target="https://www.commonwealthfund.org/publications/surveys/2017/feb/2016-biennial-health-insurance-survey" TargetMode="External"/><Relationship Id="rId353" Type="http://schemas.openxmlformats.org/officeDocument/2006/relationships/hyperlink" Target="https://www.urban.org/sites/default/files/publication/95451/immigration_social_security_finances_0.pdf" TargetMode="External"/><Relationship Id="rId374" Type="http://schemas.openxmlformats.org/officeDocument/2006/relationships/hyperlink" Target="https://www.govexec.com/management/2018/06/trump-reorganization-plan-would-merge-education-and-labor-recast-hhs/149183/" TargetMode="External"/><Relationship Id="rId395" Type="http://schemas.openxmlformats.org/officeDocument/2006/relationships/hyperlink" Target="https://www.nytimes.com/2018/02/10/health/kentucky-medicaid-work-requirement.html" TargetMode="External"/><Relationship Id="rId409" Type="http://schemas.openxmlformats.org/officeDocument/2006/relationships/hyperlink" Target="https://www.ncbi.nlm.nih.gov/pmc/articles/PMC2796312/" TargetMode="External"/><Relationship Id="rId71" Type="http://schemas.openxmlformats.org/officeDocument/2006/relationships/hyperlink" Target="https://www.migrationpolicy.org/data/state-profiles/state/demographics/US" TargetMode="External"/><Relationship Id="rId92" Type="http://schemas.openxmlformats.org/officeDocument/2006/relationships/hyperlink" Target="https://www.documentcloud.org/documents/4374873-DRAFT-NPRM-Public-Charge-2-6-18.html" TargetMode="External"/><Relationship Id="rId213" Type="http://schemas.openxmlformats.org/officeDocument/2006/relationships/hyperlink" Target="http://www.disabilitymuseum.org/dhm/edu/essay.html?id=70" TargetMode="External"/><Relationship Id="rId234" Type="http://schemas.openxmlformats.org/officeDocument/2006/relationships/hyperlink" Target="https://www.c-span.org/video/?420932-1/attorney-general-nominee-jeff-sessions-testifies-confirmation-hearing&amp;start=11114" TargetMode="External"/><Relationship Id="rId420" Type="http://schemas.openxmlformats.org/officeDocument/2006/relationships/hyperlink" Target="https://muse-jhu-edu.proxy.lib.umich.edu/journal/171" TargetMode="External"/><Relationship Id="rId2" Type="http://schemas.openxmlformats.org/officeDocument/2006/relationships/numbering" Target="numbering.xml"/><Relationship Id="rId29" Type="http://schemas.openxmlformats.org/officeDocument/2006/relationships/hyperlink" Target="https://www.povertycenter.columbia.edu/news-internal/2018/3/28/changes-to-public-charge-rule-may-put-500000-more-us-citizen-children-at-risk-of-moving-into-poverty" TargetMode="External"/><Relationship Id="rId255" Type="http://schemas.openxmlformats.org/officeDocument/2006/relationships/hyperlink" Target="http://www.urban.org/UploadedPDF/1001520-Uninsured-After-Health-Insurance-Reform.pdf" TargetMode="External"/><Relationship Id="rId276" Type="http://schemas.openxmlformats.org/officeDocument/2006/relationships/hyperlink" Target="https://www.washingtonpost.com/news/post-nation/wp/2016/07/11/arent-more-white-people-than-black-people-killed-by-police-yes-but-no/" TargetMode="External"/><Relationship Id="rId297" Type="http://schemas.openxmlformats.org/officeDocument/2006/relationships/hyperlink" Target="https://www.defendingourfuture.org/hr-620-ada-education-and-reform-act/" TargetMode="External"/><Relationship Id="rId40" Type="http://schemas.openxmlformats.org/officeDocument/2006/relationships/hyperlink" Target="https://fns-prod.azureedge.net/sites/default/files/pd/wisummary.pdf" TargetMode="External"/><Relationship Id="rId115" Type="http://schemas.openxmlformats.org/officeDocument/2006/relationships/hyperlink" Target="https://theslot.jezebel.com/the-department-of-homeland-security-has-found-a-new-ho-1824156841" TargetMode="External"/><Relationship Id="rId136" Type="http://schemas.openxmlformats.org/officeDocument/2006/relationships/hyperlink" Target="https://www.cbo.gov/system/files/115th-congress-2017-2018/costestimate/hr1628aspassed.pdf" TargetMode="External"/><Relationship Id="rId157" Type="http://schemas.openxmlformats.org/officeDocument/2006/relationships/hyperlink" Target="https://psmag.com/tag/department-of-homeland-security" TargetMode="External"/><Relationship Id="rId178" Type="http://schemas.openxmlformats.org/officeDocument/2006/relationships/hyperlink" Target="https://en.wikipedia.org/wiki/Post-Polio_Health_International" TargetMode="External"/><Relationship Id="rId301" Type="http://schemas.openxmlformats.org/officeDocument/2006/relationships/hyperlink" Target="https://www.bphc.hrsa.gov/about/healthcenterfactsheet.pdf" TargetMode="External"/><Relationship Id="rId322" Type="http://schemas.openxmlformats.org/officeDocument/2006/relationships/hyperlink" Target="https://www.chrt.org/publication/federally-qualified-health-centers-effective/" TargetMode="External"/><Relationship Id="rId343" Type="http://schemas.openxmlformats.org/officeDocument/2006/relationships/hyperlink" Target="https://medium.com/@WeAreUnidosUS/these-are-the-lives-disrupted-by-the-deportation-machine-f1d57df9b874" TargetMode="External"/><Relationship Id="rId364" Type="http://schemas.openxmlformats.org/officeDocument/2006/relationships/hyperlink" Target="https://www.washingtonpost.com/world/national-security/us-embassy-cables-warned-against-expelling-300000-immigrants-trump-officials-did-it-anyway/2018/05/08/065e5702-4fe5-11e8-b966-bfb0da2dad62_story.html?utm_term=.7276e7b484cd" TargetMode="External"/><Relationship Id="rId61" Type="http://schemas.openxmlformats.org/officeDocument/2006/relationships/hyperlink" Target="https://www.kff.org/disparities-policy/issue-brief/potential-effects-of-public-charge-changes-on-health-coverage-for-citizen-children/view/footnotes/" TargetMode="External"/><Relationship Id="rId82" Type="http://schemas.openxmlformats.org/officeDocument/2006/relationships/hyperlink" Target="https://www.vox.com/2018/2/8/16993172/trump-regulation-immigrants-benefits-public-charge" TargetMode="External"/><Relationship Id="rId199" Type="http://schemas.openxmlformats.org/officeDocument/2006/relationships/hyperlink" Target="https://www.americanprogress.org/issues/immigration/news/2017/08/28/437956/daca-recipients-economic-educational-gains-continue-grow/" TargetMode="External"/><Relationship Id="rId203" Type="http://schemas.openxmlformats.org/officeDocument/2006/relationships/hyperlink" Target="https://www.nytimes.com/2017/09/06/opinion/daca-immigrants-economic-contributions.html?_r=0" TargetMode="External"/><Relationship Id="rId385" Type="http://schemas.openxmlformats.org/officeDocument/2006/relationships/hyperlink" Target="https://www.huffingtonpost.com/entry/americans-welfare-perceptions-survey_us_5a7880cde4b0d3df1d13f60b" TargetMode="External"/><Relationship Id="rId19" Type="http://schemas.openxmlformats.org/officeDocument/2006/relationships/hyperlink" Target="https://cdn.vox-cdn.com/uploads/chorus_asset/file/10188201/DRAFT_NPRM_public_charge.0.pdf" TargetMode="External"/><Relationship Id="rId224" Type="http://schemas.openxmlformats.org/officeDocument/2006/relationships/hyperlink" Target="https://papers.ssrn.com/sol3/papers2.cfm?abstract_id=2606781" TargetMode="External"/><Relationship Id="rId245" Type="http://schemas.openxmlformats.org/officeDocument/2006/relationships/hyperlink" Target="https://www.uscis.gov/green-card/green-card-processes-and-procedures/public-charge" TargetMode="External"/><Relationship Id="rId266" Type="http://schemas.openxmlformats.org/officeDocument/2006/relationships/hyperlink" Target="https://www.everycrsreport.com/files/20170206_R43220_6ece03686544d907d3d96c4291bb39a17268cdf8.pdf" TargetMode="External"/><Relationship Id="rId287" Type="http://schemas.openxmlformats.org/officeDocument/2006/relationships/hyperlink" Target="http://socialprotection-humanrights.org/framework/principles/equality-and-non-discrimination/" TargetMode="External"/><Relationship Id="rId410" Type="http://schemas.openxmlformats.org/officeDocument/2006/relationships/hyperlink" Target="http://www.theatlantic.com/health/archive/2015/10/emergency-room-wait-times-sexism/410515/" TargetMode="External"/><Relationship Id="rId30" Type="http://schemas.openxmlformats.org/officeDocument/2006/relationships/hyperlink" Target="http://apps.washingtonpost.com/g/documents/world/read-the-trump-administrations-draft-proposal-penalizing-immigrants-who-accept-almost-any-public-benefit/2841/" TargetMode="External"/><Relationship Id="rId105" Type="http://schemas.openxmlformats.org/officeDocument/2006/relationships/hyperlink" Target="https://en.wikipedia.org/wiki/University_of_Greenwich" TargetMode="External"/><Relationship Id="rId126" Type="http://schemas.openxmlformats.org/officeDocument/2006/relationships/hyperlink" Target="https://www.usnews.com/news/articles/2014/10/08/pentagon-wmd-chief-ebola-could-be-used-as-a-weapon?int=news-rec" TargetMode="External"/><Relationship Id="rId147" Type="http://schemas.openxmlformats.org/officeDocument/2006/relationships/hyperlink" Target="http://constitutionus.com/" TargetMode="External"/><Relationship Id="rId168" Type="http://schemas.openxmlformats.org/officeDocument/2006/relationships/hyperlink" Target="http://library.uwb.edu/Static/USimmigration/9%20stat%20127.pdf" TargetMode="External"/><Relationship Id="rId312" Type="http://schemas.openxmlformats.org/officeDocument/2006/relationships/hyperlink" Target="https://www.chrt.org/publication/federally-qualified-health-centers-effective/" TargetMode="External"/><Relationship Id="rId333" Type="http://schemas.openxmlformats.org/officeDocument/2006/relationships/hyperlink" Target="https://www.commonwealthfund.org/sites/default/files/documents/___media_files_publications_issue_brief_2014_may_1745_abrams_ready_or_not_how_chcs_view_preparedness_rb.pdf" TargetMode="External"/><Relationship Id="rId354" Type="http://schemas.openxmlformats.org/officeDocument/2006/relationships/hyperlink" Target="http://www.politifact.com/wisconsin/statements/2018/jan/19/randy-bryce/would-trump-bill-have-kept-his-grandfather-and-mel/" TargetMode="External"/><Relationship Id="rId51" Type="http://schemas.openxmlformats.org/officeDocument/2006/relationships/hyperlink" Target="https://wclp.org/" TargetMode="External"/><Relationship Id="rId72" Type="http://schemas.openxmlformats.org/officeDocument/2006/relationships/hyperlink" Target="https://www.dhs.gov/immigration-statistics/special-reports/legal-immigration" TargetMode="External"/><Relationship Id="rId93" Type="http://schemas.openxmlformats.org/officeDocument/2006/relationships/hyperlink" Target="http://apps.washingtonpost.com/g/documents/national/draft-executive-orders-on-immigration/2315/" TargetMode="External"/><Relationship Id="rId189" Type="http://schemas.openxmlformats.org/officeDocument/2006/relationships/hyperlink" Target="http://dyanwilliamslaw.com/2016/04/form-i-864-key-to-meeting-the-financial-requirement-for-permanent-residence-and-avoiding-a-public-charge-determination/" TargetMode="External"/><Relationship Id="rId375" Type="http://schemas.openxmlformats.org/officeDocument/2006/relationships/hyperlink" Target="https://www.vice.com/en_us/article/d3kwww/trump-administration-understaffing-crisis" TargetMode="External"/><Relationship Id="rId396" Type="http://schemas.openxmlformats.org/officeDocument/2006/relationships/hyperlink" Target="https://www.vox.com/2018/4/10/17221292/trump-welfare-executive-order-work-requirements" TargetMode="External"/><Relationship Id="rId3" Type="http://schemas.openxmlformats.org/officeDocument/2006/relationships/styles" Target="styles.xml"/><Relationship Id="rId214" Type="http://schemas.openxmlformats.org/officeDocument/2006/relationships/hyperlink" Target="http://www.nytimes.com/2009/10/31/us/politics/31travel.html" TargetMode="External"/><Relationship Id="rId235" Type="http://schemas.openxmlformats.org/officeDocument/2006/relationships/hyperlink" Target="http://www.thedailybeast.com/articles/2017/01/28/donald-trump-s-refugee-ban-has-attorney-general-nominee-jeff-session-s-fingerprints-all-over-it.html" TargetMode="External"/><Relationship Id="rId256" Type="http://schemas.openxmlformats.org/officeDocument/2006/relationships/hyperlink" Target="https://www.reginfo.gov/public/do/eAgendaViewRule?pubId=201710&amp;RIN=1615-AA22" TargetMode="External"/><Relationship Id="rId277" Type="http://schemas.openxmlformats.org/officeDocument/2006/relationships/hyperlink" Target="http://www.nbcnews.com/news/us-news/half-people-killed-police-suffer-mental-disability-report-n538371" TargetMode="External"/><Relationship Id="rId298" Type="http://schemas.openxmlformats.org/officeDocument/2006/relationships/hyperlink" Target="https://www.disabilityscoop.com/2016/11/03/segregated-may-violate-ada/22974/" TargetMode="External"/><Relationship Id="rId400" Type="http://schemas.openxmlformats.org/officeDocument/2006/relationships/hyperlink" Target="https://muse-jhu-edu.proxy.lib.umich.edu/search?action=browse&amp;limit=subscription:y&amp;limit=publisher_id:26&amp;min=1&amp;max=10&amp;t=publisher_facet_select" TargetMode="External"/><Relationship Id="rId421" Type="http://schemas.openxmlformats.org/officeDocument/2006/relationships/hyperlink" Target="https://muse-jhu-edu.proxy.lib.umich.edu/issue/33109" TargetMode="External"/><Relationship Id="rId116" Type="http://schemas.openxmlformats.org/officeDocument/2006/relationships/hyperlink" Target="http://apps.washingtonpost.com/g/documents/world/read-the-trump-administrations-draft-proposal-penalizing-immigrants-who-accept-almost-any-public-benefit/2841/" TargetMode="External"/><Relationship Id="rId137" Type="http://schemas.openxmlformats.org/officeDocument/2006/relationships/hyperlink" Target="https://www.nytimes.com/2017/05/28/us/politics/biosecurity-trump-budget-defense.html" TargetMode="External"/><Relationship Id="rId158" Type="http://schemas.openxmlformats.org/officeDocument/2006/relationships/hyperlink" Target="https://www.reuters.com/article/us-usa-immigration-services-exclusive/exclusive-trump-administration-may-target-immigrants-who-use-food-aid-other-benefits-idUSKBN1FS2ZK" TargetMode="External"/><Relationship Id="rId302" Type="http://schemas.openxmlformats.org/officeDocument/2006/relationships/hyperlink" Target="http://www.nachc.org/wp-content/uploads/2017/03/Americas-Health-Centers_2017.pdf" TargetMode="External"/><Relationship Id="rId323" Type="http://schemas.openxmlformats.org/officeDocument/2006/relationships/hyperlink" Target="https://www.chrt.org/publication/federally-qualified-health-centers-effective/" TargetMode="External"/><Relationship Id="rId344" Type="http://schemas.openxmlformats.org/officeDocument/2006/relationships/hyperlink" Target="http://www.pewresearch.org/fact-tank/2017/04/25/as-mexican-share-declined-u-s-unauthorized-immigrant-population-fell-in-2015-below-recession-level/" TargetMode="External"/><Relationship Id="rId20" Type="http://schemas.openxmlformats.org/officeDocument/2006/relationships/hyperlink" Target="http://mobile.reuters.com/article/amp/idUSKBN1FS2ZK" TargetMode="External"/><Relationship Id="rId41" Type="http://schemas.openxmlformats.org/officeDocument/2006/relationships/hyperlink" Target="https://www.nytimes.com/2018/03/06/us/politics/trump-immigrants-public-nutrition-services.html" TargetMode="External"/><Relationship Id="rId62" Type="http://schemas.openxmlformats.org/officeDocument/2006/relationships/hyperlink" Target="https://www.kff.org/disparities-policy/issue-brief/potential-effects-of-public-charge-changes-on-health-coverage-for-citizen-children/view/footnotes/" TargetMode="External"/><Relationship Id="rId83" Type="http://schemas.openxmlformats.org/officeDocument/2006/relationships/hyperlink" Target="https://www.uscis.gov/ilink/docView/SLB/HTML/SLB/0-0-0-1/0-0-0-29/0-0-0-2006.html" TargetMode="External"/><Relationship Id="rId179" Type="http://schemas.openxmlformats.org/officeDocument/2006/relationships/hyperlink" Target="https://e-space.mmu.ac.uk/618995/1/Posthuman_disability_studies_paper_for_Subjectivity-libre%20(2).pdf" TargetMode="External"/><Relationship Id="rId365" Type="http://schemas.openxmlformats.org/officeDocument/2006/relationships/hyperlink" Target="http://www.chicagotribune.com/news/opinion/commentary/ct-perspec-trump-legal-immigration-0513-20180513-story.html" TargetMode="External"/><Relationship Id="rId386" Type="http://schemas.openxmlformats.org/officeDocument/2006/relationships/hyperlink" Target="https://www.nytimes.com/2018/06/06/opinion/trump-central-park-five.html" TargetMode="External"/><Relationship Id="rId190" Type="http://schemas.openxmlformats.org/officeDocument/2006/relationships/hyperlink" Target="https://www.aljazeera.com/profile/azza-altiraifi.html" TargetMode="External"/><Relationship Id="rId204" Type="http://schemas.openxmlformats.org/officeDocument/2006/relationships/hyperlink" Target="https://www.washingtonpost.com/news/posteverything/wp/2017/09/07/how-daca-pits-good-immigrants-against-millions-of-others/?utm_term=.12004918b216" TargetMode="External"/><Relationship Id="rId225" Type="http://schemas.openxmlformats.org/officeDocument/2006/relationships/hyperlink" Target="https://rewire.news/article/2014/11/17/disabled-people-still-forcibly-sterilized-isnt-anyone-talking/" TargetMode="External"/><Relationship Id="rId246" Type="http://schemas.openxmlformats.org/officeDocument/2006/relationships/hyperlink" Target="http://www.healthcare.gov/" TargetMode="External"/><Relationship Id="rId267" Type="http://schemas.openxmlformats.org/officeDocument/2006/relationships/hyperlink" Target="https://www.uscis.gov/news/fact-sheets/public-charge-fact-sheet" TargetMode="External"/><Relationship Id="rId288" Type="http://schemas.openxmlformats.org/officeDocument/2006/relationships/hyperlink" Target="https://www.acl.gov/news-and-events/acl-blog/four-pillars-integration" TargetMode="External"/><Relationship Id="rId411" Type="http://schemas.openxmlformats.org/officeDocument/2006/relationships/hyperlink" Target="http://www.motherjones.com/politics/2016/03/bernie-sanders-hillary-clinton-voting-history" TargetMode="External"/><Relationship Id="rId106" Type="http://schemas.openxmlformats.org/officeDocument/2006/relationships/hyperlink" Target="https://e-space.mmu.ac.uk/618995/1/Posthuman_disability_studies_paper_for_Subjectivity-libre%20(2).pdf" TargetMode="External"/><Relationship Id="rId127" Type="http://schemas.openxmlformats.org/officeDocument/2006/relationships/hyperlink" Target="https://www.washingtonpost.com/politics/trump-to-meet-with-proponent-of-debunked-tie-between-vaccines-and-autism/2017/01/10/4a5d03c0-d752-11e6-9f9f-5cdb4b7f8dd7_story.html?tid=a_inl&amp;utm_term=.cd5f986665d8" TargetMode="External"/><Relationship Id="rId313" Type="http://schemas.openxmlformats.org/officeDocument/2006/relationships/hyperlink" Target="https://www.chrt.org/publication/federally-qualified-health-centers-effective/" TargetMode="External"/><Relationship Id="rId10" Type="http://schemas.openxmlformats.org/officeDocument/2006/relationships/hyperlink" Target="https://www.dhs.gov/news/2017/02/21/qa-dhs-implementation-executive-order-enhancing-public-safety-interior-united-states" TargetMode="External"/><Relationship Id="rId31" Type="http://schemas.openxmlformats.org/officeDocument/2006/relationships/hyperlink" Target="https://www.urban.org/sites/default/files/publication/32986/411939-Children-of-Immigrants-National-and-State-Characteristics.PDF" TargetMode="External"/><Relationship Id="rId52" Type="http://schemas.openxmlformats.org/officeDocument/2006/relationships/hyperlink" Target="https://caseygrants.org/grantee-database/national-domestic-workers-alliance/" TargetMode="External"/><Relationship Id="rId73" Type="http://schemas.openxmlformats.org/officeDocument/2006/relationships/hyperlink" Target="https://www.clasp.org/protecting-immigrant-families-campaign-resources" TargetMode="External"/><Relationship Id="rId94" Type="http://schemas.openxmlformats.org/officeDocument/2006/relationships/hyperlink" Target="http://www.cnn.com/2018/02/08/politics/immigrant-public-charge-proposal/index.html" TargetMode="External"/><Relationship Id="rId148" Type="http://schemas.openxmlformats.org/officeDocument/2006/relationships/hyperlink" Target="https://www.communitycatalyst.org/about/people/alberto-gonzalez" TargetMode="External"/><Relationship Id="rId169" Type="http://schemas.openxmlformats.org/officeDocument/2006/relationships/hyperlink" Target="http://roughdrafts.procon.org/files/Immigration%20Images/Henderson%20v.%20Mayor%20of%20City%20of%20New%20York.pdf" TargetMode="External"/><Relationship Id="rId334" Type="http://schemas.openxmlformats.org/officeDocument/2006/relationships/hyperlink" Target="https://publichealth.gwu.edu/sites/default/files/downloads/GGRCHN/State%20Economic%20and%20Employment%20Losses%20if%20CHC%20Funding%20is%20Not%20Restored%2051.pdf" TargetMode="External"/><Relationship Id="rId355" Type="http://schemas.openxmlformats.org/officeDocument/2006/relationships/hyperlink" Target="https://www.nytimes.com/interactive/2017/08/23/upshot/immigration-quiz-raise-act-trump.html?mtrref=www.google.com&amp;gwh=38B91AED305AA5A5BF636141009E965A&amp;gwt=pay" TargetMode="External"/><Relationship Id="rId376" Type="http://schemas.openxmlformats.org/officeDocument/2006/relationships/hyperlink" Target="https://www.wnycstudios.org/story/uscis-starting-denaturalization-task-force/" TargetMode="External"/><Relationship Id="rId397" Type="http://schemas.openxmlformats.org/officeDocument/2006/relationships/hyperlink" Target="https://www.washingtonpost.com/world/national-security/trump-proposal-would-penalize-immigrants-who-use-tax-credits-and-other-benefits/2018/03/28/4c6392e0-2924-11e8-bc72-077aa4dab9ef_story.html?noredirect=on&amp;utm_term=.f4a0ef5034bc" TargetMode="External"/><Relationship Id="rId4" Type="http://schemas.openxmlformats.org/officeDocument/2006/relationships/settings" Target="settings.xml"/><Relationship Id="rId180" Type="http://schemas.openxmlformats.org/officeDocument/2006/relationships/hyperlink" Target="https://e-space.mmu.ac.uk/618995/1/Posthuman_disability_studies_paper_for_Subjectivity-libre%20(2).pdf" TargetMode="External"/><Relationship Id="rId215" Type="http://schemas.openxmlformats.org/officeDocument/2006/relationships/hyperlink" Target="https://www.ncbi.nlm.nih.gov/pmc/articles/PMC3263303/" TargetMode="External"/><Relationship Id="rId236" Type="http://schemas.openxmlformats.org/officeDocument/2006/relationships/hyperlink" Target="http://www.ctvnews.ca/politics/advocates-urge-canada-to-step-up-after-trump-s-refugee-halt-1.3261117" TargetMode="External"/><Relationship Id="rId257" Type="http://schemas.openxmlformats.org/officeDocument/2006/relationships/hyperlink" Target="https://www.washingtonpost.com/world/national-security/trump-proposal-would-penalize-immigrants-who-use-tax-credits-and-other-benefits/2018/03/28/4c6392e0-2924-11e8-bc72-077aa4dab9ef_story.html?utm_term=.dd84f02637aa" TargetMode="External"/><Relationship Id="rId278" Type="http://schemas.openxmlformats.org/officeDocument/2006/relationships/hyperlink" Target="http://www.huffingtonpost.com/entry/disability-rights-donald-trump_us_582487fae4b0e80b02cefa2f" TargetMode="External"/><Relationship Id="rId401" Type="http://schemas.openxmlformats.org/officeDocument/2006/relationships/hyperlink" Target="https://www.facebook.com/hashtag/disabilities?source=feed_text&amp;story_id=10157674769855034" TargetMode="External"/><Relationship Id="rId422" Type="http://schemas.openxmlformats.org/officeDocument/2006/relationships/hyperlink" Target="https://muse-jhu-edu.proxy.lib.umich.edu/search?action=browse&amp;limit=subscription:y&amp;limit=publisher_id:26&amp;min=1&amp;max=10&amp;t=publisher_facet_select" TargetMode="External"/><Relationship Id="rId303" Type="http://schemas.openxmlformats.org/officeDocument/2006/relationships/hyperlink" Target="http://www.caplink.org/images/stories/Resources/reports/Infographic-National-EIA-2016.pdf" TargetMode="External"/><Relationship Id="rId42" Type="http://schemas.openxmlformats.org/officeDocument/2006/relationships/hyperlink" Target="https://www.povertycenter.columbia.edu/news-internal/2018/3/28/changes-to-public-charge-rule-may-put-500000-more-us-citizen-children-at-risk-of-moving-into-poverty" TargetMode="External"/><Relationship Id="rId84" Type="http://schemas.openxmlformats.org/officeDocument/2006/relationships/hyperlink" Target="https://www.law.cornell.edu/uscode/text/8/1182" TargetMode="External"/><Relationship Id="rId138" Type="http://schemas.openxmlformats.org/officeDocument/2006/relationships/hyperlink" Target="https://thebulletin.org/security-impact-uninsured" TargetMode="External"/><Relationship Id="rId345" Type="http://schemas.openxmlformats.org/officeDocument/2006/relationships/hyperlink" Target="https://www.ice.gov/sites/default/files/documents/Report/2017/iceEndOfYearFY2017.pdf" TargetMode="External"/><Relationship Id="rId387" Type="http://schemas.openxmlformats.org/officeDocument/2006/relationships/hyperlink" Target="https://www.dhs.gov/immigration-statistics/yearbook/2016/table3" TargetMode="External"/><Relationship Id="rId191" Type="http://schemas.openxmlformats.org/officeDocument/2006/relationships/hyperlink" Target="https://www.aljazeera.com/news/2016/11/profile-president-donald-trump-161109050153947.html" TargetMode="External"/><Relationship Id="rId205" Type="http://schemas.openxmlformats.org/officeDocument/2006/relationships/hyperlink" Target="https://www.congress.gov/bill/115th-congress/senate-bill/354" TargetMode="External"/><Relationship Id="rId247" Type="http://schemas.openxmlformats.org/officeDocument/2006/relationships/hyperlink" Target="https://www.healthcare.gov/help/immigration-document-types/" TargetMode="External"/><Relationship Id="rId412" Type="http://schemas.openxmlformats.org/officeDocument/2006/relationships/hyperlink" Target="https://votesmart.org/candidate/key-votes/27110/bernie-sanders" TargetMode="External"/><Relationship Id="rId107" Type="http://schemas.openxmlformats.org/officeDocument/2006/relationships/hyperlink" Target="https://assets.documentcloud.org/documents/4413837/Read-the-Trump-administration-s-draft-proposal.pdf" TargetMode="External"/><Relationship Id="rId289" Type="http://schemas.openxmlformats.org/officeDocument/2006/relationships/hyperlink" Target="http://www.charlotteobserver.com/news/politics-government/article68401147.html" TargetMode="External"/><Relationship Id="rId11" Type="http://schemas.openxmlformats.org/officeDocument/2006/relationships/hyperlink" Target="mailto:publiccharge@nilc.org" TargetMode="External"/><Relationship Id="rId53" Type="http://schemas.openxmlformats.org/officeDocument/2006/relationships/hyperlink" Target="https://www.peri.umass.edu/" TargetMode="External"/><Relationship Id="rId149" Type="http://schemas.openxmlformats.org/officeDocument/2006/relationships/hyperlink" Target="https://www.communitycatalyst.org/about/people/eva-marie-stahl" TargetMode="External"/><Relationship Id="rId314" Type="http://schemas.openxmlformats.org/officeDocument/2006/relationships/hyperlink" Target="https://www.chrt.org/publication/federally-qualified-health-centers-effective/" TargetMode="External"/><Relationship Id="rId356" Type="http://schemas.openxmlformats.org/officeDocument/2006/relationships/hyperlink" Target="https://www.washingtonpost.com/news/post-politics/wp/2017/08/02/trump-gop-senators-to-introduce-bill-to-slash-legal-immigration-levels/?utm_term=.80b36195bbb5" TargetMode="External"/><Relationship Id="rId398" Type="http://schemas.openxmlformats.org/officeDocument/2006/relationships/hyperlink" Target="https://muse-jhu-edu.proxy.lib.umich.edu/journal/171" TargetMode="External"/><Relationship Id="rId95" Type="http://schemas.openxmlformats.org/officeDocument/2006/relationships/hyperlink" Target="https://niskanencenter.org/blog/news/report-noncitizens-use-public-benefits-lower-rates-poor-citizens/" TargetMode="External"/><Relationship Id="rId160" Type="http://schemas.openxmlformats.org/officeDocument/2006/relationships/hyperlink" Target="http://www.thenyic.org/staff" TargetMode="External"/><Relationship Id="rId216" Type="http://schemas.openxmlformats.org/officeDocument/2006/relationships/hyperlink" Target="http://www.latimes.com/politics/la-na-pol-haiti-tps-20171120-story.html" TargetMode="External"/><Relationship Id="rId423" Type="http://schemas.openxmlformats.org/officeDocument/2006/relationships/fontTable" Target="fontTable.xml"/><Relationship Id="rId258" Type="http://schemas.openxmlformats.org/officeDocument/2006/relationships/hyperlink" Target="https://cis.org/Public-Charge-Doctrine-Fundamental-Principle-American-Immigration-Policy" TargetMode="External"/><Relationship Id="rId22" Type="http://schemas.openxmlformats.org/officeDocument/2006/relationships/hyperlink" Target="https://cdn3.vox-cdn.com/uploads/chorus_asset/file/7872571/Protecting_Taxpayer_Resources_by_Ensuring_Our_Immigration_Laws_Promote_Accountability_and_Responsibility.0.pdf" TargetMode="External"/><Relationship Id="rId64" Type="http://schemas.openxmlformats.org/officeDocument/2006/relationships/hyperlink" Target="https://www.kff.org/disparities-policy/issue-brief/potential-effects-of-public-charge-changes-on-health-coverage-for-citizen-children/view/footnotes/" TargetMode="External"/><Relationship Id="rId118" Type="http://schemas.openxmlformats.org/officeDocument/2006/relationships/hyperlink" Target="https://www.vox.com/2018/2/8/16993172/trump-regulation-immigrants-benefits-public-charge" TargetMode="External"/><Relationship Id="rId325" Type="http://schemas.openxmlformats.org/officeDocument/2006/relationships/hyperlink" Target="https://www.chrt.org/publication/federally-qualified-health-centers-effective/" TargetMode="External"/><Relationship Id="rId367" Type="http://schemas.openxmlformats.org/officeDocument/2006/relationships/hyperlink" Target="https://www.cortezmasto.senate.gov/imo/media/doc/USCIS%20Internal%20Affairs%20Letter%2018.05.07.pdf" TargetMode="External"/><Relationship Id="rId171" Type="http://schemas.openxmlformats.org/officeDocument/2006/relationships/hyperlink" Target="https://www.theatlantic.com/politics/archive/2017/01/an-army-of-lawyers-stands-by-to-help-at-dulles-airport/514853/" TargetMode="External"/><Relationship Id="rId227" Type="http://schemas.openxmlformats.org/officeDocument/2006/relationships/hyperlink" Target="http://www.huffingtonpost.com/entry/donald-trump-eugenics_us_57ec4cc2e4b024a52d2cc7f9" TargetMode="External"/><Relationship Id="rId269" Type="http://schemas.openxmlformats.org/officeDocument/2006/relationships/hyperlink" Target="https://www.nilc.org/wp-content/uploads/2018/01/Public-Charge-Fact-Sheet-2018.pdf" TargetMode="External"/><Relationship Id="rId33" Type="http://schemas.openxmlformats.org/officeDocument/2006/relationships/hyperlink" Target="https://www.ssa.gov/ssi/" TargetMode="External"/><Relationship Id="rId129" Type="http://schemas.openxmlformats.org/officeDocument/2006/relationships/hyperlink" Target="https://www.whitehouse.gov/sites/whitehouse.gov/files/omb/budget/fy2018/2018_blueprint.pdf" TargetMode="External"/><Relationship Id="rId280" Type="http://schemas.openxmlformats.org/officeDocument/2006/relationships/hyperlink" Target="https://www.ncbi.nlm.nih.gov/pmc/articles/PMC2796312/" TargetMode="External"/><Relationship Id="rId336" Type="http://schemas.openxmlformats.org/officeDocument/2006/relationships/hyperlink" Target="https://www.kff.org/person/jennifer-tolbert/" TargetMode="External"/><Relationship Id="rId75" Type="http://schemas.openxmlformats.org/officeDocument/2006/relationships/hyperlink" Target="https://www.pri.org/people/tim-de-chant" TargetMode="External"/><Relationship Id="rId140" Type="http://schemas.openxmlformats.org/officeDocument/2006/relationships/hyperlink" Target="https://thebulletin.org/who%E2%80%99s-charge-during-ebola-crisis7723" TargetMode="External"/><Relationship Id="rId182" Type="http://schemas.openxmlformats.org/officeDocument/2006/relationships/hyperlink" Target="https://www.voanews.com/a/proposed-rule-may-affect-us-legal-immigration-/4477138.html" TargetMode="External"/><Relationship Id="rId378" Type="http://schemas.openxmlformats.org/officeDocument/2006/relationships/hyperlink" Target="https://bipartisanpolicy.org/library/restricting-immigration-by-regulation/" TargetMode="External"/><Relationship Id="rId403" Type="http://schemas.openxmlformats.org/officeDocument/2006/relationships/hyperlink" Target="https://www.ada.gov/trump_tajmajal_sa.html" TargetMode="External"/><Relationship Id="rId6" Type="http://schemas.openxmlformats.org/officeDocument/2006/relationships/hyperlink" Target="https://www.nilc.org/wp-content/uploads/2018/02/talking-to-immigrants-about-public-programs-2018.pdf" TargetMode="External"/><Relationship Id="rId238" Type="http://schemas.openxmlformats.org/officeDocument/2006/relationships/hyperlink" Target="http://www.thedailybeast.com/articles/2016/04/05/if-trump-wins-my-family-can-t-move-to-canada.html" TargetMode="External"/><Relationship Id="rId291" Type="http://schemas.openxmlformats.org/officeDocument/2006/relationships/hyperlink" Target="http://www.cnn.com/2017/08/02/us/naacp-missouri-travel-advisory-trnd/index.html" TargetMode="External"/><Relationship Id="rId305" Type="http://schemas.openxmlformats.org/officeDocument/2006/relationships/hyperlink" Target="http://www.nachc.org/about-our-health-centers/how-health-centers-make-a-difference/" TargetMode="External"/><Relationship Id="rId347" Type="http://schemas.openxmlformats.org/officeDocument/2006/relationships/hyperlink" Target="https://www.propublica.org/article/ex-director-anti-immigration-group-to-be-ombudsman-at-immigration-agency" TargetMode="External"/><Relationship Id="rId44" Type="http://schemas.openxmlformats.org/officeDocument/2006/relationships/hyperlink" Target="https://gspp.berkeley.edu/assets/uploads/research/pdf/Hoynes-Schanzenbach-Almond-AER-2016.pdf" TargetMode="External"/><Relationship Id="rId86" Type="http://schemas.openxmlformats.org/officeDocument/2006/relationships/hyperlink" Target="http://library.uwb.edu/Static/USimmigration/22%20stat%20214.pdf" TargetMode="External"/><Relationship Id="rId151" Type="http://schemas.openxmlformats.org/officeDocument/2006/relationships/hyperlink" Target="https://www.communitycatalyst.org/blog/uncertainty-around-aca-stirs-fear-in-immigrant-communities?tr=y&amp;auid=17164227" TargetMode="External"/><Relationship Id="rId389" Type="http://schemas.openxmlformats.org/officeDocument/2006/relationships/hyperlink" Target="https://www.bloomberg.com/view/articles/2017-09-06/don-t-believe-what-jeff-sessions-said-about-jobs" TargetMode="External"/><Relationship Id="rId193" Type="http://schemas.openxmlformats.org/officeDocument/2006/relationships/hyperlink" Target="https://www.aljazeera.com/news/2018/01/trump-muslim-ban-shifted-public-opinion-study-finds-180113092728118.html" TargetMode="External"/><Relationship Id="rId207" Type="http://schemas.openxmlformats.org/officeDocument/2006/relationships/hyperlink" Target="http://library.uwb.edu/Static/USimmigration/1882_immigration_act.html" TargetMode="External"/><Relationship Id="rId249" Type="http://schemas.openxmlformats.org/officeDocument/2006/relationships/hyperlink" Target="https://www.healthcare.gov/help/immigration-status-questions/" TargetMode="External"/><Relationship Id="rId414" Type="http://schemas.openxmlformats.org/officeDocument/2006/relationships/hyperlink" Target="https://themighty.com/disability/" TargetMode="External"/><Relationship Id="rId13" Type="http://schemas.openxmlformats.org/officeDocument/2006/relationships/hyperlink" Target="https://www.reuters.com/article/us-usa-immigration-services-exclusive/exclusive-trump-administration-may-target-immigrants-who-use-food-aid-other-benefits-idUSKBN1FS2ZK" TargetMode="External"/><Relationship Id="rId109" Type="http://schemas.openxmlformats.org/officeDocument/2006/relationships/hyperlink" Target="https://www.reuters.com/article/us-usa-immigration-services-exclusive/exclusive-trump-administration-may-target-immigrants-who-use-food-aid-other-benefits-idUSKBN1FS2ZK" TargetMode="External"/><Relationship Id="rId260" Type="http://schemas.openxmlformats.org/officeDocument/2006/relationships/hyperlink" Target="http://news.gallup.com/poll/153992/150-million-adults-worldwide-migrate.aspx" TargetMode="External"/><Relationship Id="rId316" Type="http://schemas.openxmlformats.org/officeDocument/2006/relationships/hyperlink" Target="https://www.chrt.org/publication/federally-qualified-health-centers-effective/" TargetMode="External"/><Relationship Id="rId55" Type="http://schemas.openxmlformats.org/officeDocument/2006/relationships/hyperlink" Target="https://www.kff.org/person/rachel-garfield/" TargetMode="External"/><Relationship Id="rId97" Type="http://schemas.openxmlformats.org/officeDocument/2006/relationships/hyperlink" Target="https://niskanencenter.org/blog/report-myth-government-dependent-immigrant/" TargetMode="External"/><Relationship Id="rId120" Type="http://schemas.openxmlformats.org/officeDocument/2006/relationships/hyperlink" Target="https://taxfoundation.org/overview-earned-income-tax-credit-eitc-awareness-day/" TargetMode="External"/><Relationship Id="rId358" Type="http://schemas.openxmlformats.org/officeDocument/2006/relationships/hyperlink" Target="https://www.vox.com/2018/1/11/16880750/trump-immigrants-shithole-countries-norway" TargetMode="External"/><Relationship Id="rId162" Type="http://schemas.openxmlformats.org/officeDocument/2006/relationships/hyperlink" Target="https://psmag.com/tag/donald-trump" TargetMode="External"/><Relationship Id="rId218" Type="http://schemas.openxmlformats.org/officeDocument/2006/relationships/hyperlink" Target="https://www.uscis.gov/policymanual/HTML/PolicyManual-Volume8-PartB-Chapter7.html" TargetMode="External"/><Relationship Id="rId271" Type="http://schemas.openxmlformats.org/officeDocument/2006/relationships/hyperlink" Target="https://www.c-span.org/video/?c4555772/barbara-jordans-immigration-speech" TargetMode="External"/><Relationship Id="rId24" Type="http://schemas.openxmlformats.org/officeDocument/2006/relationships/hyperlink" Target="http://www.state.nj.us/humanservices/dfd/news/cps_nov17.pdf" TargetMode="External"/><Relationship Id="rId66" Type="http://schemas.openxmlformats.org/officeDocument/2006/relationships/hyperlink" Target="https://www.kff.org/disparities-policy/issue-brief/potential-effects-of-public-charge-changes-on-health-coverage-for-citizen-children/view/footnotes/" TargetMode="External"/><Relationship Id="rId131" Type="http://schemas.openxmlformats.org/officeDocument/2006/relationships/hyperlink" Target="https://thebulletin.org/biography/laura-h-kahn/" TargetMode="External"/><Relationship Id="rId327" Type="http://schemas.openxmlformats.org/officeDocument/2006/relationships/hyperlink" Target="https://www.commonwealthfund.org/person/corinne-lewis" TargetMode="External"/><Relationship Id="rId369" Type="http://schemas.openxmlformats.org/officeDocument/2006/relationships/hyperlink" Target="https://www.uscis.gov/sites/default/files/USCIS/Laws/Memoranda/2018/2018-06-28-PM-602-0050.1-Guidance-for-Referral-of-Cases-and-Issuance-of-NTA.pdf" TargetMode="External"/><Relationship Id="rId173" Type="http://schemas.openxmlformats.org/officeDocument/2006/relationships/hyperlink" Target="http://feministing.com/2013/04/18/the-draft-immigration-reform-bill-is-a-mixed-bag-for-women-and-lgbtq-folks/" TargetMode="External"/><Relationship Id="rId229" Type="http://schemas.openxmlformats.org/officeDocument/2006/relationships/hyperlink" Target="https://migration.ucdavis.edu/mn/cir/94report/immact.htm" TargetMode="External"/><Relationship Id="rId380" Type="http://schemas.openxmlformats.org/officeDocument/2006/relationships/hyperlink" Target="https://www.washingtonpost.com/world/national-security/trump-proposal-would-penalize-immigrants-who-use-tax-credits-and-other-benefits/2018/03/28/4c6392e0-2924-11e8-bc72-077aa4dab9ef_story.html?noredirect=on&amp;utm_term=.9f62a3ca00b9" TargetMode="External"/><Relationship Id="rId240" Type="http://schemas.openxmlformats.org/officeDocument/2006/relationships/hyperlink" Target="https://en.wikipedia.org/wiki/Queensland_University_of_Technology" TargetMode="External"/><Relationship Id="rId35" Type="http://schemas.openxmlformats.org/officeDocument/2006/relationships/hyperlink" Target="https://www.huffingtonpost.com/topic/trump-administration/" TargetMode="External"/><Relationship Id="rId77" Type="http://schemas.openxmlformats.org/officeDocument/2006/relationships/hyperlink" Target="https://medium.com/complex-systems-channel/transition-to-extinction-pandemics-in-a-connected-world-153867fe98f4)//AO" TargetMode="External"/><Relationship Id="rId100" Type="http://schemas.openxmlformats.org/officeDocument/2006/relationships/hyperlink" Target="https://plato.stanford.edu/entries/repugnant-conclusion/" TargetMode="External"/><Relationship Id="rId282" Type="http://schemas.openxmlformats.org/officeDocument/2006/relationships/hyperlink" Target="https://www.eeoc.gov/eeoc/history/35th/videos/ada_signing_text.html" TargetMode="External"/><Relationship Id="rId338" Type="http://schemas.openxmlformats.org/officeDocument/2006/relationships/hyperlink" Target="https://en.wikipedia.org/wiki/Immigration_and_Nationality_Act_of_1965" TargetMode="External"/><Relationship Id="rId8" Type="http://schemas.openxmlformats.org/officeDocument/2006/relationships/hyperlink" Target="http://www.immigrationadvocates.org/nonprofit/legaldirectory/" TargetMode="External"/><Relationship Id="rId142" Type="http://schemas.openxmlformats.org/officeDocument/2006/relationships/hyperlink" Target="http://www.ehatlas.ca/sars-severe-acute-respiratory-syndrome/case-study/sars-outbreak-canada" TargetMode="External"/><Relationship Id="rId184" Type="http://schemas.openxmlformats.org/officeDocument/2006/relationships/hyperlink" Target="https://www.chrt.org/publication/federally-qualified-health-centers-effective/" TargetMode="External"/><Relationship Id="rId391" Type="http://schemas.openxmlformats.org/officeDocument/2006/relationships/hyperlink" Target="https://www.theatlantic.com/politics/archive/2018/06/ceci-nest-pas-une-cage/563072/" TargetMode="External"/><Relationship Id="rId405" Type="http://schemas.openxmlformats.org/officeDocument/2006/relationships/hyperlink" Target="https://www.washingtonpost.com/news/post-nation/wp/2016/07/11/arent-more-white-people-than-black-people-killed-by-police-yes-but-no/" TargetMode="External"/><Relationship Id="rId251" Type="http://schemas.openxmlformats.org/officeDocument/2006/relationships/hyperlink" Target="https://muse-jhu-edu.proxy.lib.umich.edu/issue/21387" TargetMode="External"/><Relationship Id="rId46" Type="http://schemas.openxmlformats.org/officeDocument/2006/relationships/hyperlink" Target="http://www.apa.org/topics/adhd/index.aspx" TargetMode="External"/><Relationship Id="rId293" Type="http://schemas.openxmlformats.org/officeDocument/2006/relationships/hyperlink" Target="https://www.usatoday.com/story/news/nation/2015/07/30/american-adults-disability/30881975/" TargetMode="External"/><Relationship Id="rId307" Type="http://schemas.openxmlformats.org/officeDocument/2006/relationships/hyperlink" Target="https://www.chrt.org/publication/federally-qualified-health-centers-effective/" TargetMode="External"/><Relationship Id="rId349" Type="http://schemas.openxmlformats.org/officeDocument/2006/relationships/hyperlink" Target="https://www.huffingtonpost.com/entry/how-immigration-benefits-americans-and-is-key-to-us_us_59b6db42e4b02bebae75f071" TargetMode="External"/><Relationship Id="rId88" Type="http://schemas.openxmlformats.org/officeDocument/2006/relationships/hyperlink" Target="https://global.oup.com/academic/product/expelling-the-poor-9780190619213?cc=us&amp;lang=en&amp;" TargetMode="External"/><Relationship Id="rId111" Type="http://schemas.openxmlformats.org/officeDocument/2006/relationships/hyperlink" Target="https://www.washingtonpost.com/world/national-security/how-chain-migration-became-a-target-in-trumps-immigration-agenda/2018/01/02/dd30e034-efdb-11e7-90ed-77167c6861f2_story.html?utm_term=.0860a5456036" TargetMode="External"/><Relationship Id="rId153" Type="http://schemas.openxmlformats.org/officeDocument/2006/relationships/hyperlink" Target="https://www.americanprogress.org/issues/immigration/news/2017/08/28/437956/daca-recipients-economic-educational-gains-continue-grow/" TargetMode="External"/><Relationship Id="rId195" Type="http://schemas.openxmlformats.org/officeDocument/2006/relationships/hyperlink" Target="http://www.autistichoya.com/p/definitions.html" TargetMode="External"/><Relationship Id="rId209" Type="http://schemas.openxmlformats.org/officeDocument/2006/relationships/hyperlink" Target="http://library.buffalo.edu/pan-am/exposition/law/anarchy.html" TargetMode="External"/><Relationship Id="rId360" Type="http://schemas.openxmlformats.org/officeDocument/2006/relationships/hyperlink" Target="http://blog.unidosus.org/2018/04/25/trump-budget-mass-deportation/" TargetMode="External"/><Relationship Id="rId416" Type="http://schemas.openxmlformats.org/officeDocument/2006/relationships/hyperlink" Target="https://www.marxists.org/archive/marx/works/1867-c1/" TargetMode="External"/><Relationship Id="rId220" Type="http://schemas.openxmlformats.org/officeDocument/2006/relationships/hyperlink" Target="https://www.aclu.org/issues/immigrants-rights/deportation-and-due-process" TargetMode="External"/><Relationship Id="rId15" Type="http://schemas.openxmlformats.org/officeDocument/2006/relationships/hyperlink" Target="https://www.vox.com/2018/2/8/16993172/trump-regulation-immigrants-benefits-public-charge" TargetMode="External"/><Relationship Id="rId57" Type="http://schemas.openxmlformats.org/officeDocument/2006/relationships/hyperlink" Target="http://twitter.com/share?text=In+2016%2C+there+were+10.4+million+citizen+children+in+the+U.S.+with+at+least+one+noncitizen+parent.+What+are+the+potential+effects+of+%E2%80%9Cpublic+charge%E2%80%9D+changes+on+health+coverage+for+this+population%3F&amp;url=https%3A%2F%2Fkaiserf.am%2F2LemLgw" TargetMode="External"/><Relationship Id="rId262" Type="http://schemas.openxmlformats.org/officeDocument/2006/relationships/hyperlink" Target="http://news.gallup.com/poll/153992/150-million-adults-worldwide-migrate.aspx" TargetMode="External"/><Relationship Id="rId318" Type="http://schemas.openxmlformats.org/officeDocument/2006/relationships/hyperlink" Target="https://www.chrt.org/publication/federally-qualified-health-centers-effective/" TargetMode="External"/><Relationship Id="rId99" Type="http://schemas.openxmlformats.org/officeDocument/2006/relationships/hyperlink" Target="https://www.cato.org/blog/1day-standard-other-problems-dhss-public-charge-rule" TargetMode="External"/><Relationship Id="rId122" Type="http://schemas.openxmlformats.org/officeDocument/2006/relationships/hyperlink" Target="http://files.kff.org/attachment/Issue-Brief-Proposed-Changes-to-Public-Charge-Policies-for-Immigrants-Implications-for-Health-Coverage" TargetMode="External"/><Relationship Id="rId164" Type="http://schemas.openxmlformats.org/officeDocument/2006/relationships/hyperlink" Target="https://psmag.com/tag/temporary-protected-status" TargetMode="External"/><Relationship Id="rId371" Type="http://schemas.openxmlformats.org/officeDocument/2006/relationships/hyperlink" Target="https://www.reuters.com/article/us-trump-effect-immigration/fewer-family-visas-approved-as-trump-toughens-vetting-of-immigrants-reuters-review-idUSKBN1ET15I" TargetMode="External"/><Relationship Id="rId26" Type="http://schemas.openxmlformats.org/officeDocument/2006/relationships/hyperlink" Target="https://www.nytimes.com/2018/01/15/business/economy/immigration-raids.html" TargetMode="External"/><Relationship Id="rId231" Type="http://schemas.openxmlformats.org/officeDocument/2006/relationships/hyperlink" Target="https://www.uscis.gov/news/fact-sheets/public-charge-fact-sheet" TargetMode="External"/><Relationship Id="rId273" Type="http://schemas.openxmlformats.org/officeDocument/2006/relationships/hyperlink" Target="http://www.vox.com/first-person/2016/11/9/13576712/trump-disability-policy-affordable-care-act" TargetMode="External"/><Relationship Id="rId329" Type="http://schemas.openxmlformats.org/officeDocument/2006/relationships/hyperlink" Target="https://www.commonwealthfund.org/person/melinda-k-abrams" TargetMode="External"/><Relationship Id="rId68" Type="http://schemas.openxmlformats.org/officeDocument/2006/relationships/hyperlink" Target="https://www.ncbi.nlm.nih.gov/pmc/articles/PMC3826317/" TargetMode="External"/><Relationship Id="rId133" Type="http://schemas.openxmlformats.org/officeDocument/2006/relationships/hyperlink" Target="https://jhupbooks.press.jhu.edu/content/one-health-and-politics-antimicrobial-resistance" TargetMode="External"/><Relationship Id="rId175" Type="http://schemas.openxmlformats.org/officeDocument/2006/relationships/hyperlink" Target="http://go.galegroup.com.proxy.lib.umich.edu/ps/i.do?p=EAIM&amp;u=lom_umichanna&amp;id=GALE|A180946943&amp;v=2.1&amp;it=r&amp;sid=summon" TargetMode="External"/><Relationship Id="rId340" Type="http://schemas.openxmlformats.org/officeDocument/2006/relationships/hyperlink" Target="http://www.pnas.org/content/early/2018/04/18/1718155115" TargetMode="External"/><Relationship Id="rId200" Type="http://schemas.openxmlformats.org/officeDocument/2006/relationships/hyperlink" Target="http://fortune.com/2017/09/05/daca-donald-trump-economic-impact/" TargetMode="External"/><Relationship Id="rId382" Type="http://schemas.openxmlformats.org/officeDocument/2006/relationships/hyperlink" Target="http://publications.unidosus.org/bitstream/handle/123456789/1851/unidosus_workrequirement_factsheet.pdf?sequence=1&amp;isAllowed=y" TargetMode="External"/><Relationship Id="rId242" Type="http://schemas.openxmlformats.org/officeDocument/2006/relationships/hyperlink" Target="https://en.wikipedia.org/wiki/Queensland_University_of_Technology" TargetMode="External"/><Relationship Id="rId284" Type="http://schemas.openxmlformats.org/officeDocument/2006/relationships/hyperlink" Target="https://www.cnn.com/2017/12/26/opinions/disabilities-employment-opportunity-opinion-kennedy/index.html" TargetMode="External"/><Relationship Id="rId37" Type="http://schemas.openxmlformats.org/officeDocument/2006/relationships/hyperlink" Target="https://www.cnn.com/2018/02/23/politics/trump-immigration-arrests-deportations/index.html" TargetMode="External"/><Relationship Id="rId79" Type="http://schemas.openxmlformats.org/officeDocument/2006/relationships/hyperlink" Target="https://www.povertycenter.columbia.edu/news-internal/2018/3/28/changes-to-public-charge-rule-may-put-500000-more-us-citizen-children-at-risk-of-moving-into-poverty" TargetMode="External"/><Relationship Id="rId102" Type="http://schemas.openxmlformats.org/officeDocument/2006/relationships/hyperlink" Target="http://www.slate.com/blogs/moneybox/2013/04/24/international_factory_safety.html" TargetMode="External"/><Relationship Id="rId144" Type="http://schemas.openxmlformats.org/officeDocument/2006/relationships/hyperlink" Target="http://www.thelancet.com/pdfs/journals/lancet/PIIS0140-6736(17)30636-0.pdf" TargetMode="External"/><Relationship Id="rId90" Type="http://schemas.openxmlformats.org/officeDocument/2006/relationships/hyperlink" Target="https://press.princeton.edu/titles/8943.html" TargetMode="External"/><Relationship Id="rId186" Type="http://schemas.openxmlformats.org/officeDocument/2006/relationships/hyperlink" Target="http://www.whitlockgray.com/2016/08/03/expansion-i601a/" TargetMode="External"/><Relationship Id="rId351" Type="http://schemas.openxmlformats.org/officeDocument/2006/relationships/hyperlink" Target="https://www.washingtonpost.com/news/post-politics/wp/2017/08/02/trump-gop-senators-to-introduce-bill-to-slash-legal-immigration-levels/?utm_term=.86085482eadf" TargetMode="External"/><Relationship Id="rId393" Type="http://schemas.openxmlformats.org/officeDocument/2006/relationships/hyperlink" Target="https://www.usda.gov/media/press-releases/2018/04/10/perdue-statement-president-trumps-executive-order-reducing-poverty" TargetMode="External"/><Relationship Id="rId407" Type="http://schemas.openxmlformats.org/officeDocument/2006/relationships/hyperlink" Target="http://www.huffingtonpost.com/entry/disability-rights-donald-trump_us_582487fae4b0e80b02cefa2f" TargetMode="External"/><Relationship Id="rId211" Type="http://schemas.openxmlformats.org/officeDocument/2006/relationships/hyperlink" Target="https://www.smithsonianmag.com/history/how-america-grappled-immigration-100-years-ago-180962058/" TargetMode="External"/><Relationship Id="rId253" Type="http://schemas.openxmlformats.org/officeDocument/2006/relationships/hyperlink" Target="http://voxxi.com/2013/09/26/obama-administration-works-to-educate-latinos-on-affordable-care-act/" TargetMode="External"/><Relationship Id="rId295" Type="http://schemas.openxmlformats.org/officeDocument/2006/relationships/hyperlink" Target="https://thinkprogress.org/congress-weakening-ada-2ba703798908/" TargetMode="External"/><Relationship Id="rId309" Type="http://schemas.openxmlformats.org/officeDocument/2006/relationships/hyperlink" Target="https://www.chrt.org/publication/federally-qualified-health-centers-effective/" TargetMode="External"/><Relationship Id="rId48" Type="http://schemas.openxmlformats.org/officeDocument/2006/relationships/hyperlink" Target="http://www.apa.org/topics/depression/index.aspx" TargetMode="External"/><Relationship Id="rId113" Type="http://schemas.openxmlformats.org/officeDocument/2006/relationships/hyperlink" Target="https://www.washingtonpost.com/world/national-security/us-immigration-agency-to-more-closely-monitor-caseworkers-documents-show/2018/03/15/c8289c0c-2881-11e8-874b-d517e912f125_story.html?utm_term=.997aad0862a7" TargetMode="External"/><Relationship Id="rId320" Type="http://schemas.openxmlformats.org/officeDocument/2006/relationships/hyperlink" Target="https://www.chrt.org/publication/federally-qualified-health-centers-effective/" TargetMode="External"/><Relationship Id="rId155" Type="http://schemas.openxmlformats.org/officeDocument/2006/relationships/hyperlink" Target="https://www.nilc.org/get-involved/community-education-resources/pubcharge/" TargetMode="External"/><Relationship Id="rId197" Type="http://schemas.openxmlformats.org/officeDocument/2006/relationships/hyperlink" Target="http://www.yesmagazine.org/people-power/no-i-wont-stop-saying-white-supremacy-20170630" TargetMode="External"/><Relationship Id="rId362" Type="http://schemas.openxmlformats.org/officeDocument/2006/relationships/hyperlink" Target="https://www.washingtonpost.com/news/posteverything/wp/2018/02/26/i-ran-uscis-this-is-a-nation-of-immigrants-no-matter-what-mission-statements-say/?utm_term=.a3f3d04f8b99" TargetMode="External"/><Relationship Id="rId418" Type="http://schemas.openxmlformats.org/officeDocument/2006/relationships/hyperlink" Target="http://dsq-sds.org/article/view/3870/3406" TargetMode="External"/><Relationship Id="rId222" Type="http://schemas.openxmlformats.org/officeDocument/2006/relationships/hyperlink" Target="http://www.nature.com/scitable/forums/genetics-generation/america-s-hidden-history-the-eugenics-movement-123919444" TargetMode="External"/><Relationship Id="rId264" Type="http://schemas.openxmlformats.org/officeDocument/2006/relationships/hyperlink" Target="http://news.gallup.com/poll/153992/150-million-adults-worldwide-migrate.asp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h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09BED4-013D-496E-8D13-3F1514D75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534</TotalTime>
  <Pages>1</Pages>
  <Words>250337</Words>
  <Characters>1426927</Characters>
  <Application>Microsoft Office Word</Application>
  <DocSecurity>0</DocSecurity>
  <Lines>11891</Lines>
  <Paragraphs>3347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1673917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5.0</cp:keywords>
  <dc:description/>
  <cp:lastModifiedBy>Whit</cp:lastModifiedBy>
  <cp:revision>123</cp:revision>
  <dcterms:created xsi:type="dcterms:W3CDTF">2018-07-15T19:26:00Z</dcterms:created>
  <dcterms:modified xsi:type="dcterms:W3CDTF">2018-07-22T19:43:00Z</dcterms:modified>
  <cp:category/>
</cp:coreProperties>
</file>