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4728F" w14:textId="122C148F" w:rsidR="008F216C" w:rsidRDefault="003A1781" w:rsidP="003A1781">
      <w:pPr>
        <w:pStyle w:val="Heading1"/>
        <w:rPr>
          <w:lang w:val="en"/>
        </w:rPr>
      </w:pPr>
      <w:r>
        <w:rPr>
          <w:lang w:val="en"/>
        </w:rPr>
        <w:t>Public Charge Supplement</w:t>
      </w:r>
    </w:p>
    <w:p w14:paraId="6A36BC7B" w14:textId="52B09A19" w:rsidR="003A1781" w:rsidRDefault="003A1781" w:rsidP="003A1781">
      <w:pPr>
        <w:pStyle w:val="Heading3"/>
      </w:pPr>
      <w:r>
        <w:t>T Cards</w:t>
      </w:r>
    </w:p>
    <w:p w14:paraId="5C148E11" w14:textId="2164EE64" w:rsidR="003A1781" w:rsidRPr="003A1781" w:rsidRDefault="003A1781" w:rsidP="003A1781">
      <w:pPr>
        <w:pStyle w:val="Heading4"/>
      </w:pPr>
      <w:r>
        <w:t>Although public charge applies to some nonimmigrants, plan is written to only apply to legal permanent residents, AND nonimmigrants can normally overcome the public charge issue- no significant solvency deficit.</w:t>
      </w:r>
    </w:p>
    <w:p w14:paraId="0A10699F" w14:textId="75160E7D" w:rsidR="003A1781" w:rsidRPr="003A1781" w:rsidRDefault="003A1781" w:rsidP="003A1781">
      <w:pPr>
        <w:shd w:val="clear" w:color="auto" w:fill="FFFFFF"/>
        <w:spacing w:line="240" w:lineRule="auto"/>
        <w:textAlignment w:val="baseline"/>
        <w:rPr>
          <w:rFonts w:eastAsia="Times New Roman"/>
          <w:color w:val="222222"/>
        </w:rPr>
      </w:pPr>
      <w:r w:rsidRPr="003A1781">
        <w:rPr>
          <w:rFonts w:eastAsia="Times New Roman"/>
          <w:b/>
          <w:bCs/>
          <w:color w:val="222222"/>
          <w:sz w:val="26"/>
          <w:szCs w:val="26"/>
        </w:rPr>
        <w:t xml:space="preserve">National Immigration Law </w:t>
      </w:r>
      <w:proofErr w:type="gramStart"/>
      <w:r w:rsidRPr="003A1781">
        <w:rPr>
          <w:rFonts w:eastAsia="Times New Roman"/>
          <w:b/>
          <w:bCs/>
          <w:color w:val="222222"/>
          <w:sz w:val="26"/>
          <w:szCs w:val="26"/>
        </w:rPr>
        <w:t>Center(</w:t>
      </w:r>
      <w:proofErr w:type="gramEnd"/>
      <w:r w:rsidRPr="003A1781">
        <w:rPr>
          <w:rFonts w:eastAsia="Times New Roman"/>
          <w:b/>
          <w:bCs/>
          <w:color w:val="222222"/>
          <w:sz w:val="26"/>
          <w:szCs w:val="26"/>
          <w:shd w:val="clear" w:color="auto" w:fill="FFFFFF"/>
        </w:rPr>
        <w:t>NILC)</w:t>
      </w:r>
      <w:r w:rsidRPr="003A1781">
        <w:rPr>
          <w:rFonts w:eastAsia="Times New Roman"/>
          <w:b/>
          <w:bCs/>
          <w:color w:val="222222"/>
          <w:sz w:val="26"/>
          <w:szCs w:val="26"/>
        </w:rPr>
        <w:t>, 2018 </w:t>
      </w:r>
      <w:r w:rsidRPr="003A1781">
        <w:rPr>
          <w:rFonts w:eastAsia="Times New Roman"/>
          <w:color w:val="222222"/>
          <w:sz w:val="20"/>
          <w:szCs w:val="20"/>
        </w:rPr>
        <w:t>[</w:t>
      </w:r>
      <w:r w:rsidRPr="003A1781">
        <w:rPr>
          <w:rFonts w:ascii="Segoe UI" w:eastAsia="Times New Roman" w:hAnsi="Segoe UI" w:cs="Segoe UI"/>
          <w:color w:val="333333"/>
          <w:sz w:val="20"/>
          <w:szCs w:val="20"/>
          <w:shd w:val="clear" w:color="auto" w:fill="FFFFFF"/>
        </w:rPr>
        <w:t>“Changes to ‘Public Charge’ Instructions in the U.S. State Department's Manual.” </w:t>
      </w:r>
      <w:r w:rsidRPr="003A1781">
        <w:rPr>
          <w:rFonts w:eastAsia="Times New Roman"/>
          <w:i/>
          <w:iCs/>
          <w:color w:val="222222"/>
        </w:rPr>
        <w:t>National Immigration Law Center</w:t>
      </w:r>
      <w:r w:rsidRPr="003A1781">
        <w:rPr>
          <w:rFonts w:eastAsia="Times New Roman"/>
          <w:color w:val="222222"/>
        </w:rPr>
        <w:t>, National Immigration Law Center, 8 Feb. 2018, </w:t>
      </w:r>
      <w:hyperlink r:id="rId5" w:tgtFrame="_blank" w:history="1">
        <w:r w:rsidRPr="003A1781">
          <w:rPr>
            <w:rFonts w:eastAsia="Times New Roman"/>
            <w:color w:val="0000FF"/>
            <w:u w:val="single"/>
          </w:rPr>
          <w:t>www.nilc.org/issues/economic-support/public-charge-changes-to-fam/</w:t>
        </w:r>
      </w:hyperlink>
      <w:r w:rsidRPr="003A1781">
        <w:rPr>
          <w:rFonts w:eastAsia="Times New Roman"/>
          <w:color w:val="222222"/>
        </w:rPr>
        <w:t>, AM]</w:t>
      </w:r>
    </w:p>
    <w:p w14:paraId="32B0BC93" w14:textId="77777777" w:rsidR="003A1781" w:rsidRPr="003A1781" w:rsidRDefault="003A1781" w:rsidP="003A1781">
      <w:pPr>
        <w:shd w:val="clear" w:color="auto" w:fill="FFFFFF"/>
        <w:spacing w:line="240" w:lineRule="auto"/>
        <w:textAlignment w:val="baseline"/>
        <w:rPr>
          <w:rFonts w:eastAsia="Times New Roman"/>
          <w:color w:val="222222"/>
        </w:rPr>
      </w:pPr>
      <w:r w:rsidRPr="003A1781">
        <w:rPr>
          <w:rFonts w:eastAsia="Times New Roman"/>
          <w:color w:val="222222"/>
          <w:u w:val="single"/>
        </w:rPr>
        <w:t>Since the first weeks of the Trump administration</w:t>
      </w:r>
      <w:r w:rsidRPr="003A1781">
        <w:rPr>
          <w:rFonts w:ascii="Helvetica" w:eastAsia="Times New Roman" w:hAnsi="Helvetica" w:cs="Helvetica"/>
          <w:color w:val="444444"/>
          <w:sz w:val="16"/>
          <w:szCs w:val="16"/>
        </w:rPr>
        <w:t>, when a draft executive order about immigrants and public benefits was leaked to the media, </w:t>
      </w:r>
      <w:r w:rsidRPr="003A1781">
        <w:rPr>
          <w:rFonts w:eastAsia="Times New Roman"/>
          <w:color w:val="222222"/>
          <w:u w:val="single"/>
        </w:rPr>
        <w:t>concerns about changes to “public charge” policies have caused considerable anxiety.</w:t>
      </w:r>
      <w:r w:rsidRPr="003A1781">
        <w:rPr>
          <w:rFonts w:ascii="Helvetica" w:eastAsia="Times New Roman" w:hAnsi="Helvetica" w:cs="Helvetica"/>
          <w:color w:val="444444"/>
          <w:sz w:val="16"/>
          <w:szCs w:val="16"/>
        </w:rPr>
        <w:t> On January 3, 2018, </w:t>
      </w:r>
      <w:r w:rsidRPr="003A1781">
        <w:rPr>
          <w:rFonts w:eastAsia="Times New Roman"/>
          <w:color w:val="222222"/>
          <w:u w:val="single"/>
        </w:rPr>
        <w:t>the U.S. Department of State published revised sections of its Foreign Affairs Manual (FAM) that deal with “public charge.” These State Department instructions underscore the administration’s interest in restricting family immigration and deterring families from securing critical services.</w:t>
      </w:r>
    </w:p>
    <w:p w14:paraId="413F15A4" w14:textId="77777777" w:rsidR="003A1781" w:rsidRPr="003A1781" w:rsidRDefault="003A1781" w:rsidP="003A1781">
      <w:pPr>
        <w:shd w:val="clear" w:color="auto" w:fill="FFFFFF"/>
        <w:spacing w:line="240" w:lineRule="auto"/>
        <w:textAlignment w:val="baseline"/>
        <w:rPr>
          <w:rFonts w:eastAsia="Times New Roman"/>
          <w:color w:val="222222"/>
        </w:rPr>
      </w:pPr>
      <w:r w:rsidRPr="003A1781">
        <w:rPr>
          <w:rFonts w:ascii="Helvetica" w:eastAsia="Times New Roman" w:hAnsi="Helvetica" w:cs="Helvetica"/>
          <w:color w:val="444444"/>
          <w:sz w:val="16"/>
          <w:szCs w:val="16"/>
        </w:rPr>
        <w:t>Some </w:t>
      </w:r>
      <w:r w:rsidRPr="003A1781">
        <w:rPr>
          <w:rFonts w:eastAsia="Times New Roman"/>
          <w:color w:val="222222"/>
          <w:u w:val="single"/>
        </w:rPr>
        <w:t xml:space="preserve">non–U.S. citizens who seek to enter the U.S. or who seek lawful permanent resident, or LPR, status must show that they are not likely to become dependent on the government for cash assistance or long-term </w:t>
      </w:r>
      <w:proofErr w:type="spellStart"/>
      <w:r w:rsidRPr="003A1781">
        <w:rPr>
          <w:rFonts w:eastAsia="Times New Roman"/>
          <w:color w:val="222222"/>
          <w:u w:val="single"/>
        </w:rPr>
        <w:t>care.Certain</w:t>
      </w:r>
      <w:proofErr w:type="spellEnd"/>
      <w:r w:rsidRPr="003A1781">
        <w:rPr>
          <w:rFonts w:eastAsia="Times New Roman"/>
          <w:color w:val="222222"/>
          <w:u w:val="single"/>
        </w:rPr>
        <w:t xml:space="preserve"> immigrants — including refugees; asylees; survivors of trafficking, domestic violence and other serious crimes; and other “humanitarian” immigrants are not subject to this public charge test.</w:t>
      </w:r>
    </w:p>
    <w:p w14:paraId="2C2DFDEF" w14:textId="77777777" w:rsidR="003A1781" w:rsidRPr="003A1781" w:rsidRDefault="003A1781" w:rsidP="003A1781">
      <w:pPr>
        <w:shd w:val="clear" w:color="auto" w:fill="FFFFFF"/>
        <w:spacing w:line="240" w:lineRule="auto"/>
        <w:textAlignment w:val="baseline"/>
        <w:rPr>
          <w:rFonts w:eastAsia="Times New Roman"/>
          <w:color w:val="222222"/>
        </w:rPr>
      </w:pPr>
      <w:r w:rsidRPr="003A1781">
        <w:rPr>
          <w:rFonts w:ascii="Helvetica" w:eastAsia="Times New Roman" w:hAnsi="Helvetica" w:cs="Helvetica"/>
          <w:color w:val="444444"/>
          <w:sz w:val="14"/>
          <w:szCs w:val="14"/>
        </w:rPr>
        <w:t>The </w:t>
      </w:r>
      <w:r w:rsidRPr="003A1781">
        <w:rPr>
          <w:rFonts w:eastAsia="Times New Roman"/>
          <w:color w:val="222222"/>
          <w:u w:val="single"/>
        </w:rPr>
        <w:t>FAM provides instructions</w:t>
      </w:r>
      <w:r w:rsidRPr="003A1781">
        <w:rPr>
          <w:rFonts w:ascii="Helvetica" w:eastAsia="Times New Roman" w:hAnsi="Helvetica" w:cs="Helvetica"/>
          <w:color w:val="444444"/>
          <w:sz w:val="14"/>
          <w:szCs w:val="14"/>
        </w:rPr>
        <w:t> that </w:t>
      </w:r>
      <w:r w:rsidRPr="003A1781">
        <w:rPr>
          <w:rFonts w:eastAsia="Times New Roman"/>
          <w:color w:val="222222"/>
          <w:u w:val="single"/>
        </w:rPr>
        <w:t>officials in U.S. embassies and consulates abroad use to make decisions about whether to grant a person permission to enter the U.S. as an immigrant or on a nonimmigrant visa.</w:t>
      </w:r>
      <w:r w:rsidRPr="003A1781">
        <w:rPr>
          <w:rFonts w:ascii="Helvetica" w:eastAsia="Times New Roman" w:hAnsi="Helvetica" w:cs="Helvetica"/>
          <w:color w:val="444444"/>
          <w:sz w:val="14"/>
          <w:szCs w:val="14"/>
        </w:rPr>
        <w:t> </w:t>
      </w:r>
      <w:r w:rsidRPr="003A1781">
        <w:rPr>
          <w:rFonts w:eastAsia="Times New Roman"/>
          <w:color w:val="222222"/>
          <w:sz w:val="14"/>
          <w:szCs w:val="14"/>
        </w:rPr>
        <w:t>It does not govern decisions made by immigration officials inside the U.S. However, the FAM revision foreshadows other changes that we may see this year.</w:t>
      </w:r>
    </w:p>
    <w:p w14:paraId="7B738CFE" w14:textId="77777777" w:rsidR="003A1781" w:rsidRPr="003A1781" w:rsidRDefault="003A1781" w:rsidP="003A1781">
      <w:pPr>
        <w:shd w:val="clear" w:color="auto" w:fill="FFFFFF"/>
        <w:spacing w:line="240" w:lineRule="auto"/>
        <w:textAlignment w:val="baseline"/>
        <w:rPr>
          <w:rFonts w:eastAsia="Times New Roman"/>
          <w:color w:val="222222"/>
        </w:rPr>
      </w:pPr>
      <w:r w:rsidRPr="003A1781">
        <w:rPr>
          <w:rFonts w:eastAsia="Times New Roman"/>
          <w:color w:val="222222"/>
          <w:u w:val="single"/>
        </w:rPr>
        <w:t>Federal law allows immigration authorities to deny entry to the U.S. to non–U.S. citizens who are likely in the future to depend on the government for subsistence by relying on cash assistance or long-term care at government expense (i.e., people who are likely to become a public charge).</w:t>
      </w:r>
      <w:r w:rsidRPr="003A1781">
        <w:rPr>
          <w:rFonts w:ascii="Helvetica" w:eastAsia="Times New Roman" w:hAnsi="Helvetica" w:cs="Helvetica"/>
          <w:color w:val="444444"/>
          <w:sz w:val="16"/>
          <w:szCs w:val="16"/>
        </w:rPr>
        <w:t> In making a public charge determination, the government must look at a person’s age, health, family situation, income, resources, education, and skills, and may also consider an affidavit of support or contract signed by a sponsor promising to support the immigrant. This “totality of the circumstances” test requires the government to look at all the factors together. It is a forward-looking test that may not be based solely on what happened in the past.</w:t>
      </w:r>
    </w:p>
    <w:p w14:paraId="1AF4DDF1" w14:textId="77777777" w:rsidR="003A1781" w:rsidRPr="003A1781" w:rsidRDefault="003A1781" w:rsidP="003A1781">
      <w:pPr>
        <w:shd w:val="clear" w:color="auto" w:fill="FFFFFF"/>
        <w:spacing w:line="240" w:lineRule="auto"/>
        <w:textAlignment w:val="baseline"/>
        <w:rPr>
          <w:rFonts w:eastAsia="Times New Roman"/>
          <w:color w:val="222222"/>
        </w:rPr>
      </w:pPr>
      <w:r w:rsidRPr="003A1781">
        <w:rPr>
          <w:rFonts w:eastAsia="Times New Roman"/>
          <w:color w:val="222222"/>
          <w:u w:val="single"/>
        </w:rPr>
        <w:t>For more than one hundred years, the government has recognized that work supports such as health coverage and nutrition assistance help people remain healthy and productive. Thus, the use of these services has not been considered relevant in public charge determinations.</w:t>
      </w:r>
      <w:r w:rsidRPr="003A1781">
        <w:rPr>
          <w:rFonts w:ascii="Helvetica" w:eastAsia="Times New Roman" w:hAnsi="Helvetica" w:cs="Helvetica"/>
          <w:color w:val="444444"/>
          <w:sz w:val="16"/>
          <w:szCs w:val="16"/>
        </w:rPr>
        <w:t> Almost two decades ago, </w:t>
      </w:r>
      <w:r w:rsidRPr="003A1781">
        <w:rPr>
          <w:rFonts w:eastAsia="Times New Roman"/>
          <w:color w:val="222222"/>
          <w:u w:val="single"/>
        </w:rPr>
        <w:t>the government clarified that the use of services such as health coverage or nutrition assistance</w:t>
      </w:r>
      <w:r w:rsidRPr="003A1781">
        <w:rPr>
          <w:rFonts w:ascii="Helvetica" w:eastAsia="Times New Roman" w:hAnsi="Helvetica" w:cs="Helvetica"/>
          <w:color w:val="444444"/>
          <w:sz w:val="16"/>
          <w:szCs w:val="16"/>
        </w:rPr>
        <w:t> (such as Medicaid, the Children’s Health Insurance Program, or CHIP, and the Supplemental Nutrition Assistance Program, or SNAP, also known as “food stamps”) </w:t>
      </w:r>
      <w:r w:rsidRPr="003A1781">
        <w:rPr>
          <w:rFonts w:eastAsia="Times New Roman"/>
          <w:color w:val="222222"/>
          <w:u w:val="single"/>
        </w:rPr>
        <w:t xml:space="preserve">would not be considered in the public charge determination. Only the receipt of cash assistance for monthly income </w:t>
      </w:r>
      <w:proofErr w:type="gramStart"/>
      <w:r w:rsidRPr="003A1781">
        <w:rPr>
          <w:rFonts w:eastAsia="Times New Roman"/>
          <w:color w:val="222222"/>
          <w:u w:val="single"/>
        </w:rPr>
        <w:t>maintenance</w:t>
      </w:r>
      <w:r w:rsidRPr="003A1781">
        <w:rPr>
          <w:rFonts w:ascii="Helvetica" w:eastAsia="Times New Roman" w:hAnsi="Helvetica" w:cs="Helvetica"/>
          <w:color w:val="444444"/>
          <w:sz w:val="16"/>
          <w:szCs w:val="16"/>
        </w:rPr>
        <w:t>(</w:t>
      </w:r>
      <w:proofErr w:type="gramEnd"/>
      <w:r w:rsidRPr="003A1781">
        <w:rPr>
          <w:rFonts w:ascii="Helvetica" w:eastAsia="Times New Roman" w:hAnsi="Helvetica" w:cs="Helvetica"/>
          <w:color w:val="444444"/>
          <w:sz w:val="16"/>
          <w:szCs w:val="16"/>
        </w:rPr>
        <w:t>such as Supplemental Security Income or Temporary Assistance for Needy Families) </w:t>
      </w:r>
      <w:r w:rsidRPr="003A1781">
        <w:rPr>
          <w:rFonts w:eastAsia="Times New Roman"/>
          <w:color w:val="222222"/>
          <w:u w:val="single"/>
        </w:rPr>
        <w:t>or government-funded long-term care could be considered</w:t>
      </w:r>
      <w:r w:rsidRPr="003A1781">
        <w:rPr>
          <w:rFonts w:ascii="Helvetica" w:eastAsia="Times New Roman" w:hAnsi="Helvetica" w:cs="Helvetica"/>
          <w:color w:val="444444"/>
          <w:sz w:val="16"/>
          <w:szCs w:val="16"/>
        </w:rPr>
        <w:t>. And any negative factor could be outweighed by positive factors — most importantly the sponsor’s affidavit of support — in determining whether the individual was likely to rely on cash assistance or long-term care in the future.</w:t>
      </w:r>
    </w:p>
    <w:p w14:paraId="401D6BF2" w14:textId="2D258141" w:rsidR="003A1781" w:rsidRPr="003A1781" w:rsidRDefault="003A1781" w:rsidP="003A1781">
      <w:pPr>
        <w:shd w:val="clear" w:color="auto" w:fill="FFFFFF"/>
        <w:spacing w:line="240" w:lineRule="auto"/>
        <w:textAlignment w:val="baseline"/>
        <w:rPr>
          <w:b/>
          <w:iCs/>
          <w:u w:val="single"/>
        </w:rPr>
      </w:pPr>
      <w:r w:rsidRPr="003A1781">
        <w:rPr>
          <w:rFonts w:eastAsia="Times New Roman"/>
          <w:color w:val="222222"/>
          <w:u w:val="single"/>
        </w:rPr>
        <w:t>The revised instructions</w:t>
      </w:r>
      <w:r w:rsidRPr="003A1781">
        <w:rPr>
          <w:rFonts w:ascii="Helvetica" w:eastAsia="Times New Roman" w:hAnsi="Helvetica" w:cs="Helvetica"/>
          <w:color w:val="444444"/>
          <w:sz w:val="16"/>
          <w:szCs w:val="16"/>
        </w:rPr>
        <w:t> could </w:t>
      </w:r>
      <w:r w:rsidRPr="003A1781">
        <w:rPr>
          <w:rFonts w:eastAsia="Times New Roman"/>
          <w:color w:val="222222"/>
          <w:u w:val="single"/>
        </w:rPr>
        <w:t>affect non–U.S. citizens who go through consular processing in their home country before entering the U.S.</w:t>
      </w:r>
      <w:r w:rsidRPr="003A1781">
        <w:rPr>
          <w:rFonts w:ascii="Helvetica" w:eastAsia="Times New Roman" w:hAnsi="Helvetica" w:cs="Helvetica"/>
          <w:color w:val="444444"/>
          <w:sz w:val="16"/>
          <w:szCs w:val="16"/>
        </w:rPr>
        <w:t> This includes people </w:t>
      </w:r>
      <w:r w:rsidRPr="003A1781">
        <w:rPr>
          <w:rFonts w:eastAsia="Times New Roman"/>
          <w:color w:val="222222"/>
          <w:u w:val="single"/>
        </w:rPr>
        <w:t>seeking nonimmigrant visas, including tourist or employment-based visas, and people seeking to be admitted to the U.S. as a lawful permanent resident</w:t>
      </w:r>
      <w:r w:rsidRPr="003A1781">
        <w:rPr>
          <w:rStyle w:val="Emphasis"/>
        </w:rPr>
        <w:t>. The instructions clarify that the conditions for obtaining a nonimmigrant visa are normally sufficient to overcome the public charge exclusion absent evidence that gives reason to believe a public charge issue exists.</w:t>
      </w:r>
      <w:bookmarkStart w:id="0" w:name="_GoBack"/>
      <w:bookmarkEnd w:id="0"/>
    </w:p>
    <w:p w14:paraId="6AB195A4" w14:textId="6569F694" w:rsidR="003A1781" w:rsidRPr="003A1781" w:rsidRDefault="003A1781" w:rsidP="003A1781">
      <w:pPr>
        <w:pStyle w:val="Heading4"/>
      </w:pPr>
      <w:r w:rsidRPr="003A1781">
        <w:t xml:space="preserve">Refugees and Asylees </w:t>
      </w:r>
      <w:r>
        <w:t>are exempt from public</w:t>
      </w:r>
      <w:r w:rsidRPr="003A1781">
        <w:t xml:space="preserve"> charge, so the plan is topical and only deals with legal permanent residents. </w:t>
      </w:r>
    </w:p>
    <w:p w14:paraId="39C69D54" w14:textId="77777777" w:rsidR="003A1781" w:rsidRPr="007E22E4" w:rsidRDefault="003A1781" w:rsidP="003A1781">
      <w:pPr>
        <w:rPr>
          <w:rStyle w:val="Style13ptBold"/>
        </w:rPr>
      </w:pPr>
      <w:r>
        <w:rPr>
          <w:rStyle w:val="Style13ptBold"/>
        </w:rPr>
        <w:t>US Citizenship and Immigration Services, official governmental agency for admitting immigrants, 200</w:t>
      </w:r>
      <w:r w:rsidRPr="007E22E4">
        <w:rPr>
          <w:rStyle w:val="Style13ptBold"/>
        </w:rPr>
        <w:t>5</w:t>
      </w:r>
    </w:p>
    <w:p w14:paraId="138E76CF" w14:textId="77777777" w:rsidR="003A1781" w:rsidRPr="0060160E" w:rsidRDefault="003A1781" w:rsidP="003A1781">
      <w:pPr>
        <w:rPr>
          <w:color w:val="000000"/>
        </w:rPr>
      </w:pPr>
      <w:r w:rsidRPr="00316EB8">
        <w:rPr>
          <w:color w:val="000000"/>
        </w:rPr>
        <w:t>(</w:t>
      </w:r>
      <w:r w:rsidRPr="007E22E4">
        <w:rPr>
          <w:i/>
          <w:color w:val="000000"/>
        </w:rPr>
        <w:t>The USCIS</w:t>
      </w:r>
      <w:r>
        <w:rPr>
          <w:i/>
          <w:color w:val="000000"/>
        </w:rPr>
        <w:t xml:space="preserve">, </w:t>
      </w:r>
      <w:r w:rsidRPr="00316EB8">
        <w:rPr>
          <w:color w:val="000000"/>
        </w:rPr>
        <w:t>“</w:t>
      </w:r>
      <w:r>
        <w:rPr>
          <w:color w:val="000000"/>
        </w:rPr>
        <w:t>Chapter 41.6 Waivers of inadmissibility for refugees and asylees.</w:t>
      </w:r>
      <w:r w:rsidRPr="00316EB8">
        <w:rPr>
          <w:color w:val="000000"/>
        </w:rPr>
        <w:t>”</w:t>
      </w:r>
      <w:r>
        <w:rPr>
          <w:color w:val="000000"/>
        </w:rPr>
        <w:t xml:space="preserve">, October 31st, </w:t>
      </w:r>
      <w:r w:rsidRPr="007C5D0E">
        <w:rPr>
          <w:color w:val="000000"/>
        </w:rPr>
        <w:t>https://www.theatlantic.com/business/archive/2017/02/the-dark-side-of-the-h-1b-program/516813/</w:t>
      </w:r>
      <w:r>
        <w:rPr>
          <w:color w:val="000000"/>
        </w:rPr>
        <w:t xml:space="preserve">, </w:t>
      </w:r>
      <w:r>
        <w:rPr>
          <w:i/>
          <w:color w:val="000000"/>
        </w:rPr>
        <w:t>7</w:t>
      </w:r>
      <w:r>
        <w:rPr>
          <w:color w:val="000000"/>
        </w:rPr>
        <w:t>/5/18, NS</w:t>
      </w:r>
      <w:r w:rsidRPr="00316EB8">
        <w:rPr>
          <w:color w:val="000000"/>
        </w:rPr>
        <w:t>)</w:t>
      </w:r>
    </w:p>
    <w:p w14:paraId="5B70AE20" w14:textId="77777777" w:rsidR="003A1781" w:rsidRDefault="003A1781" w:rsidP="003A1781">
      <w:r w:rsidRPr="007E22E4">
        <w:rPr>
          <w:rStyle w:val="StyleUnderline"/>
        </w:rPr>
        <w:t>Under section 209(c) of the Act</w:t>
      </w:r>
      <w:r>
        <w:t xml:space="preserve">, the </w:t>
      </w:r>
      <w:r w:rsidRPr="007E22E4">
        <w:rPr>
          <w:rStyle w:val="StyleUnderline"/>
        </w:rPr>
        <w:t>inadmissibility grounds</w:t>
      </w:r>
      <w:r>
        <w:t xml:space="preserve"> set out in sections 212(a)(4) (</w:t>
      </w:r>
      <w:r w:rsidRPr="007E22E4">
        <w:rPr>
          <w:rStyle w:val="StyleUnderline"/>
        </w:rPr>
        <w:t>public charge</w:t>
      </w:r>
      <w:r>
        <w:t xml:space="preserve">), 212(a)(5) (labor certification), and 212(a)(7)(A) (immigrant documentation requirements) of the Act </w:t>
      </w:r>
      <w:r w:rsidRPr="007E22E4">
        <w:rPr>
          <w:rStyle w:val="StyleUnderline"/>
        </w:rPr>
        <w:t>do not apply to asylee and refugee adjustment applicants.</w:t>
      </w:r>
      <w:r>
        <w:t xml:space="preserve"> Section 209(c) of the Act prohibits the Secretary from waiving the following grounds of inadmissibility: • Section 212(a)(2)(C) of the Act relating to drug trafficking; • Section 212(a)(3)(A) of the Act relating to security grounds; • Section 212(a)(3)(B) of the Act relating to terrorist activities; • Section 212(a)(3)(C) of the Act relating to foreign policy </w:t>
      </w:r>
      <w:proofErr w:type="spellStart"/>
      <w:r>
        <w:t>considerations;and</w:t>
      </w:r>
      <w:proofErr w:type="spellEnd"/>
      <w:r>
        <w:t xml:space="preserve"> • Section 212(a)(3)(E) of the Act relating to Nazi persecution and genocide. </w:t>
      </w:r>
      <w:r w:rsidRPr="007E22E4">
        <w:rPr>
          <w:rStyle w:val="StyleUnderline"/>
        </w:rPr>
        <w:t>The Secretary may waive any</w:t>
      </w:r>
      <w:r w:rsidRPr="007E22E4">
        <w:t xml:space="preserve"> other</w:t>
      </w:r>
      <w:r w:rsidRPr="007E22E4">
        <w:rPr>
          <w:rStyle w:val="StyleUnderline"/>
        </w:rPr>
        <w:t xml:space="preserve"> ground of inadmissibility</w:t>
      </w:r>
      <w:r>
        <w:t xml:space="preserve"> under section 212(a) of the Act </w:t>
      </w:r>
      <w:r w:rsidRPr="007E22E4">
        <w:rPr>
          <w:rStyle w:val="StyleUnderline"/>
        </w:rPr>
        <w:t>for humanitarian purposes</w:t>
      </w:r>
      <w:r>
        <w:t xml:space="preserve">, to assure family unity, or when it is otherwise in the public interest. </w:t>
      </w:r>
    </w:p>
    <w:p w14:paraId="43565632" w14:textId="77777777" w:rsidR="003A1781" w:rsidRDefault="003A1781" w:rsidP="003A1781">
      <w:pPr>
        <w:pStyle w:val="Heading3"/>
      </w:pPr>
      <w:r>
        <w:t>Inherency</w:t>
      </w:r>
    </w:p>
    <w:p w14:paraId="62359780" w14:textId="77777777" w:rsidR="003A1781" w:rsidRDefault="003A1781" w:rsidP="003A1781">
      <w:pPr>
        <w:pStyle w:val="Heading4"/>
      </w:pPr>
      <w:r>
        <w:t>Trump’s new immigration reform will radicalize current usage of public charge.</w:t>
      </w:r>
    </w:p>
    <w:p w14:paraId="3D01F373" w14:textId="77777777" w:rsidR="003A1781" w:rsidRPr="002F4AD4" w:rsidRDefault="003A1781" w:rsidP="003A1781">
      <w:pPr>
        <w:rPr>
          <w:b/>
        </w:rPr>
      </w:pPr>
      <w:r>
        <w:rPr>
          <w:b/>
        </w:rPr>
        <w:t>Boteach, t</w:t>
      </w:r>
      <w:r w:rsidRPr="002F4AD4">
        <w:rPr>
          <w:b/>
        </w:rPr>
        <w:t>he senior vice president for the Poverty to Prosperity Program at the Center for American Progress</w:t>
      </w:r>
      <w:r>
        <w:rPr>
          <w:b/>
        </w:rPr>
        <w:t>, 2018</w:t>
      </w:r>
    </w:p>
    <w:p w14:paraId="0EE5567A" w14:textId="77777777" w:rsidR="003A1781" w:rsidRDefault="003A1781" w:rsidP="003A1781">
      <w:r>
        <w:t xml:space="preserve">(Melissa, Shawn </w:t>
      </w:r>
      <w:proofErr w:type="spellStart"/>
      <w:r>
        <w:t>Fremstad</w:t>
      </w:r>
      <w:proofErr w:type="spellEnd"/>
      <w:r>
        <w:t xml:space="preserve">, </w:t>
      </w:r>
      <w:proofErr w:type="spellStart"/>
      <w:r>
        <w:t>Kathering</w:t>
      </w:r>
      <w:proofErr w:type="spellEnd"/>
      <w:r>
        <w:t xml:space="preserve"> Gallagher Robbins, Heidi </w:t>
      </w:r>
      <w:proofErr w:type="spellStart"/>
      <w:r>
        <w:t>Schultheis</w:t>
      </w:r>
      <w:proofErr w:type="spellEnd"/>
      <w:r>
        <w:t xml:space="preserve">, and Rachel West, </w:t>
      </w:r>
      <w:proofErr w:type="spellStart"/>
      <w:r w:rsidRPr="001650E4">
        <w:t>hawn</w:t>
      </w:r>
      <w:proofErr w:type="spellEnd"/>
      <w:r w:rsidRPr="001650E4">
        <w:t xml:space="preserve"> </w:t>
      </w:r>
      <w:proofErr w:type="spellStart"/>
      <w:r w:rsidRPr="001650E4">
        <w:t>Fremstad</w:t>
      </w:r>
      <w:proofErr w:type="spellEnd"/>
      <w:r w:rsidRPr="001650E4">
        <w:t xml:space="preserve"> is a senior fellow at the Center. Katherine Gallagher Robbins is the director of policy for the Poverty to Prosperity Program at the Center. Heidi </w:t>
      </w:r>
      <w:proofErr w:type="spellStart"/>
      <w:r w:rsidRPr="001650E4">
        <w:t>Schultheis</w:t>
      </w:r>
      <w:proofErr w:type="spellEnd"/>
      <w:r w:rsidRPr="001650E4">
        <w:t xml:space="preserve"> is a policy analyst for the Poverty to Prosperity Program at the Center. Rachel West is the director of research for the Poverty to Prosperity Program at the Center</w:t>
      </w:r>
      <w:r>
        <w:t xml:space="preserve">, Center for American Progress, “Trump’s Immigration Plan Imposes Radical New Income and Health Tests,” 5-31-18, </w:t>
      </w:r>
      <w:hyperlink r:id="rId6" w:history="1">
        <w:r w:rsidRPr="000F1DAC">
          <w:rPr>
            <w:rStyle w:val="Hyperlink"/>
          </w:rPr>
          <w:t>https://www.americanprogress.org/issues/poverty/reports/2018/07/19/453174/trumps-immigration-plan-imposes-radical-new-income-health-tests/</w:t>
        </w:r>
      </w:hyperlink>
      <w:r>
        <w:t>, 7-19-18, AW)</w:t>
      </w:r>
    </w:p>
    <w:p w14:paraId="0F3335AE" w14:textId="77777777" w:rsidR="003A1781" w:rsidRDefault="003A1781" w:rsidP="003A1781">
      <w:r>
        <w:t xml:space="preserve">President Donald </w:t>
      </w:r>
      <w:r w:rsidRPr="00516CBD">
        <w:rPr>
          <w:u w:val="single"/>
        </w:rPr>
        <w:t xml:space="preserve">Trump is preparing to unilaterally and fundamentally change the U.S. system for legal immigration in ways that would restrict immigration to the wealthiest and most privileged applicants. </w:t>
      </w:r>
      <w:r>
        <w:t xml:space="preserve">Under a new </w:t>
      </w:r>
      <w:r w:rsidRPr="00516CBD">
        <w:rPr>
          <w:u w:val="single"/>
        </w:rPr>
        <w:t xml:space="preserve">policy being drafted by the </w:t>
      </w:r>
      <w:r>
        <w:t>Department of Homeland Security (</w:t>
      </w:r>
      <w:r w:rsidRPr="00516CBD">
        <w:rPr>
          <w:u w:val="single"/>
        </w:rPr>
        <w:t>DHS</w:t>
      </w:r>
      <w:r>
        <w:t xml:space="preserve">), </w:t>
      </w:r>
      <w:r w:rsidRPr="00516CBD">
        <w:rPr>
          <w:u w:val="single"/>
        </w:rPr>
        <w:t>an archaic federal immigration provision known as the “public charge” test would be reinterpreted to limit both family-unity and diversity-based immigration in ways that are a radical departure from current immigration law.</w:t>
      </w:r>
      <w:r>
        <w:t xml:space="preserve">1 Under the rewritten test, </w:t>
      </w:r>
      <w:r w:rsidRPr="00516CBD">
        <w:rPr>
          <w:u w:val="single"/>
        </w:rPr>
        <w:t xml:space="preserve">people would generally fail if they had income and resources of less than 250 percent of the federal poverty guidelines </w:t>
      </w:r>
      <w:r>
        <w:t>or had a medical condition and no unsubsidized source of health insurance.</w:t>
      </w:r>
    </w:p>
    <w:p w14:paraId="3A9EFFE5" w14:textId="77777777" w:rsidR="003A1781" w:rsidRDefault="003A1781" w:rsidP="003A1781">
      <w:r>
        <w:t xml:space="preserve">In this brief, the Center for American Progress aims to give the public a sense of the radical nature of the unilateral action the Trump administration is planning. To do so, the </w:t>
      </w:r>
      <w:r w:rsidRPr="00516CBD">
        <w:rPr>
          <w:u w:val="single"/>
        </w:rPr>
        <w:t>authors estimate what would happen if all people in the United States—U.S.-born citizens and immigrants alike—had to take this “Trump test,” based on the most recently leaked draft of the rule.</w:t>
      </w:r>
      <w:r>
        <w:t xml:space="preserve">3 According to </w:t>
      </w:r>
      <w:r w:rsidRPr="00516CBD">
        <w:rPr>
          <w:u w:val="single"/>
        </w:rPr>
        <w:t>CAP’s estimates, the proposed Trump test is so restrictive that more than 100 million people—about one-third of the U.S. population—would fail if they were required to take it today.</w:t>
      </w:r>
    </w:p>
    <w:p w14:paraId="00CBCA10" w14:textId="77777777" w:rsidR="003A1781" w:rsidRPr="00516CBD" w:rsidRDefault="003A1781" w:rsidP="003A1781">
      <w:pPr>
        <w:rPr>
          <w:u w:val="single"/>
        </w:rPr>
      </w:pPr>
      <w:r w:rsidRPr="00516CBD">
        <w:rPr>
          <w:u w:val="single"/>
        </w:rPr>
        <w:t xml:space="preserve">This estimate is a conservative </w:t>
      </w:r>
      <w:r>
        <w:t xml:space="preserve">one that is based on a snapshot of people’s current circumstances. Yet the Trump test is ongoing, so people who pass the test today could very well fail it </w:t>
      </w:r>
      <w:proofErr w:type="gramStart"/>
      <w:r>
        <w:t>in the near future</w:t>
      </w:r>
      <w:proofErr w:type="gramEnd"/>
      <w:r>
        <w:t xml:space="preserve"> due to economic downturns, mass layoffs, job insecurity, health problems, disability, or other factors. While, in this brief, the authors do not estimate an upper bound for Trump test failures, it is </w:t>
      </w:r>
      <w:r w:rsidRPr="00516CBD">
        <w:rPr>
          <w:u w:val="single"/>
        </w:rPr>
        <w:t>reasonable to assume that at least half of all people in the United States could fail this test over a period of several years.</w:t>
      </w:r>
    </w:p>
    <w:p w14:paraId="4F671A66" w14:textId="0C1CBE07" w:rsidR="003A1781" w:rsidRDefault="003A1781" w:rsidP="003A1781">
      <w:pPr>
        <w:pStyle w:val="Heading4"/>
      </w:pPr>
      <w:r>
        <w:t>New public charge test makes legal immigration through family and diversity visas impossible, increasing undocumented immigration.</w:t>
      </w:r>
      <w:r>
        <w:t xml:space="preserve"> </w:t>
      </w:r>
    </w:p>
    <w:p w14:paraId="416C9904" w14:textId="77777777" w:rsidR="003A1781" w:rsidRPr="002F4AD4" w:rsidRDefault="003A1781" w:rsidP="003A1781">
      <w:pPr>
        <w:rPr>
          <w:b/>
        </w:rPr>
      </w:pPr>
      <w:r>
        <w:rPr>
          <w:b/>
        </w:rPr>
        <w:t>Boteach, t</w:t>
      </w:r>
      <w:r w:rsidRPr="002F4AD4">
        <w:rPr>
          <w:b/>
        </w:rPr>
        <w:t>he senior vice president for the Poverty to Prosperity Program at the Center for American Progress</w:t>
      </w:r>
      <w:r>
        <w:rPr>
          <w:b/>
        </w:rPr>
        <w:t>, 2018</w:t>
      </w:r>
    </w:p>
    <w:p w14:paraId="7E36FFBF" w14:textId="77777777" w:rsidR="003A1781" w:rsidRDefault="003A1781" w:rsidP="003A1781">
      <w:r>
        <w:t xml:space="preserve">(Melissa, Shawn </w:t>
      </w:r>
      <w:proofErr w:type="spellStart"/>
      <w:r>
        <w:t>Fremstad</w:t>
      </w:r>
      <w:proofErr w:type="spellEnd"/>
      <w:r>
        <w:t xml:space="preserve">, </w:t>
      </w:r>
      <w:proofErr w:type="spellStart"/>
      <w:r>
        <w:t>Kathering</w:t>
      </w:r>
      <w:proofErr w:type="spellEnd"/>
      <w:r>
        <w:t xml:space="preserve"> Gallagher Robbins, Heidi </w:t>
      </w:r>
      <w:proofErr w:type="spellStart"/>
      <w:r>
        <w:t>Schultheis</w:t>
      </w:r>
      <w:proofErr w:type="spellEnd"/>
      <w:r>
        <w:t xml:space="preserve">, and Rachel West, </w:t>
      </w:r>
      <w:proofErr w:type="spellStart"/>
      <w:r w:rsidRPr="001650E4">
        <w:t>hawn</w:t>
      </w:r>
      <w:proofErr w:type="spellEnd"/>
      <w:r w:rsidRPr="001650E4">
        <w:t xml:space="preserve"> </w:t>
      </w:r>
      <w:proofErr w:type="spellStart"/>
      <w:r w:rsidRPr="001650E4">
        <w:t>Fremstad</w:t>
      </w:r>
      <w:proofErr w:type="spellEnd"/>
      <w:r w:rsidRPr="001650E4">
        <w:t xml:space="preserve"> is a senior fellow at the Center. Katherine Gallagher Robbins is the director of policy for the Poverty to Prosperity Program at the Center. Heidi </w:t>
      </w:r>
      <w:proofErr w:type="spellStart"/>
      <w:r w:rsidRPr="001650E4">
        <w:t>Schultheis</w:t>
      </w:r>
      <w:proofErr w:type="spellEnd"/>
      <w:r w:rsidRPr="001650E4">
        <w:t xml:space="preserve"> is a policy analyst for the Poverty to Prosperity Program at the Center. Rachel West is the director of research for the Poverty to Prosperity Program at the Center</w:t>
      </w:r>
      <w:r>
        <w:t xml:space="preserve">, Center for American Progress, “Trump’s Immigration Plan Imposes Radical New Income and Health Tests,” 5-31-18, </w:t>
      </w:r>
      <w:hyperlink r:id="rId7" w:history="1">
        <w:r w:rsidRPr="000F1DAC">
          <w:rPr>
            <w:rStyle w:val="Hyperlink"/>
          </w:rPr>
          <w:t>https://www.americanprogress.org/issues/poverty/reports/2018/07/19/453174/trumps-immigration-plan-imposes-radical-new-income-health-tests/</w:t>
        </w:r>
      </w:hyperlink>
      <w:r>
        <w:t>, 7-19-18, AW)</w:t>
      </w:r>
    </w:p>
    <w:p w14:paraId="1EFE45AA" w14:textId="77777777" w:rsidR="003A1781" w:rsidRDefault="003A1781" w:rsidP="003A1781">
      <w:r>
        <w:t xml:space="preserve"> </w:t>
      </w:r>
      <w:r w:rsidRPr="008F582C">
        <w:rPr>
          <w:u w:val="single"/>
        </w:rPr>
        <w:t>Trump’s public charge test would make it impossible for most working-class immigrants seeking green cards through the family- and diversity-based immigration processes to legally come to the United States.</w:t>
      </w:r>
      <w:r>
        <w:t xml:space="preserve"> Requiring immigrants to have the inherited wealth of President Trump’s son-in-law, Jared Kushner, for example, or the education necessary to work a high-tech job in Silicon Valley means that they will need to have already achieved the American dream before even stepping foot on U.S. shores. Moreover, by </w:t>
      </w:r>
      <w:r w:rsidRPr="00C84EAE">
        <w:rPr>
          <w:u w:val="single"/>
        </w:rPr>
        <w:t>narrowing the legal channels to family reunification, the Trump test could increase undocumented immigration.</w:t>
      </w:r>
    </w:p>
    <w:p w14:paraId="1BC3473A" w14:textId="77777777" w:rsidR="003A1781" w:rsidRDefault="003A1781" w:rsidP="003A1781">
      <w:pPr>
        <w:rPr>
          <w:u w:val="single"/>
        </w:rPr>
      </w:pPr>
      <w:r>
        <w:t xml:space="preserve">President </w:t>
      </w:r>
      <w:r w:rsidRPr="00C84EAE">
        <w:rPr>
          <w:u w:val="single"/>
        </w:rPr>
        <w:t>Trump may claim to be for working-class people, but his policies reveal a disdain for them and a complete dismissal of the contributions that generations of immigrants who arrived in this country with few or no resources have brought to America.</w:t>
      </w:r>
    </w:p>
    <w:p w14:paraId="12D858DE" w14:textId="77777777" w:rsidR="003A1781" w:rsidRPr="00C84EAE" w:rsidRDefault="003A1781" w:rsidP="003A1781">
      <w:pPr>
        <w:rPr>
          <w:u w:val="single"/>
        </w:rPr>
      </w:pPr>
    </w:p>
    <w:p w14:paraId="0A30378E" w14:textId="04B9A7C3" w:rsidR="003A1781" w:rsidRDefault="003A1781" w:rsidP="003A1781">
      <w:pPr>
        <w:pStyle w:val="Heading3"/>
      </w:pPr>
      <w:r>
        <w:t>AT: Cap</w:t>
      </w:r>
    </w:p>
    <w:p w14:paraId="76D00498" w14:textId="77777777" w:rsidR="003A1781" w:rsidRDefault="003A1781" w:rsidP="003A1781">
      <w:pPr>
        <w:pStyle w:val="Heading4"/>
      </w:pPr>
      <w:r w:rsidRPr="00C94D18">
        <w:t xml:space="preserve">CASE TURNS K; The Neoliberal actuarial logic of Public Charge is exactly what we are criticizing </w:t>
      </w:r>
    </w:p>
    <w:p w14:paraId="254D3C66" w14:textId="77777777" w:rsidR="003A1781" w:rsidRDefault="003A1781" w:rsidP="003A1781">
      <w:pPr>
        <w:rPr>
          <w:rStyle w:val="Style13ptBold"/>
        </w:rPr>
      </w:pPr>
      <w:r w:rsidRPr="00BF1046">
        <w:rPr>
          <w:rStyle w:val="Style13ptBold"/>
        </w:rPr>
        <w:t>Webb</w:t>
      </w:r>
      <w:r>
        <w:t xml:space="preserve">, </w:t>
      </w:r>
      <w:r w:rsidRPr="00C94D18">
        <w:t>Professor of Social Work</w:t>
      </w:r>
      <w:r>
        <w:t xml:space="preserve">, </w:t>
      </w:r>
      <w:r w:rsidRPr="00BF1046">
        <w:rPr>
          <w:rStyle w:val="Style13ptBold"/>
        </w:rPr>
        <w:t>2006</w:t>
      </w:r>
    </w:p>
    <w:p w14:paraId="1F12CE3A" w14:textId="77777777" w:rsidR="003A1781" w:rsidRPr="00BF1046" w:rsidRDefault="003A1781" w:rsidP="003A1781">
      <w:r>
        <w:t>(Stephen, “</w:t>
      </w:r>
      <w:r w:rsidRPr="00BF1046">
        <w:t>Social Work in a Risk Society: Social and Political Perspectives</w:t>
      </w:r>
      <w:r>
        <w:t xml:space="preserve">”, </w:t>
      </w:r>
      <w:r w:rsidRPr="00BF1046">
        <w:t>24 Jan 2006</w:t>
      </w:r>
      <w:r>
        <w:t xml:space="preserve">. </w:t>
      </w:r>
      <w:r w:rsidRPr="00BF1046">
        <w:t>Stephen Webb is Professor of Social Work at Glasgow Caledonian University in Scotland. His journal article on evidence-based practice (2001) is the world’s most highly cited article in the research field and the most influential publication over the last ten years (Hodge et al., 2011).</w:t>
      </w:r>
      <w:r w:rsidRPr="00BF1046">
        <w:rPr>
          <w:rFonts w:ascii="Arial" w:hAnsi="Arial" w:cs="Arial"/>
          <w:color w:val="333333"/>
          <w:sz w:val="20"/>
          <w:szCs w:val="20"/>
        </w:rPr>
        <w:t xml:space="preserve"> </w:t>
      </w:r>
      <w:r w:rsidRPr="00BF1046">
        <w:t>In 2010 he was funded $850K by New South Wales government for a major two-year government research study examining community engagement, political mobilization and carbon capture and storage technologies</w:t>
      </w:r>
      <w:r>
        <w:t>. Accessed 07-19-2018. CER)</w:t>
      </w:r>
    </w:p>
    <w:p w14:paraId="2F7E5140" w14:textId="77777777" w:rsidR="003A1781" w:rsidRPr="00C94D18" w:rsidRDefault="003A1781" w:rsidP="003A1781">
      <w:pPr>
        <w:rPr>
          <w:rStyle w:val="StyleUnderline"/>
        </w:rPr>
      </w:pPr>
      <w:r w:rsidRPr="00C94D18">
        <w:rPr>
          <w:rStyle w:val="StyleUnderline"/>
        </w:rPr>
        <w:t>The remaining chapters show how regulation and security in neo-liberal risk society combine to reconfigure key aspects of social work. They show how risk regulation comes to dominate social work, and the way in which the handling of risk is increasingly displacing need as the focal point and justification for intervention.</w:t>
      </w:r>
      <w:r>
        <w:t xml:space="preserve"> </w:t>
      </w:r>
      <w:r w:rsidRPr="00C94D18">
        <w:t>Whilst expert knowledges, such as social work, continue to play a</w:t>
      </w:r>
      <w:r>
        <w:t xml:space="preserve"> </w:t>
      </w:r>
      <w:r w:rsidRPr="00C94D18">
        <w:t>significant role in life planning and responding to fateful moments</w:t>
      </w:r>
      <w:r>
        <w:t xml:space="preserve"> </w:t>
      </w:r>
      <w:r w:rsidRPr="00C94D18">
        <w:t xml:space="preserve">this is changing dramatically </w:t>
      </w:r>
      <w:proofErr w:type="gramStart"/>
      <w:r w:rsidRPr="00C94D18">
        <w:t>as a consequence of</w:t>
      </w:r>
      <w:proofErr w:type="gramEnd"/>
      <w:r w:rsidRPr="00C94D18">
        <w:t xml:space="preserve"> risk. The implications of this shift are addressed as risk regulation systems tighten</w:t>
      </w:r>
      <w:r>
        <w:t xml:space="preserve"> </w:t>
      </w:r>
      <w:r w:rsidRPr="00C94D18">
        <w:t>their grip on the construction of social work policy and front-line</w:t>
      </w:r>
      <w:r>
        <w:t xml:space="preserve"> </w:t>
      </w:r>
      <w:r w:rsidRPr="00C94D18">
        <w:t xml:space="preserve">practice. </w:t>
      </w:r>
      <w:r w:rsidRPr="00C94D18">
        <w:rPr>
          <w:rStyle w:val="StyleUnderline"/>
        </w:rPr>
        <w:t>It’s projected that technical expertise and actuarial science come to play a dominant role in defining social work, especially within the neo-liberal political context. The importance of and increased sensitivity to security, as trust and intimacy, in late modernity are attributed to the widespread view that existing forms of social solidarity, co-operation and reciprocity are being increasingly eroded. From a political viewpoint,</w:t>
      </w:r>
    </w:p>
    <w:p w14:paraId="1BFFD759" w14:textId="77777777" w:rsidR="003A1781" w:rsidRPr="001917CE" w:rsidRDefault="003A1781" w:rsidP="003A1781">
      <w:r w:rsidRPr="00C94D18">
        <w:rPr>
          <w:rStyle w:val="StyleUnderline"/>
        </w:rPr>
        <w:t xml:space="preserve">risk is understood as a form of governmentality that undermines traditional practices of value and relationship building. Neo-liberal governance depends on the reflexive ordering of social life and </w:t>
      </w:r>
      <w:proofErr w:type="spellStart"/>
      <w:r w:rsidRPr="00C94D18">
        <w:rPr>
          <w:rStyle w:val="StyleUnderline"/>
        </w:rPr>
        <w:t>privatised</w:t>
      </w:r>
      <w:proofErr w:type="spellEnd"/>
      <w:r w:rsidRPr="00C94D18">
        <w:rPr>
          <w:rStyle w:val="StyleUnderline"/>
        </w:rPr>
        <w:t xml:space="preserve"> risk within the context of the market. As Beck argues this kind of </w:t>
      </w:r>
      <w:proofErr w:type="spellStart"/>
      <w:r w:rsidRPr="00C94D18">
        <w:rPr>
          <w:rStyle w:val="StyleUnderline"/>
        </w:rPr>
        <w:t>individualisation</w:t>
      </w:r>
      <w:proofErr w:type="spellEnd"/>
      <w:r w:rsidRPr="00C94D18">
        <w:rPr>
          <w:rStyle w:val="StyleUnderline"/>
        </w:rPr>
        <w:t xml:space="preserve"> means ‘the disintegration of the certainties of industrial society as well as the compulsion to find and invent new certainties for oneself and others without them</w:t>
      </w:r>
      <w:proofErr w:type="gramStart"/>
      <w:r w:rsidRPr="00C94D18">
        <w:rPr>
          <w:rStyle w:val="StyleUnderline"/>
        </w:rPr>
        <w:t>’(</w:t>
      </w:r>
      <w:proofErr w:type="gramEnd"/>
      <w:r w:rsidRPr="00C94D18">
        <w:rPr>
          <w:rStyle w:val="StyleUnderline"/>
        </w:rPr>
        <w:t xml:space="preserve">1992, p. 14). For those who struggle or are unable to find these certainties or take responsibility, expert interventions, such as social work, are justified through categories of risk. Risk governance increasingly regulates populations and individuals who fall outside the safety net of </w:t>
      </w:r>
      <w:proofErr w:type="spellStart"/>
      <w:r w:rsidRPr="00C94D18">
        <w:rPr>
          <w:rStyle w:val="StyleUnderline"/>
        </w:rPr>
        <w:t>normalised</w:t>
      </w:r>
      <w:proofErr w:type="spellEnd"/>
      <w:r w:rsidRPr="00C94D18">
        <w:rPr>
          <w:rStyle w:val="StyleUnderline"/>
        </w:rPr>
        <w:t xml:space="preserve"> society. In this sense social work is increasingly involved in the regulation, </w:t>
      </w:r>
      <w:proofErr w:type="spellStart"/>
      <w:r w:rsidRPr="00C94D18">
        <w:rPr>
          <w:rStyle w:val="StyleUnderline"/>
        </w:rPr>
        <w:t>normalisation</w:t>
      </w:r>
      <w:proofErr w:type="spellEnd"/>
      <w:r w:rsidRPr="00C94D18">
        <w:rPr>
          <w:rStyle w:val="StyleUnderline"/>
        </w:rPr>
        <w:t xml:space="preserve"> and monitoring of what sociologists have called ‘the underclass’, that is the </w:t>
      </w:r>
      <w:proofErr w:type="spellStart"/>
      <w:r w:rsidRPr="00C94D18">
        <w:rPr>
          <w:rStyle w:val="StyleUnderline"/>
        </w:rPr>
        <w:t>dispossesed</w:t>
      </w:r>
      <w:proofErr w:type="spellEnd"/>
      <w:r w:rsidRPr="00C94D18">
        <w:rPr>
          <w:rStyle w:val="StyleUnderline"/>
        </w:rPr>
        <w:t xml:space="preserve"> and excluded sections of society, who exhibit multiple social problems, such as unemployment, poverty, substance misuse, mental health issues and domestic violence.</w:t>
      </w:r>
      <w:r w:rsidRPr="00C94D18">
        <w:t xml:space="preserve"> However, trust presupposes risk, with experts offering protection and security in the face</w:t>
      </w:r>
      <w:r>
        <w:t xml:space="preserve"> </w:t>
      </w:r>
      <w:r w:rsidRPr="00C94D18">
        <w:t>of contingency, uncertainty and complexity (see Hudson, 2000). In</w:t>
      </w:r>
      <w:r>
        <w:t xml:space="preserve"> </w:t>
      </w:r>
      <w:r w:rsidRPr="00C94D18">
        <w:t xml:space="preserve">contradistinction to the regulating and </w:t>
      </w:r>
      <w:proofErr w:type="spellStart"/>
      <w:r w:rsidRPr="00C94D18">
        <w:t>normalising</w:t>
      </w:r>
      <w:proofErr w:type="spellEnd"/>
      <w:r w:rsidRPr="00C94D18">
        <w:t xml:space="preserve"> tendencies of neo-liberal risk systems it’s argued that social work exhibits a mix of security, trust and recognition or what is called in the final chapter</w:t>
      </w:r>
      <w:r>
        <w:t xml:space="preserve"> </w:t>
      </w:r>
      <w:r w:rsidRPr="00C94D18">
        <w:t>the practice of value. It is argued that this can offset the regulatory</w:t>
      </w:r>
      <w:r>
        <w:t xml:space="preserve"> </w:t>
      </w:r>
      <w:r w:rsidRPr="00C94D18">
        <w:t>logic of social work as embodied in neo-liberal political rule. The</w:t>
      </w:r>
      <w:r>
        <w:t xml:space="preserve"> </w:t>
      </w:r>
      <w:r w:rsidRPr="00C94D18">
        <w:t>practice of value can be deliberately cultivated through the unfolding of ethical and evaluative face-to-face relations, proximal sociability and trust that amount to a new ethics of social connectedness</w:t>
      </w:r>
      <w:r>
        <w:t xml:space="preserve"> </w:t>
      </w:r>
      <w:r w:rsidRPr="00C94D18">
        <w:t>in social work.</w:t>
      </w:r>
    </w:p>
    <w:p w14:paraId="44517395" w14:textId="77777777" w:rsidR="003A1781" w:rsidRPr="003A1781" w:rsidRDefault="003A1781" w:rsidP="003A1781">
      <w:pPr>
        <w:rPr>
          <w:lang w:val="en"/>
        </w:rPr>
      </w:pPr>
    </w:p>
    <w:sectPr w:rsidR="003A1781" w:rsidRPr="003A178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41F"/>
    <w:rsid w:val="00012242"/>
    <w:rsid w:val="003A1781"/>
    <w:rsid w:val="008F216C"/>
    <w:rsid w:val="00D01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93C234"/>
  <w14:defaultImageDpi w14:val="0"/>
  <w15:docId w15:val="{EEEC8735-C56C-4E34-9B1C-50AF1063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7" w:qFormat="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A1781"/>
    <w:pPr>
      <w:spacing w:after="160" w:line="259" w:lineRule="auto"/>
    </w:pPr>
    <w:rPr>
      <w:rFonts w:ascii="Calibri" w:eastAsia="Calibri" w:hAnsi="Calibri" w:cs="Calibri"/>
    </w:rPr>
  </w:style>
  <w:style w:type="paragraph" w:styleId="Heading1">
    <w:name w:val="heading 1"/>
    <w:aliases w:val="Pocket"/>
    <w:basedOn w:val="Normal"/>
    <w:next w:val="Normal"/>
    <w:link w:val="Heading1Char"/>
    <w:qFormat/>
    <w:rsid w:val="003A17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imes New Roman" w:cs="Times New Roman"/>
      <w:b/>
      <w:sz w:val="52"/>
      <w:szCs w:val="32"/>
    </w:rPr>
  </w:style>
  <w:style w:type="paragraph" w:styleId="Heading2">
    <w:name w:val="heading 2"/>
    <w:aliases w:val="Hat"/>
    <w:basedOn w:val="Normal"/>
    <w:next w:val="Normal"/>
    <w:link w:val="Heading2Char"/>
    <w:uiPriority w:val="1"/>
    <w:unhideWhenUsed/>
    <w:qFormat/>
    <w:rsid w:val="003A1781"/>
    <w:pPr>
      <w:keepNext/>
      <w:keepLines/>
      <w:pageBreakBefore/>
      <w:spacing w:before="40" w:after="0"/>
      <w:jc w:val="center"/>
      <w:outlineLvl w:val="1"/>
    </w:pPr>
    <w:rPr>
      <w:rFonts w:eastAsia="Times New Roman" w:cs="Times New Roman"/>
      <w:b/>
      <w:sz w:val="44"/>
      <w:szCs w:val="26"/>
      <w:u w:val="double"/>
    </w:rPr>
  </w:style>
  <w:style w:type="paragraph" w:styleId="Heading3">
    <w:name w:val="heading 3"/>
    <w:aliases w:val="Block"/>
    <w:basedOn w:val="Normal"/>
    <w:next w:val="Normal"/>
    <w:link w:val="Heading3Char"/>
    <w:uiPriority w:val="2"/>
    <w:unhideWhenUsed/>
    <w:qFormat/>
    <w:rsid w:val="003A1781"/>
    <w:pPr>
      <w:keepNext/>
      <w:keepLines/>
      <w:pageBreakBefore/>
      <w:spacing w:before="40" w:after="0"/>
      <w:jc w:val="center"/>
      <w:outlineLvl w:val="2"/>
    </w:pPr>
    <w:rPr>
      <w:rFonts w:eastAsia="Times New Roman" w:cs="Times New Roman"/>
      <w:b/>
      <w:sz w:val="32"/>
      <w:szCs w:val="24"/>
      <w:u w:val="single"/>
    </w:rPr>
  </w:style>
  <w:style w:type="paragraph" w:styleId="Heading4">
    <w:name w:val="heading 4"/>
    <w:aliases w:val="Tag"/>
    <w:basedOn w:val="Normal"/>
    <w:next w:val="Normal"/>
    <w:link w:val="Heading4Char"/>
    <w:uiPriority w:val="3"/>
    <w:unhideWhenUsed/>
    <w:qFormat/>
    <w:rsid w:val="003A1781"/>
    <w:pPr>
      <w:keepNext/>
      <w:keepLines/>
      <w:spacing w:before="40" w:after="0"/>
      <w:outlineLvl w:val="3"/>
    </w:pPr>
    <w:rPr>
      <w:rFonts w:eastAsia="Times New Roman" w:cs="Times New Roman"/>
      <w:b/>
      <w:iCs/>
      <w:sz w:val="26"/>
    </w:rPr>
  </w:style>
  <w:style w:type="character" w:default="1" w:styleId="DefaultParagraphFont">
    <w:name w:val="Default Paragraph Font"/>
    <w:uiPriority w:val="1"/>
    <w:semiHidden/>
    <w:unhideWhenUsed/>
    <w:rsid w:val="003A1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781"/>
  </w:style>
  <w:style w:type="character" w:customStyle="1" w:styleId="Heading1Char">
    <w:name w:val="Heading 1 Char"/>
    <w:aliases w:val="Pocket Char"/>
    <w:link w:val="Heading1"/>
    <w:rsid w:val="003A1781"/>
    <w:rPr>
      <w:rFonts w:ascii="Calibri" w:eastAsia="Times New Roman" w:hAnsi="Calibri"/>
      <w:b/>
      <w:sz w:val="52"/>
      <w:szCs w:val="32"/>
    </w:rPr>
  </w:style>
  <w:style w:type="character" w:customStyle="1" w:styleId="Heading2Char">
    <w:name w:val="Heading 2 Char"/>
    <w:aliases w:val="Hat Char"/>
    <w:link w:val="Heading2"/>
    <w:uiPriority w:val="1"/>
    <w:rsid w:val="003A1781"/>
    <w:rPr>
      <w:rFonts w:ascii="Calibri" w:eastAsia="Times New Roman" w:hAnsi="Calibri"/>
      <w:b/>
      <w:sz w:val="44"/>
      <w:szCs w:val="26"/>
      <w:u w:val="double"/>
    </w:rPr>
  </w:style>
  <w:style w:type="character" w:customStyle="1" w:styleId="Heading3Char">
    <w:name w:val="Heading 3 Char"/>
    <w:aliases w:val="Block Char"/>
    <w:link w:val="Heading3"/>
    <w:uiPriority w:val="2"/>
    <w:rsid w:val="003A1781"/>
    <w:rPr>
      <w:rFonts w:ascii="Calibri" w:eastAsia="Times New Roman" w:hAnsi="Calibri"/>
      <w:b/>
      <w:sz w:val="32"/>
      <w:szCs w:val="24"/>
      <w:u w:val="single"/>
    </w:rPr>
  </w:style>
  <w:style w:type="character" w:customStyle="1" w:styleId="Heading4Char">
    <w:name w:val="Heading 4 Char"/>
    <w:aliases w:val="Tag Char"/>
    <w:link w:val="Heading4"/>
    <w:uiPriority w:val="3"/>
    <w:rsid w:val="003A1781"/>
    <w:rPr>
      <w:rFonts w:ascii="Calibri" w:eastAsia="Times New Roman" w:hAnsi="Calibri"/>
      <w:b/>
      <w:iCs/>
      <w:sz w:val="26"/>
    </w:rPr>
  </w:style>
  <w:style w:type="character" w:styleId="Emphasis">
    <w:name w:val="Emphasis"/>
    <w:uiPriority w:val="7"/>
    <w:qFormat/>
    <w:rsid w:val="003A1781"/>
    <w:rPr>
      <w:rFonts w:ascii="Calibri" w:hAnsi="Calibri" w:cs="Calibri"/>
      <w:b/>
      <w:i w:val="0"/>
      <w:iCs/>
      <w:sz w:val="22"/>
      <w:u w:val="single"/>
      <w:bdr w:val="none" w:sz="0" w:space="0" w:color="auto"/>
    </w:rPr>
  </w:style>
  <w:style w:type="character" w:customStyle="1" w:styleId="Style13ptBold">
    <w:name w:val="Style 13 pt Bold"/>
    <w:aliases w:val="Cite"/>
    <w:uiPriority w:val="5"/>
    <w:qFormat/>
    <w:rsid w:val="003A1781"/>
    <w:rPr>
      <w:b/>
      <w:bCs/>
      <w:sz w:val="26"/>
      <w:u w:val="none"/>
    </w:rPr>
  </w:style>
  <w:style w:type="character" w:customStyle="1" w:styleId="StyleUnderline">
    <w:name w:val="Style Underline"/>
    <w:aliases w:val="Underline"/>
    <w:uiPriority w:val="6"/>
    <w:qFormat/>
    <w:rsid w:val="003A1781"/>
    <w:rPr>
      <w:b w:val="0"/>
      <w:sz w:val="22"/>
      <w:u w:val="single"/>
    </w:rPr>
  </w:style>
  <w:style w:type="character" w:styleId="Hyperlink">
    <w:name w:val="Hyperlink"/>
    <w:uiPriority w:val="99"/>
    <w:unhideWhenUsed/>
    <w:rsid w:val="003A1781"/>
    <w:rPr>
      <w:color w:val="auto"/>
      <w:u w:val="none"/>
    </w:rPr>
  </w:style>
  <w:style w:type="character" w:styleId="FollowedHyperlink">
    <w:name w:val="FollowedHyperlink"/>
    <w:uiPriority w:val="99"/>
    <w:unhideWhenUsed/>
    <w:rsid w:val="003A1781"/>
    <w:rPr>
      <w:color w:val="auto"/>
      <w:u w:val="none"/>
    </w:rPr>
  </w:style>
  <w:style w:type="character" w:customStyle="1" w:styleId="m-8857501717794801162gmail-style13ptbold">
    <w:name w:val="m_-8857501717794801162gmail-style13ptbold"/>
    <w:rsid w:val="003A1781"/>
  </w:style>
  <w:style w:type="character" w:customStyle="1" w:styleId="m-8857501717794801162gmail-styleunderline">
    <w:name w:val="m_-8857501717794801162gmail-styleunderline"/>
    <w:rsid w:val="003A1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011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ericanprogress.org/issues/poverty/reports/2018/07/19/453174/trumps-immigration-plan-imposes-radical-new-income-health-te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ericanprogress.org/issues/poverty/reports/2018/07/19/453174/trumps-immigration-plan-imposes-radical-new-income-health-tests/" TargetMode="External"/><Relationship Id="rId5" Type="http://schemas.openxmlformats.org/officeDocument/2006/relationships/hyperlink" Target="http://www.nilc.org/issues/economic-support/public-charge-changes-to-fa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2113</Words>
  <Characters>12046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Geoff Lundeen</cp:lastModifiedBy>
  <cp:revision>2</cp:revision>
  <dcterms:created xsi:type="dcterms:W3CDTF">2018-07-21T04:07:00Z</dcterms:created>
  <dcterms:modified xsi:type="dcterms:W3CDTF">2018-07-21T04:07:00Z</dcterms:modified>
</cp:coreProperties>
</file>