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2195D0" w14:textId="77777777" w:rsidR="008143D2" w:rsidRPr="00061B9C" w:rsidRDefault="008143D2" w:rsidP="00061B9C">
      <w:bookmarkStart w:id="0" w:name="_GoBack"/>
    </w:p>
    <w:p w14:paraId="53449FEC" w14:textId="15EF7301" w:rsidR="00F74B19" w:rsidRDefault="00F74B19" w:rsidP="00F74B19">
      <w:pPr>
        <w:pStyle w:val="Heading1"/>
      </w:pPr>
      <w:r>
        <w:t>Queerpess</w:t>
      </w:r>
    </w:p>
    <w:p w14:paraId="1E1BA6B0" w14:textId="25D65FB1" w:rsidR="00F74B19" w:rsidRDefault="00061B9C" w:rsidP="00F74B19">
      <w:pPr>
        <w:pStyle w:val="Heading3"/>
      </w:pPr>
      <w:r>
        <w:t>ALT Fails</w:t>
      </w:r>
    </w:p>
    <w:p w14:paraId="2C21D428" w14:textId="517D964A" w:rsidR="00F74B19" w:rsidRPr="00F74B19" w:rsidRDefault="00F74B19" w:rsidP="002627F2">
      <w:pPr>
        <w:pStyle w:val="Heading4"/>
      </w:pPr>
      <w:r>
        <w:t>Rejection of hope are perceived as a heteronormative affect means that hope is key even if queer resistance fail.</w:t>
      </w:r>
    </w:p>
    <w:p w14:paraId="1A793B8F" w14:textId="77777777" w:rsidR="00061B9C" w:rsidRDefault="00061B9C" w:rsidP="00061B9C">
      <w:r w:rsidRPr="0020723F">
        <w:rPr>
          <w:rStyle w:val="Style13ptBold"/>
        </w:rPr>
        <w:t>HALL 2014</w:t>
      </w:r>
      <w:r>
        <w:t xml:space="preserve"> </w:t>
      </w:r>
      <w:r w:rsidRPr="0020723F">
        <w:rPr>
          <w:sz w:val="20"/>
        </w:rPr>
        <w:t>(Kim, prof in the department of philosophy and religion, appalacian state university, “No Failure: Climate Change, Radical Hope, and Queer Crip Feminist Eco-Futures,” Radical Philosophy Review 17:1)</w:t>
      </w:r>
    </w:p>
    <w:p w14:paraId="37EEA0B0" w14:textId="77777777" w:rsidR="00061B9C" w:rsidRPr="00061B9C" w:rsidRDefault="00061B9C" w:rsidP="00061B9C">
      <w:pPr>
        <w:rPr>
          <w:rStyle w:val="StyleUnderline"/>
        </w:rPr>
      </w:pPr>
      <w:r w:rsidRPr="00061B9C">
        <w:rPr>
          <w:sz w:val="16"/>
        </w:rPr>
        <w:t xml:space="preserve">If </w:t>
      </w:r>
      <w:r w:rsidRPr="00C572CF">
        <w:rPr>
          <w:rStyle w:val="StyleUnderline"/>
          <w:highlight w:val="yellow"/>
        </w:rPr>
        <w:t>queer is</w:t>
      </w:r>
      <w:r w:rsidRPr="00061B9C">
        <w:rPr>
          <w:rStyle w:val="StyleUnderline"/>
        </w:rPr>
        <w:t xml:space="preserve"> by definition </w:t>
      </w:r>
      <w:r w:rsidRPr="00061B9C">
        <w:rPr>
          <w:sz w:val="16"/>
        </w:rPr>
        <w:t xml:space="preserve">a failed identity </w:t>
      </w:r>
      <w:r w:rsidRPr="00C572CF">
        <w:rPr>
          <w:rStyle w:val="StyleUnderline"/>
          <w:highlight w:val="yellow"/>
        </w:rPr>
        <w:t>with no future</w:t>
      </w:r>
      <w:r w:rsidRPr="00061B9C">
        <w:rPr>
          <w:sz w:val="16"/>
        </w:rPr>
        <w:t xml:space="preserve">, </w:t>
      </w:r>
      <w:r w:rsidRPr="00C572CF">
        <w:rPr>
          <w:rStyle w:val="StyleUnderline"/>
          <w:highlight w:val="yellow"/>
        </w:rPr>
        <w:t>is there any non-naive way in which there could be hope for queers</w:t>
      </w:r>
      <w:r w:rsidRPr="00C572CF">
        <w:rPr>
          <w:sz w:val="16"/>
          <w:highlight w:val="yellow"/>
        </w:rPr>
        <w:t>?</w:t>
      </w:r>
      <w:r w:rsidRPr="00061B9C">
        <w:rPr>
          <w:sz w:val="16"/>
        </w:rPr>
        <w:t xml:space="preserve"> Could this hope be radical? I certainly appreciate Halberstam's point and agree that queer has been associated with failure to achieve heteronormative happiness and suc- cess. Nonetheless, </w:t>
      </w:r>
      <w:r w:rsidRPr="00061B9C">
        <w:rPr>
          <w:rStyle w:val="StyleUnderline"/>
        </w:rPr>
        <w:t xml:space="preserve">I am concerned that </w:t>
      </w:r>
      <w:r w:rsidRPr="00C572CF">
        <w:rPr>
          <w:rStyle w:val="StyleUnderline"/>
          <w:highlight w:val="yellow"/>
        </w:rPr>
        <w:t>embracing failure leaves only a reactionary role for queer resistance</w:t>
      </w:r>
      <w:r w:rsidRPr="00061B9C">
        <w:rPr>
          <w:rStyle w:val="StyleUnderline"/>
        </w:rPr>
        <w:t>.</w:t>
      </w:r>
      <w:r w:rsidRPr="00061B9C">
        <w:rPr>
          <w:sz w:val="16"/>
        </w:rPr>
        <w:t xml:space="preserve"> In other words, </w:t>
      </w:r>
      <w:r w:rsidRPr="00C572CF">
        <w:rPr>
          <w:rStyle w:val="StyleUnderline"/>
          <w:highlight w:val="yellow"/>
        </w:rPr>
        <w:t>queer resistance, when understood as failure, becomes a mere rejection of hope, which is under- stood as only a heteronormative affect</w:t>
      </w:r>
      <w:r w:rsidRPr="00061B9C">
        <w:rPr>
          <w:sz w:val="16"/>
        </w:rPr>
        <w:t>.</w:t>
      </w:r>
      <w:r w:rsidRPr="00061B9C">
        <w:rPr>
          <w:rStyle w:val="StyleUnderline"/>
        </w:rPr>
        <w:t xml:space="preserve"> Because </w:t>
      </w:r>
      <w:r w:rsidRPr="00C572CF">
        <w:rPr>
          <w:rStyle w:val="StyleUnderline"/>
          <w:highlight w:val="yellow"/>
        </w:rPr>
        <w:t>this ultimately limited con- ception of queer resistance does not reflect our naturecultural being in the world</w:t>
      </w:r>
      <w:r w:rsidRPr="00061B9C">
        <w:rPr>
          <w:rStyle w:val="StyleUnderline"/>
        </w:rPr>
        <w:t xml:space="preserve">, it is </w:t>
      </w:r>
      <w:r w:rsidRPr="00C572CF">
        <w:rPr>
          <w:rStyle w:val="StyleUnderline"/>
          <w:highlight w:val="yellow"/>
        </w:rPr>
        <w:t xml:space="preserve">unable to address how modes of life and thinking among </w:t>
      </w:r>
      <w:r w:rsidRPr="00C572CF">
        <w:rPr>
          <w:rStyle w:val="StyleUnderline"/>
        </w:rPr>
        <w:t xml:space="preserve">global </w:t>
      </w:r>
      <w:r w:rsidRPr="00C572CF">
        <w:rPr>
          <w:rStyle w:val="StyleUnderline"/>
          <w:highlight w:val="yellow"/>
        </w:rPr>
        <w:t>elites have contributed to</w:t>
      </w:r>
      <w:r w:rsidRPr="00061B9C">
        <w:rPr>
          <w:rStyle w:val="StyleUnderline"/>
        </w:rPr>
        <w:t xml:space="preserve"> </w:t>
      </w:r>
      <w:r w:rsidRPr="00061B9C">
        <w:rPr>
          <w:sz w:val="16"/>
        </w:rPr>
        <w:t>a toxic environment for</w:t>
      </w:r>
      <w:r w:rsidRPr="00061B9C">
        <w:rPr>
          <w:rStyle w:val="StyleUnderline"/>
        </w:rPr>
        <w:t xml:space="preserve"> </w:t>
      </w:r>
      <w:r w:rsidRPr="00C572CF">
        <w:rPr>
          <w:rStyle w:val="StyleUnderline"/>
          <w:highlight w:val="yellow"/>
        </w:rPr>
        <w:t>human and nonhuman bodies and communities</w:t>
      </w:r>
      <w:r w:rsidRPr="00061B9C">
        <w:rPr>
          <w:rStyle w:val="StyleUnderline"/>
        </w:rPr>
        <w:t>.</w:t>
      </w:r>
    </w:p>
    <w:p w14:paraId="589746B5" w14:textId="77777777" w:rsidR="00061B9C" w:rsidRPr="00061B9C" w:rsidRDefault="00061B9C" w:rsidP="00061B9C"/>
    <w:p w14:paraId="5819E53F" w14:textId="45E5AE8A" w:rsidR="00061B9C" w:rsidRDefault="00F74B19" w:rsidP="00061B9C">
      <w:pPr>
        <w:pStyle w:val="Heading4"/>
      </w:pPr>
      <w:r>
        <w:t>(</w:t>
      </w:r>
      <w:r w:rsidR="00061B9C">
        <w:t>Edelman’s</w:t>
      </w:r>
      <w:r>
        <w:t>)</w:t>
      </w:r>
      <w:r w:rsidR="00061B9C">
        <w:t xml:space="preserve"> rejection of the future </w:t>
      </w:r>
      <w:r>
        <w:t>is</w:t>
      </w:r>
      <w:r w:rsidR="00061B9C">
        <w:t xml:space="preserve"> worse for </w:t>
      </w:r>
      <w:r>
        <w:t>fighting oppression</w:t>
      </w:r>
    </w:p>
    <w:p w14:paraId="747C80D1" w14:textId="77777777" w:rsidR="00061B9C" w:rsidRDefault="00061B9C" w:rsidP="00061B9C">
      <w:r w:rsidRPr="004B33EF">
        <w:rPr>
          <w:rStyle w:val="Style13ptBold"/>
        </w:rPr>
        <w:t>SEYMOUR 2013</w:t>
      </w:r>
      <w:r>
        <w:t xml:space="preserve"> </w:t>
      </w:r>
      <w:r w:rsidRPr="004B33EF">
        <w:rPr>
          <w:sz w:val="20"/>
        </w:rPr>
        <w:t>(Nicole, Asst. prof of English at CSU Fullerton, Strange Natures: Futurity, Empathy, and the Queer Ecological Imagination)</w:t>
      </w:r>
    </w:p>
    <w:p w14:paraId="6FDE03C3" w14:textId="748AD72A" w:rsidR="00061B9C" w:rsidRPr="00061B9C" w:rsidRDefault="00061B9C" w:rsidP="00061B9C">
      <w:pPr>
        <w:rPr>
          <w:sz w:val="14"/>
        </w:rPr>
      </w:pPr>
      <w:r w:rsidRPr="00F74B19">
        <w:rPr>
          <w:rStyle w:val="StyleUnderline"/>
          <w:highlight w:val="yellow"/>
        </w:rPr>
        <w:t>The anti-social thesis has also led some queer theorists to critique futurity</w:t>
      </w:r>
      <w:r w:rsidRPr="00061B9C">
        <w:rPr>
          <w:sz w:val="14"/>
        </w:rPr>
        <w:t xml:space="preserve">, which just so </w:t>
      </w:r>
      <w:r w:rsidRPr="00F74B19">
        <w:rPr>
          <w:rStyle w:val="StyleUnderline"/>
          <w:highlight w:val="yellow"/>
        </w:rPr>
        <w:t>happens to be a fundamental rhetoric of environmentalism</w:t>
      </w:r>
      <w:r w:rsidRPr="00061B9C">
        <w:rPr>
          <w:rStyle w:val="StyleUnderline"/>
        </w:rPr>
        <w:t xml:space="preserve"> at large</w:t>
      </w:r>
      <w:r w:rsidRPr="00061B9C">
        <w:rPr>
          <w:sz w:val="14"/>
        </w:rPr>
        <w:t xml:space="preserve">. </w:t>
      </w:r>
      <w:r w:rsidRPr="00061B9C">
        <w:rPr>
          <w:rStyle w:val="StyleUnderline"/>
        </w:rPr>
        <w:t>Edelman’s No Future is now (in) famous for its takedown of “reproduc- tive futurism</w:t>
      </w:r>
      <w:r w:rsidRPr="00061B9C">
        <w:rPr>
          <w:sz w:val="14"/>
        </w:rPr>
        <w:t xml:space="preserve">,” which entails the staging of politics and reality itself through the figure of “the Child.” In the PMLA roundtable on the anti-social thesis, </w:t>
      </w:r>
      <w:r w:rsidRPr="00F74B19">
        <w:rPr>
          <w:rStyle w:val="StyleUnderline"/>
          <w:highlight w:val="yellow"/>
        </w:rPr>
        <w:t>Edelman observed</w:t>
      </w:r>
      <w:r w:rsidRPr="00061B9C">
        <w:rPr>
          <w:sz w:val="14"/>
        </w:rPr>
        <w:t xml:space="preserve"> that one question dominated the roundtable discussion: “</w:t>
      </w:r>
      <w:r w:rsidRPr="00061B9C">
        <w:rPr>
          <w:rStyle w:val="StyleUnderline"/>
        </w:rPr>
        <w:t xml:space="preserve">do our </w:t>
      </w:r>
      <w:r w:rsidRPr="00F74B19">
        <w:rPr>
          <w:rStyle w:val="StyleUnderline"/>
          <w:highlight w:val="yellow"/>
        </w:rPr>
        <w:t>narratives of political efficacy, historicist analysis, and pedagogical practice naturalize what No Future designates as reproductive futurism</w:t>
      </w:r>
      <w:r w:rsidRPr="00061B9C">
        <w:rPr>
          <w:rStyle w:val="StyleUnderline"/>
        </w:rPr>
        <w:t>,</w:t>
      </w:r>
      <w:r w:rsidRPr="00061B9C">
        <w:rPr>
          <w:sz w:val="14"/>
        </w:rPr>
        <w:t xml:space="preserve"> thus compelling us all, regardless of political affiliation or critical method, to prostrate ourselves at the altar of what I call the Futurch?” (821, my em- phasis). Aside from the fact that </w:t>
      </w:r>
      <w:r w:rsidRPr="00061B9C">
        <w:rPr>
          <w:rStyle w:val="StyleUnderline"/>
        </w:rPr>
        <w:t xml:space="preserve">Edelman hereby shows an attunement to the processes that determine what counts as natural, his question leaves no room for any consideration of futurity </w:t>
      </w:r>
      <w:r w:rsidRPr="00061B9C">
        <w:rPr>
          <w:sz w:val="14"/>
        </w:rPr>
        <w:t xml:space="preserve">qua the planet and its resources.5 Again, a deep suspicion of all that is deemed natural abides. This is not to say that Edelman’s critique of reproductive futurism can- not be put to ecological use. For one thing, it certainly has the potential to spark objections to environmental agendas grounded in heterosexist, pro-reproductive rhetoric. In a recent course I taught on queer theory and ecocriticism, I juxtaposed images targeted in No Future—Tiny Tim in Charles Dickens’s A Christmas Carol, for one—with images from the many environ- mental campaigns that use the image of the child. The latter included the Environment Illinois ad cited in my preface and the logo of the World Health Organization Europe, which features a feminized figure atop a globe, hold- ing the hand of a childlike figure, with the heading “The Future for Our Children.” Such sentimentalized rhetoric, as my students and I discussed, suggests </w:t>
      </w:r>
      <w:r w:rsidRPr="00061B9C">
        <w:rPr>
          <w:rStyle w:val="StyleUnderline"/>
        </w:rPr>
        <w:t xml:space="preserve">that </w:t>
      </w:r>
      <w:r w:rsidRPr="00F74B19">
        <w:rPr>
          <w:rStyle w:val="StyleUnderline"/>
          <w:highlight w:val="yellow"/>
        </w:rPr>
        <w:t>concern for the future</w:t>
      </w:r>
      <w:r w:rsidRPr="00061B9C">
        <w:rPr>
          <w:rStyle w:val="StyleUnderline"/>
        </w:rPr>
        <w:t xml:space="preserve"> qua the planet </w:t>
      </w:r>
      <w:r w:rsidRPr="00F74B19">
        <w:rPr>
          <w:rStyle w:val="StyleUnderline"/>
          <w:highlight w:val="yellow"/>
        </w:rPr>
        <w:t>can only emerge, or emerges most effectively, from white, heterosexual, familial reproductivity</w:t>
      </w:r>
      <w:r w:rsidRPr="00061B9C">
        <w:rPr>
          <w:rStyle w:val="StyleUnderline"/>
        </w:rPr>
        <w:t xml:space="preserve">. Moreover, </w:t>
      </w:r>
      <w:r w:rsidRPr="00F74B19">
        <w:rPr>
          <w:rStyle w:val="StyleUnderline"/>
          <w:highlight w:val="yellow"/>
        </w:rPr>
        <w:t>it potentially privatizes issues of</w:t>
      </w:r>
      <w:r w:rsidRPr="00061B9C">
        <w:rPr>
          <w:sz w:val="14"/>
        </w:rPr>
        <w:t xml:space="preserve"> environmental health by </w:t>
      </w:r>
      <w:r w:rsidRPr="00F74B19">
        <w:rPr>
          <w:rStyle w:val="StyleUnderline"/>
          <w:highlight w:val="yellow"/>
        </w:rPr>
        <w:t>locating them within that domestic framework, rather than tracing them to larger structures such as racism and classism</w:t>
      </w:r>
      <w:r w:rsidRPr="00061B9C">
        <w:rPr>
          <w:rStyle w:val="StyleUnderline"/>
        </w:rPr>
        <w:t>, which make for unequal distributions of risk</w:t>
      </w:r>
      <w:r w:rsidRPr="00061B9C">
        <w:rPr>
          <w:sz w:val="14"/>
        </w:rPr>
        <w:t xml:space="preserve">.4 But despite this potential of the </w:t>
      </w:r>
      <w:r w:rsidRPr="00F74B19">
        <w:rPr>
          <w:rStyle w:val="StyleUnderline"/>
          <w:highlight w:val="yellow"/>
        </w:rPr>
        <w:t>queer critique of futurism and futurity to function for anti-racist, anti-classist, anti-sexist environmentalist ends, it still proves problematic on many levels</w:t>
      </w:r>
      <w:r w:rsidRPr="00061B9C">
        <w:rPr>
          <w:sz w:val="14"/>
        </w:rPr>
        <w:t xml:space="preserve">. For one thing, while </w:t>
      </w:r>
      <w:r w:rsidRPr="00F74B19">
        <w:rPr>
          <w:rStyle w:val="StyleUnderline"/>
          <w:highlight w:val="yellow"/>
        </w:rPr>
        <w:t>Edelman cri- tiques capitalism</w:t>
      </w:r>
      <w:r w:rsidRPr="00061B9C">
        <w:rPr>
          <w:rStyle w:val="StyleUnderline"/>
        </w:rPr>
        <w:t xml:space="preserve"> in his PMLA comments, </w:t>
      </w:r>
      <w:r w:rsidRPr="00F74B19">
        <w:rPr>
          <w:rStyle w:val="StyleUnderline"/>
          <w:highlight w:val="yellow"/>
        </w:rPr>
        <w:t>he fails to acknowledge that, more often than not, it is corporate and governmental disregard for the future that enables the</w:t>
      </w:r>
      <w:r w:rsidRPr="00061B9C">
        <w:rPr>
          <w:rStyle w:val="StyleUnderline"/>
        </w:rPr>
        <w:t xml:space="preserve"> (paradoxical) </w:t>
      </w:r>
      <w:r w:rsidRPr="00F74B19">
        <w:rPr>
          <w:rStyle w:val="StyleUnderline"/>
          <w:highlight w:val="yellow"/>
        </w:rPr>
        <w:t>reproduction of capital</w:t>
      </w:r>
      <w:r w:rsidRPr="00061B9C">
        <w:rPr>
          <w:sz w:val="14"/>
        </w:rPr>
        <w:t xml:space="preserve">, and, more specifically, environmental degradation and destruction in the name of capital accumula- tion. </w:t>
      </w:r>
    </w:p>
    <w:p w14:paraId="32CA35DA" w14:textId="602096ED" w:rsidR="00061B9C" w:rsidRPr="00061B9C" w:rsidRDefault="00061B9C" w:rsidP="00061B9C"/>
    <w:p w14:paraId="4D314EE1" w14:textId="529B2042" w:rsidR="00061B9C" w:rsidRDefault="00061B9C" w:rsidP="00061B9C">
      <w:pPr>
        <w:pStyle w:val="Heading3"/>
      </w:pPr>
      <w:r>
        <w:t xml:space="preserve">Skepticism </w:t>
      </w:r>
      <w:r w:rsidR="00054DF8">
        <w:t>good</w:t>
      </w:r>
    </w:p>
    <w:p w14:paraId="77ABF822" w14:textId="77777777" w:rsidR="00061B9C" w:rsidRDefault="00061B9C" w:rsidP="00061B9C"/>
    <w:p w14:paraId="1B5B2DDC" w14:textId="4639DEC7" w:rsidR="00061B9C" w:rsidRDefault="00AE317D" w:rsidP="00061B9C">
      <w:pPr>
        <w:pStyle w:val="Heading4"/>
      </w:pPr>
      <w:r>
        <w:t>(Perm)</w:t>
      </w:r>
      <w:r w:rsidR="009A3ADB">
        <w:t>Queer</w:t>
      </w:r>
      <w:r w:rsidR="00061B9C">
        <w:t xml:space="preserve"> skepticism is good, not</w:t>
      </w:r>
      <w:r w:rsidR="009A3ADB">
        <w:t xml:space="preserve"> just</w:t>
      </w:r>
      <w:r w:rsidR="00061B9C">
        <w:t xml:space="preserve"> a wholesale rejection of the future</w:t>
      </w:r>
    </w:p>
    <w:p w14:paraId="13FB0DFE" w14:textId="77777777" w:rsidR="00061B9C" w:rsidRDefault="00061B9C" w:rsidP="00061B9C">
      <w:r w:rsidRPr="004B33EF">
        <w:rPr>
          <w:rStyle w:val="Style13ptBold"/>
        </w:rPr>
        <w:t>SEYMOUR 2013</w:t>
      </w:r>
      <w:r>
        <w:t xml:space="preserve"> </w:t>
      </w:r>
      <w:r w:rsidRPr="004B33EF">
        <w:rPr>
          <w:sz w:val="20"/>
        </w:rPr>
        <w:t>(Nicole, Asst. prof of English at CSU Fullerton, Strange Natures: Futurity, Empathy, and the Queer Ecological Imagination)</w:t>
      </w:r>
    </w:p>
    <w:p w14:paraId="417940F7" w14:textId="003BBBFE" w:rsidR="00061B9C" w:rsidRPr="00054DF8" w:rsidRDefault="00061B9C" w:rsidP="00054DF8">
      <w:pPr>
        <w:rPr>
          <w:rStyle w:val="StyleUnderline"/>
        </w:rPr>
      </w:pPr>
      <w:r w:rsidRPr="00054DF8">
        <w:rPr>
          <w:sz w:val="14"/>
        </w:rPr>
        <w:t xml:space="preserve">I thus claim that </w:t>
      </w:r>
      <w:r w:rsidRPr="00A71229">
        <w:rPr>
          <w:rStyle w:val="StyleUnderline"/>
          <w:highlight w:val="yellow"/>
        </w:rPr>
        <w:t>sexuality is a central vector through which humans understand the non-human world, while stressing that</w:t>
      </w:r>
      <w:r w:rsidRPr="00054DF8">
        <w:rPr>
          <w:rStyle w:val="StyleUnderline"/>
        </w:rPr>
        <w:t xml:space="preserve"> that </w:t>
      </w:r>
      <w:r w:rsidRPr="00A71229">
        <w:rPr>
          <w:rStyle w:val="StyleUnderline"/>
          <w:highlight w:val="yellow"/>
        </w:rPr>
        <w:t>vector cannot be isolated from other concerns</w:t>
      </w:r>
      <w:r w:rsidRPr="00054DF8">
        <w:rPr>
          <w:rStyle w:val="StyleUnderline"/>
        </w:rPr>
        <w:t>.</w:t>
      </w:r>
      <w:r w:rsidR="00054DF8">
        <w:rPr>
          <w:rStyle w:val="StyleUnderline"/>
        </w:rPr>
        <w:t xml:space="preserve"> </w:t>
      </w:r>
      <w:r w:rsidRPr="00054DF8">
        <w:rPr>
          <w:sz w:val="14"/>
        </w:rPr>
        <w:t xml:space="preserve">I otter such reading practices as a means of </w:t>
      </w:r>
      <w:r w:rsidRPr="00A71229">
        <w:rPr>
          <w:rStyle w:val="StyleUnderline"/>
          <w:highlight w:val="yellow"/>
        </w:rPr>
        <w:t>identifying queer texts that</w:t>
      </w:r>
      <w:r w:rsidRPr="00054DF8">
        <w:rPr>
          <w:rStyle w:val="StyleUnderline"/>
        </w:rPr>
        <w:t xml:space="preserve"> might not otherwise seem environmental but that </w:t>
      </w:r>
      <w:r w:rsidRPr="00A71229">
        <w:rPr>
          <w:rStyle w:val="StyleUnderline"/>
          <w:highlight w:val="yellow"/>
        </w:rPr>
        <w:t>espouse</w:t>
      </w:r>
      <w:r w:rsidRPr="00054DF8">
        <w:rPr>
          <w:rStyle w:val="StyleUnderline"/>
        </w:rPr>
        <w:t xml:space="preserve"> </w:t>
      </w:r>
      <w:r w:rsidRPr="00054DF8">
        <w:rPr>
          <w:sz w:val="14"/>
        </w:rPr>
        <w:t>environmental justice and/or</w:t>
      </w:r>
      <w:r w:rsidRPr="00054DF8">
        <w:rPr>
          <w:rStyle w:val="StyleUnderline"/>
        </w:rPr>
        <w:t xml:space="preserve"> </w:t>
      </w:r>
      <w:r w:rsidRPr="00A71229">
        <w:rPr>
          <w:rStyle w:val="StyleUnderline"/>
          <w:highlight w:val="yellow"/>
        </w:rPr>
        <w:t>social-justice values</w:t>
      </w:r>
      <w:r w:rsidRPr="00054DF8">
        <w:rPr>
          <w:sz w:val="14"/>
        </w:rPr>
        <w:t xml:space="preserve">; these reading practices could be ap- plied, conversely, to environmental texts that might not otherwise seem queer but that denounce forms of inequality that intersect with transphobia or homophobia. I thereby suggest that “nature writing” and “ecocinema” might be even more expansive categories than ecocritics and other scholars have previously thought: if, as I show, </w:t>
      </w:r>
      <w:r w:rsidRPr="00A71229">
        <w:rPr>
          <w:rStyle w:val="StyleUnderline"/>
          <w:highlight w:val="yellow"/>
        </w:rPr>
        <w:t>naturalization is a process that oper- ates on both humans and the non-human world, then queer texts that ask what counts as natural in terms of gender and sexuality can help us inter- rogate what counts as natural in other senses and contexts</w:t>
      </w:r>
      <w:r w:rsidRPr="00054DF8">
        <w:rPr>
          <w:rStyle w:val="StyleUnderline"/>
        </w:rPr>
        <w:t xml:space="preserve">. </w:t>
      </w:r>
      <w:r w:rsidRPr="00054DF8">
        <w:rPr>
          <w:sz w:val="14"/>
        </w:rPr>
        <w:t>I thus follow Katie Hogan’s belief that “</w:t>
      </w:r>
      <w:r w:rsidRPr="00A71229">
        <w:rPr>
          <w:rStyle w:val="StyleUnderline"/>
          <w:highlight w:val="yellow"/>
        </w:rPr>
        <w:t>queer skepticism is good for queers</w:t>
      </w:r>
      <w:r w:rsidRPr="00054DF8">
        <w:rPr>
          <w:rStyle w:val="StyleUnderline"/>
        </w:rPr>
        <w:t>, nature, and environmentalism”—</w:t>
      </w:r>
      <w:r w:rsidRPr="00A71229">
        <w:rPr>
          <w:rStyle w:val="StyleUnderline"/>
          <w:highlight w:val="yellow"/>
        </w:rPr>
        <w:t>and,</w:t>
      </w:r>
      <w:r w:rsidRPr="00054DF8">
        <w:rPr>
          <w:rStyle w:val="StyleUnderline"/>
        </w:rPr>
        <w:t xml:space="preserve"> I would add, </w:t>
      </w:r>
      <w:r w:rsidRPr="00A71229">
        <w:rPr>
          <w:rStyle w:val="StyleUnderline"/>
          <w:highlight w:val="yellow"/>
        </w:rPr>
        <w:t>people of color and economically disadvantaged people</w:t>
      </w:r>
      <w:proofErr w:type="gramStart"/>
      <w:r w:rsidRPr="00A71229">
        <w:rPr>
          <w:rStyle w:val="StyleUnderline"/>
          <w:highlight w:val="yellow"/>
        </w:rPr>
        <w:t>—“</w:t>
      </w:r>
      <w:proofErr w:type="gramEnd"/>
      <w:r w:rsidRPr="00A71229">
        <w:rPr>
          <w:rStyle w:val="StyleUnderline"/>
          <w:highlight w:val="yellow"/>
        </w:rPr>
        <w:t>because it questions how all of these terms can be put to use</w:t>
      </w:r>
      <w:r w:rsidRPr="00054DF8">
        <w:rPr>
          <w:rStyle w:val="StyleUnderline"/>
        </w:rPr>
        <w:t xml:space="preserve"> in harmful ways” (“Undoing N</w:t>
      </w:r>
      <w:r w:rsidRPr="00054DF8">
        <w:rPr>
          <w:sz w:val="14"/>
        </w:rPr>
        <w:t xml:space="preserve">ature” 250). The </w:t>
      </w:r>
      <w:r w:rsidRPr="00A71229">
        <w:rPr>
          <w:rStyle w:val="StyleUnderline"/>
          <w:highlight w:val="yellow"/>
        </w:rPr>
        <w:t>skepticism found in queer fictions toward that which dominant forces deem “natural” could help us see</w:t>
      </w:r>
      <w:r w:rsidRPr="00A71229">
        <w:rPr>
          <w:sz w:val="14"/>
          <w:highlight w:val="yellow"/>
        </w:rPr>
        <w:t>,</w:t>
      </w:r>
      <w:r w:rsidRPr="00054DF8">
        <w:rPr>
          <w:sz w:val="14"/>
        </w:rPr>
        <w:t xml:space="preserve"> to take just one example, the disingenuousness of categorizing Hurricane Katrina as a “natural disaster,” </w:t>
      </w:r>
      <w:r w:rsidRPr="00A71229">
        <w:rPr>
          <w:rStyle w:val="StyleUnderline"/>
          <w:highlight w:val="yellow"/>
        </w:rPr>
        <w:t>when in fact most of its greatest harms resulted from social inequalities.</w:t>
      </w:r>
    </w:p>
    <w:p w14:paraId="2AFB9B57" w14:textId="7AEA5931" w:rsidR="00061B9C" w:rsidRDefault="00061B9C" w:rsidP="00061B9C">
      <w:pPr>
        <w:pStyle w:val="Heading3"/>
      </w:pPr>
      <w:r>
        <w:t xml:space="preserve">Optimism </w:t>
      </w:r>
      <w:r w:rsidR="00C572CF">
        <w:t>good</w:t>
      </w:r>
    </w:p>
    <w:p w14:paraId="118331C6" w14:textId="77777777" w:rsidR="00061B9C" w:rsidRDefault="00061B9C" w:rsidP="00061B9C"/>
    <w:p w14:paraId="7119323F" w14:textId="77777777" w:rsidR="00061B9C" w:rsidRDefault="00061B9C" w:rsidP="00061B9C">
      <w:pPr>
        <w:pStyle w:val="Heading4"/>
      </w:pPr>
      <w:r>
        <w:t xml:space="preserve">Queer optimism is a necessary condition for a queer ecology—we have to embrace the possibility of change for the better to develop empathy for those in and outside of our species—critiquing success as heteronormative undermines a transformative politics </w:t>
      </w:r>
    </w:p>
    <w:p w14:paraId="6EA9995D" w14:textId="77777777" w:rsidR="00061B9C" w:rsidRDefault="00061B9C" w:rsidP="00061B9C">
      <w:r w:rsidRPr="004B33EF">
        <w:rPr>
          <w:rStyle w:val="Style13ptBold"/>
        </w:rPr>
        <w:t>SEYMOUR 2013</w:t>
      </w:r>
      <w:r>
        <w:t xml:space="preserve"> </w:t>
      </w:r>
      <w:r w:rsidRPr="004B33EF">
        <w:rPr>
          <w:sz w:val="20"/>
        </w:rPr>
        <w:t>(Nicole, Asst. prof of English at CSU Fullerton, Strange Natures: Futurity, Empathy, and the Queer Ecological Imagination)</w:t>
      </w:r>
    </w:p>
    <w:p w14:paraId="3154C986" w14:textId="172FBA66" w:rsidR="00061B9C" w:rsidRPr="00054DF8" w:rsidRDefault="00061B9C" w:rsidP="00054DF8">
      <w:pPr>
        <w:rPr>
          <w:rStyle w:val="StyleUnderline"/>
        </w:rPr>
      </w:pPr>
      <w:r w:rsidRPr="00054DF8">
        <w:rPr>
          <w:sz w:val="16"/>
        </w:rPr>
        <w:t xml:space="preserve">But this book doesn’t just take issue with queer-theoretical ideas; it at- tempts to adapt some and put them to use in the framework of an anti- racist, -classist, and -sexist queer ecology. For example, I am taken with how Munoz calls anti-utopianism and anti-relationality “failures of imagi- nation” (“ThinkingBeyond” 825), and with how he suggests that we might use the past and the future to combat the kind of here-and-now logic that allows capitalism, among other things, to flourish. I would insist that </w:t>
      </w:r>
      <w:r w:rsidRPr="00AE317D">
        <w:rPr>
          <w:rStyle w:val="StyleUnderline"/>
          <w:highlight w:val="yellow"/>
        </w:rPr>
        <w:t>there are ways of thinking about the here and now that are, in fact, crucial:</w:t>
      </w:r>
      <w:r w:rsidRPr="00054DF8">
        <w:rPr>
          <w:sz w:val="16"/>
        </w:rPr>
        <w:t xml:space="preserve"> the belief </w:t>
      </w:r>
      <w:r w:rsidRPr="00AE317D">
        <w:rPr>
          <w:rStyle w:val="StyleUnderline"/>
          <w:highlight w:val="yellow"/>
        </w:rPr>
        <w:t>that</w:t>
      </w:r>
      <w:r w:rsidRPr="00054DF8">
        <w:rPr>
          <w:sz w:val="16"/>
        </w:rPr>
        <w:t xml:space="preserve"> environmental devastation is a possibility, rather than a current and impending reality, or that we have to clean up the planet for future gen- erations, rather than for present ones, </w:t>
      </w:r>
      <w:r w:rsidRPr="00AE317D">
        <w:rPr>
          <w:rStyle w:val="StyleUnderline"/>
          <w:highlight w:val="yellow"/>
        </w:rPr>
        <w:t>allow</w:t>
      </w:r>
      <w:r w:rsidRPr="00054DF8">
        <w:rPr>
          <w:rStyle w:val="StyleUnderline"/>
        </w:rPr>
        <w:t xml:space="preserve">s </w:t>
      </w:r>
      <w:r w:rsidRPr="00AE317D">
        <w:rPr>
          <w:rStyle w:val="StyleUnderline"/>
          <w:highlight w:val="yellow"/>
        </w:rPr>
        <w:t>for the kind of complacency that authorizes such degradation in the first place</w:t>
      </w:r>
      <w:r w:rsidRPr="00054DF8">
        <w:rPr>
          <w:rStyle w:val="StyleUnderline"/>
        </w:rPr>
        <w:t xml:space="preserve">. </w:t>
      </w:r>
      <w:r w:rsidRPr="00054DF8">
        <w:rPr>
          <w:sz w:val="16"/>
        </w:rPr>
        <w:t xml:space="preserve">But Munoz’s idea of </w:t>
      </w:r>
      <w:r w:rsidRPr="00AE317D">
        <w:rPr>
          <w:rStyle w:val="StyleUnderline"/>
          <w:highlight w:val="yellow"/>
        </w:rPr>
        <w:t>queer utopianism,</w:t>
      </w:r>
      <w:r w:rsidRPr="00054DF8">
        <w:rPr>
          <w:sz w:val="16"/>
        </w:rPr>
        <w:t xml:space="preserve"> outlined more extensively in his recent book-length study Cruising Utopia (2010), </w:t>
      </w:r>
      <w:r w:rsidRPr="00AE317D">
        <w:rPr>
          <w:rStyle w:val="StyleUnderline"/>
          <w:highlight w:val="yellow"/>
        </w:rPr>
        <w:t>could inspir</w:t>
      </w:r>
      <w:r w:rsidRPr="00054DF8">
        <w:rPr>
          <w:rStyle w:val="StyleUnderline"/>
        </w:rPr>
        <w:t xml:space="preserve">e </w:t>
      </w:r>
      <w:r w:rsidRPr="00054DF8">
        <w:rPr>
          <w:sz w:val="16"/>
        </w:rPr>
        <w:t xml:space="preserve">environmentalist </w:t>
      </w:r>
      <w:r w:rsidRPr="00AE317D">
        <w:rPr>
          <w:rStyle w:val="StyleUnderline"/>
          <w:highlight w:val="yellow"/>
        </w:rPr>
        <w:t>agendas that seek to achieve positive ends without resorting to heterosexist, homopho- bic, or pro-reproductive ideologies</w:t>
      </w:r>
      <w:r w:rsidRPr="00054DF8">
        <w:rPr>
          <w:sz w:val="16"/>
        </w:rPr>
        <w:t xml:space="preserve">. Similarly, Tim Dean theorizes queer utopia by noting that the “plunge into an experience of the nonrelational represents but the first step in Bersani’s account of relationality. The sec- ond, correlative step is to trace new forms of sociability, new ways of be- ing together, that are not grounded in imaginary identity or the struggle for intersubjective recognition” (827). Dean is talking about new ways of humans being together, whereas ecologists, and of course this book, talk about humans and the non-human world. But the novels and films I look at in Strange </w:t>
      </w:r>
      <w:r w:rsidRPr="00AE317D">
        <w:rPr>
          <w:rStyle w:val="StyleUnderline"/>
          <w:highlight w:val="yellow"/>
        </w:rPr>
        <w:t>Natures employ these same understandings of ontology and “being together”: they show how humans might interact with non-humans in empathetic and ethical ways despite their irresolvable differences</w:t>
      </w:r>
      <w:r w:rsidRPr="00054DF8">
        <w:rPr>
          <w:rStyle w:val="StyleUnderline"/>
        </w:rPr>
        <w:t>.</w:t>
      </w:r>
      <w:r w:rsidRPr="00054DF8">
        <w:rPr>
          <w:sz w:val="16"/>
        </w:rPr>
        <w:t xml:space="preserve"> Munoz’s phrase, “</w:t>
      </w:r>
      <w:r w:rsidRPr="00AE317D">
        <w:rPr>
          <w:rStyle w:val="StyleUnderline"/>
          <w:highlight w:val="yellow"/>
        </w:rPr>
        <w:t>failures of imagination</w:t>
      </w:r>
      <w:r w:rsidRPr="00054DF8">
        <w:rPr>
          <w:sz w:val="16"/>
        </w:rPr>
        <w:t xml:space="preserve">,” is also particularly perti- nent to this book. I argue that the texts in my archive represent remark- able achievements of imagination, achievements that have much to offer to both queer theory and ecocriticism, as well as to gay, lesbian, bisexual, transgender, queer, and intersex (GLBTQI) politics, and environmentalism more broadly. They </w:t>
      </w:r>
      <w:r w:rsidRPr="00AE317D">
        <w:rPr>
          <w:rStyle w:val="StyleUnderline"/>
          <w:highlight w:val="yellow"/>
        </w:rPr>
        <w:t>allow us to think beyond the stalemates and impasses described above, suggesting that there are ways to</w:t>
      </w:r>
      <w:r w:rsidRPr="00054DF8">
        <w:rPr>
          <w:rStyle w:val="StyleUnderline"/>
        </w:rPr>
        <w:t xml:space="preserve"> care about the natural, ways to </w:t>
      </w:r>
      <w:r w:rsidRPr="00AE317D">
        <w:rPr>
          <w:rStyle w:val="StyleUnderline"/>
          <w:highlight w:val="yellow"/>
        </w:rPr>
        <w:t>expand the social, and ways to think about the future, that are not heteronormative</w:t>
      </w:r>
      <w:r w:rsidRPr="00AE317D">
        <w:rPr>
          <w:sz w:val="16"/>
          <w:highlight w:val="yellow"/>
        </w:rPr>
        <w:t>.</w:t>
      </w:r>
      <w:r w:rsidRPr="00054DF8">
        <w:rPr>
          <w:sz w:val="16"/>
        </w:rPr>
        <w:t xml:space="preserve"> Indeed, this book suggests that, with a queer ecological perspective attuned to social justice, we can learn to care about the future of the planet in a way that is perhaps more radical than any we have seen previously: acting in the interests of nameless, faceless individuals to which one has no biological, familial, or economic ties whatsoever. This kind of action operates without any reward, without any guarantee of success, and without any proof that potential future inhabitants of the planet might be similar to the individual acting in the present—in terms of social identity, morality, or even species, if some doomsday predictions are to be believed. It is invested in the ends (survival of the non-human alongside the human) but emphasizes the means (caring for the non-human alongside the hu- man). Chapter 2, for instance, highlights how the characters in Mootoo’s novel focus on the present and ongoing well-being of a night-blooming cereus plant and a late-blooming transgender character—rather than on the specific end results of their transformations.</w:t>
      </w:r>
      <w:r w:rsidR="00054DF8" w:rsidRPr="00054DF8">
        <w:rPr>
          <w:sz w:val="16"/>
        </w:rPr>
        <w:t xml:space="preserve"> </w:t>
      </w:r>
      <w:r w:rsidRPr="00054DF8">
        <w:rPr>
          <w:sz w:val="16"/>
        </w:rPr>
        <w:t xml:space="preserve">Queer theorist Michael Snediker’s concept of “queer optimism, "proffered in his recent book of the same name, is also inspirational to me here. While Snediker turns to lyric poetry to rethink heteronormative futurity, I have, of course, turned to contemporary queer novels and films that engage with the natural world. But his concept speaks directly to the understandings of time and care that my archive puts forth; as he declares, </w:t>
      </w:r>
      <w:r w:rsidRPr="00054DF8">
        <w:rPr>
          <w:rStyle w:val="StyleUnderline"/>
        </w:rPr>
        <w:t xml:space="preserve">“[q] ueer optimism ... is not promissory. It doesn’t ask that some future time make good on its own hopes. Rather, </w:t>
      </w:r>
      <w:r w:rsidRPr="00AE317D">
        <w:rPr>
          <w:rStyle w:val="StyleUnderline"/>
          <w:highlight w:val="yellow"/>
        </w:rPr>
        <w:t>queer optimism asks that optimism, embedded in its own immanent present, might be interesting</w:t>
      </w:r>
      <w:r w:rsidRPr="00054DF8">
        <w:rPr>
          <w:sz w:val="16"/>
        </w:rPr>
        <w:t xml:space="preserve">” (2). I take Snediker’s term “interesting” to mean both something that draws one’s attention (“interest- ing” as in “fascinating”) and something that inspires care (“interesting” as in “provoking interest or investment”). </w:t>
      </w:r>
      <w:r w:rsidRPr="00AE317D">
        <w:rPr>
          <w:rStyle w:val="StyleUnderline"/>
          <w:highlight w:val="yellow"/>
        </w:rPr>
        <w:t>Queer optimism</w:t>
      </w:r>
      <w:r w:rsidRPr="00054DF8">
        <w:rPr>
          <w:rStyle w:val="StyleUnderline"/>
        </w:rPr>
        <w:t xml:space="preserve">, then, </w:t>
      </w:r>
      <w:r w:rsidRPr="00AE317D">
        <w:rPr>
          <w:rStyle w:val="StyleUnderline"/>
          <w:highlight w:val="yellow"/>
        </w:rPr>
        <w:t>is definitely not valuable because one can gain something by it. But it’s also not valuable “in and of itself,</w:t>
      </w:r>
      <w:r w:rsidRPr="00054DF8">
        <w:rPr>
          <w:rStyle w:val="StyleUnderline"/>
        </w:rPr>
        <w:t xml:space="preserve">” </w:t>
      </w:r>
      <w:r w:rsidRPr="00AE317D">
        <w:rPr>
          <w:rStyle w:val="StyleUnderline"/>
          <w:highlight w:val="yellow"/>
        </w:rPr>
        <w:t>because there is no such thing as value without a valuer. Rather, its value is determined by the communal and empathetie process of valuing.</w:t>
      </w:r>
      <w:r w:rsidRPr="00054DF8">
        <w:rPr>
          <w:rStyle w:val="StyleUnderline"/>
        </w:rPr>
        <w:t xml:space="preserve"> </w:t>
      </w:r>
      <w:r w:rsidRPr="00AE317D">
        <w:rPr>
          <w:rStyle w:val="StyleUnderline"/>
          <w:highlight w:val="yellow"/>
        </w:rPr>
        <w:t>That is</w:t>
      </w:r>
      <w:r w:rsidRPr="00054DF8">
        <w:rPr>
          <w:rStyle w:val="StyleUnderline"/>
        </w:rPr>
        <w:t xml:space="preserve"> precisely </w:t>
      </w:r>
      <w:r w:rsidRPr="00AE317D">
        <w:rPr>
          <w:rStyle w:val="StyleUnderline"/>
          <w:highlight w:val="yellow"/>
        </w:rPr>
        <w:t>the kind of ethical model that the texts in my archive offer for our encounters with the non-human.</w:t>
      </w:r>
    </w:p>
    <w:p w14:paraId="1CC3E655" w14:textId="77777777" w:rsidR="00061B9C" w:rsidRDefault="00061B9C" w:rsidP="00061B9C"/>
    <w:p w14:paraId="22681DC0" w14:textId="77777777" w:rsidR="00061B9C" w:rsidRDefault="00061B9C" w:rsidP="00061B9C"/>
    <w:p w14:paraId="0F4A248C" w14:textId="77777777" w:rsidR="00061B9C" w:rsidRDefault="00061B9C" w:rsidP="00061B9C">
      <w:pPr>
        <w:pStyle w:val="Heading3"/>
      </w:pPr>
      <w:r>
        <w:t>State/Dem Engagement Good</w:t>
      </w:r>
    </w:p>
    <w:p w14:paraId="2A68C183" w14:textId="77777777" w:rsidR="00061B9C" w:rsidRDefault="00061B9C" w:rsidP="00061B9C"/>
    <w:p w14:paraId="0FD49057" w14:textId="77777777" w:rsidR="00061B9C" w:rsidRPr="00940BA6" w:rsidRDefault="00061B9C" w:rsidP="00061B9C">
      <w:pPr>
        <w:pStyle w:val="Heading4"/>
      </w:pPr>
      <w:r w:rsidRPr="00940BA6">
        <w:t>Engaging the state through the instruments of representative democracy is the only way to establish ecological democracy and only the state system allows us to confront international environmental problems</w:t>
      </w:r>
    </w:p>
    <w:p w14:paraId="68B21399" w14:textId="77777777" w:rsidR="00061B9C" w:rsidRDefault="00061B9C" w:rsidP="00061B9C">
      <w:r w:rsidRPr="00A247BB">
        <w:rPr>
          <w:rStyle w:val="Style13ptBold"/>
        </w:rPr>
        <w:t>ECKERSLEY 2004</w:t>
      </w:r>
      <w:r w:rsidRPr="00A344D8">
        <w:rPr>
          <w:sz w:val="14"/>
        </w:rPr>
        <w:t xml:space="preserve"> (Robyn, Professor and Head of Political Science in the School of Social and Political Sciences, University of Melbourne, The Green State: Rethinking Democracy and Sovereignty)</w:t>
      </w:r>
    </w:p>
    <w:p w14:paraId="22BDA0F2" w14:textId="065082E4" w:rsidR="00061B9C" w:rsidRDefault="00061B9C" w:rsidP="00054DF8">
      <w:pPr>
        <w:rPr>
          <w:rStyle w:val="StyleUnderline"/>
        </w:rPr>
      </w:pPr>
      <w:r w:rsidRPr="00054DF8">
        <w:rPr>
          <w:sz w:val="16"/>
        </w:rPr>
        <w:t>A serious question, however, remains: How far can we expect green states to proliferate in world where there is a growing disparity in wealth and capacity within and especially between states? As Andrew Hurrell has argued, “many of the most serious obstacles to sustainability have to do with the domestic weaknesses of particular states and state structures.” 7 It is no accident that the processes of ecological modernization have been spearheaded in the developed world. Moreover, while most of the richer states are active shapers of economic globalization, there are many more developing states that are more often aggrieved victims of these processes. These problems are not just the legacy of colonialism but also the result of an international, neoliberal economic order that systematically disadvantages the developing world vis-à-vis the developed world. There is always reason to hope but little reason to expect that those states sponsoring technical forms of ecological modernization will be detained by the fact that a majority of states are not even in a position to sponsor such a green competitive strategy for their local industries.</w:t>
      </w:r>
      <w:r w:rsidR="00054DF8" w:rsidRPr="00054DF8">
        <w:rPr>
          <w:sz w:val="16"/>
        </w:rPr>
        <w:t xml:space="preserve"> </w:t>
      </w:r>
      <w:r w:rsidRPr="00054DF8">
        <w:rPr>
          <w:sz w:val="16"/>
        </w:rPr>
        <w:t xml:space="preserve">This state of affairs is unacceptable and represents the most serious chal- lenge to global sustainability. </w:t>
      </w:r>
      <w:r w:rsidRPr="00054DF8">
        <w:rPr>
          <w:rStyle w:val="StyleUnderline"/>
        </w:rPr>
        <w:t>However</w:t>
      </w:r>
      <w:r w:rsidRPr="00AE317D">
        <w:rPr>
          <w:rStyle w:val="StyleUnderline"/>
          <w:highlight w:val="yellow"/>
        </w:rPr>
        <w:t>, both hope and expectations can be raised to the extent to which the</w:t>
      </w:r>
      <w:r w:rsidRPr="00054DF8">
        <w:rPr>
          <w:rStyle w:val="StyleUnderline"/>
        </w:rPr>
        <w:t xml:space="preserve"> economically </w:t>
      </w:r>
      <w:r w:rsidRPr="00AE317D">
        <w:rPr>
          <w:rStyle w:val="StyleUnderline"/>
        </w:rPr>
        <w:t>privileged states pursue deeper, more reflexive strategies of</w:t>
      </w:r>
      <w:r w:rsidRPr="00054DF8">
        <w:rPr>
          <w:rStyle w:val="StyleUnderline"/>
        </w:rPr>
        <w:t xml:space="preserve"> </w:t>
      </w:r>
      <w:r w:rsidRPr="00054DF8">
        <w:rPr>
          <w:sz w:val="16"/>
        </w:rPr>
        <w:t xml:space="preserve">ecological modernization, which in turn presupposes a move toward ecological democracy, since they would necessarily become more preoccupied with both global environmental and economic justice. </w:t>
      </w:r>
      <w:r w:rsidRPr="00AE317D">
        <w:rPr>
          <w:rStyle w:val="StyleUnderline"/>
          <w:highlight w:val="yellow"/>
        </w:rPr>
        <w:t>There are</w:t>
      </w:r>
      <w:r w:rsidRPr="00054DF8">
        <w:rPr>
          <w:rStyle w:val="StyleUnderline"/>
        </w:rPr>
        <w:t xml:space="preserve">, of course, </w:t>
      </w:r>
      <w:r w:rsidRPr="00AE317D">
        <w:rPr>
          <w:rStyle w:val="StyleUnderline"/>
          <w:highlight w:val="yellow"/>
        </w:rPr>
        <w:t>no encouraging signs that the most powerful states—above all, the United States</w:t>
      </w:r>
      <w:r w:rsidRPr="00054DF8">
        <w:rPr>
          <w:rStyle w:val="StyleUnderline"/>
        </w:rPr>
        <w:t xml:space="preserve"> under the second Bush administration—</w:t>
      </w:r>
      <w:r w:rsidRPr="00AE317D">
        <w:rPr>
          <w:rStyle w:val="StyleUnderline"/>
          <w:highlight w:val="yellow"/>
        </w:rPr>
        <w:t>are moving in this direction</w:t>
      </w:r>
      <w:r w:rsidRPr="00054DF8">
        <w:rPr>
          <w:sz w:val="16"/>
        </w:rPr>
        <w:t xml:space="preserve">. Yet </w:t>
      </w:r>
      <w:r w:rsidRPr="00AE317D">
        <w:rPr>
          <w:rStyle w:val="StyleUnderline"/>
          <w:highlight w:val="yellow"/>
        </w:rPr>
        <w:t>the degree of global interdependence is now such that even superpowers need the cooperation of other states in the longer run</w:t>
      </w:r>
      <w:r w:rsidRPr="00AE317D">
        <w:rPr>
          <w:sz w:val="16"/>
          <w:highlight w:val="yellow"/>
        </w:rPr>
        <w:t>.</w:t>
      </w:r>
      <w:r w:rsidRPr="00054DF8">
        <w:rPr>
          <w:sz w:val="16"/>
        </w:rPr>
        <w:t xml:space="preserve"> This is the so-called paradox of American power outlined by Joseph Nye, which he argues must lead away from the assertion of “hard power” and toward the practice of “soft power” (including a greater preparedness to act multilaterally).8 However, this can only be the beginning. </w:t>
      </w:r>
      <w:r w:rsidRPr="00AE317D">
        <w:rPr>
          <w:rStyle w:val="StyleUnderline"/>
          <w:highlight w:val="yellow"/>
        </w:rPr>
        <w:t>Without the deepening of democracy within the most privileged states</w:t>
      </w:r>
      <w:r w:rsidRPr="00054DF8">
        <w:rPr>
          <w:rStyle w:val="StyleUnderline"/>
        </w:rPr>
        <w:t xml:space="preserve"> (and especially the United States), </w:t>
      </w:r>
      <w:r w:rsidRPr="00AE317D">
        <w:rPr>
          <w:rStyle w:val="StyleUnderline"/>
          <w:highlight w:val="yellow"/>
        </w:rPr>
        <w:t>the prospects of structural reform to the international economy</w:t>
      </w:r>
      <w:r w:rsidRPr="00054DF8">
        <w:rPr>
          <w:sz w:val="16"/>
        </w:rPr>
        <w:t>, an end to the displacement of environmental problems and the beginning of concerted (as distinct from tokenistic) environmental capacity building in the developing world seem remote. As Robert Paehkle puts it, “Irony of ironies, the route to global governance lies in making the wealthy nations more democratic.”9</w:t>
      </w:r>
      <w:r w:rsidR="00054DF8" w:rsidRPr="00054DF8">
        <w:rPr>
          <w:sz w:val="16"/>
        </w:rPr>
        <w:t xml:space="preserve"> </w:t>
      </w:r>
      <w:r w:rsidRPr="00054DF8">
        <w:rPr>
          <w:sz w:val="16"/>
        </w:rPr>
        <w:t xml:space="preserve">Although I have argued that green public spheres are a condition precedent for the emergence of green democratic states, such states will not materialize or proliferate without political leadership, whether from green parties, social democratic parties, or other social actors. This applies most obviously to elected governments that actively seek to pursue a green agenda, such as the Swedish Social Democratic Party under the leadership of Göran Persson, which embarked in 1996 on “a new and noble mission” to make Sweden an ecologically sustainable society.10 However, it also applies to other actors in the social, economic, and educational spheres who seek to activate and enhance the state’s and society’s environmental capacity. </w:t>
      </w:r>
      <w:r w:rsidRPr="00AE317D">
        <w:rPr>
          <w:rStyle w:val="StyleUnderline"/>
          <w:highlight w:val="yellow"/>
        </w:rPr>
        <w:t>Leadership ought not to mean an overweening executive aggressively rushing through a program of reform and ignoring oppositional movements or community know-how and experience</w:t>
      </w:r>
    </w:p>
    <w:p w14:paraId="0BA543C9" w14:textId="77777777" w:rsidR="00287B75" w:rsidRPr="00054DF8" w:rsidRDefault="00287B75" w:rsidP="00054DF8">
      <w:pPr>
        <w:rPr>
          <w:sz w:val="16"/>
        </w:rPr>
      </w:pPr>
    </w:p>
    <w:p w14:paraId="5FD43A4E" w14:textId="77777777" w:rsidR="00061B9C" w:rsidRPr="004D216E" w:rsidRDefault="00061B9C" w:rsidP="00054DF8">
      <w:pPr>
        <w:pStyle w:val="Heading4"/>
      </w:pPr>
      <w:r w:rsidRPr="004D216E">
        <w:t>The state is the only actor that can address ecological destruction and large-scale inequalities—even if other actors are also important, we cannot succeed without the state</w:t>
      </w:r>
    </w:p>
    <w:p w14:paraId="6BCDACBB" w14:textId="77777777" w:rsidR="00061B9C" w:rsidRDefault="00061B9C" w:rsidP="00061B9C">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14:paraId="4C687F70" w14:textId="77777777" w:rsidR="00061B9C" w:rsidRDefault="00061B9C" w:rsidP="00061B9C">
      <w:r w:rsidRPr="00CA51FA">
        <w:rPr>
          <w:sz w:val="14"/>
        </w:rPr>
        <w:t xml:space="preserve">Of course, </w:t>
      </w:r>
      <w:r w:rsidRPr="00287B75">
        <w:rPr>
          <w:highlight w:val="yellow"/>
          <w:u w:val="single"/>
        </w:rPr>
        <w:t>it would be unhelpful to become singularly fixated on the redesign of the state at the expense of other institutions of governance</w:t>
      </w:r>
      <w:r w:rsidRPr="00CA51FA">
        <w:rPr>
          <w:sz w:val="14"/>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CA51FA">
        <w:rPr>
          <w:u w:val="single"/>
        </w:rPr>
        <w:t xml:space="preserve">Nonetheless, while </w:t>
      </w:r>
      <w:r w:rsidRPr="00287B75">
        <w:rPr>
          <w:highlight w:val="yellow"/>
          <w:u w:val="single"/>
        </w:rPr>
        <w:t>the state constitutes only one modality of political power, it is an especially significant one because of its historical claims to exclusive rule</w:t>
      </w:r>
      <w:r w:rsidRPr="00CA51FA">
        <w:rPr>
          <w:sz w:val="14"/>
        </w:rPr>
        <w:t xml:space="preserve"> over territory and peoples—as expressed in the principle of state sovereignty. As Gianfranco Poggi explains, the political power concentrated in the state “is a momentous, pervasive, critical phenomenon. Together with other forms of social power, </w:t>
      </w:r>
      <w:r w:rsidRPr="00CA51FA">
        <w:rPr>
          <w:u w:val="single"/>
        </w:rPr>
        <w:t xml:space="preserve">it constitutes </w:t>
      </w:r>
      <w:r w:rsidRPr="00287B75">
        <w:rPr>
          <w:highlight w:val="yellow"/>
          <w:u w:val="single"/>
        </w:rPr>
        <w:t>an indispensable medium for constructing and shaping larger social realities, for establishing, shaping and maintaining all broader and more durable collectivities</w:t>
      </w:r>
      <w:r w:rsidRPr="00CA51FA">
        <w:rPr>
          <w:sz w:val="14"/>
        </w:rPr>
        <w:t xml:space="preserve">.”12 </w:t>
      </w:r>
      <w:r w:rsidRPr="00287B75">
        <w:rPr>
          <w:highlight w:val="yellow"/>
          <w:u w:val="single"/>
        </w:rPr>
        <w:t>States play</w:t>
      </w:r>
      <w:r w:rsidRPr="00287B75">
        <w:rPr>
          <w:sz w:val="14"/>
          <w:highlight w:val="yellow"/>
        </w:rPr>
        <w:t xml:space="preserve">, </w:t>
      </w:r>
      <w:r w:rsidRPr="00287B75">
        <w:rPr>
          <w:sz w:val="14"/>
        </w:rPr>
        <w:t>in varying degrees</w:t>
      </w:r>
      <w:r w:rsidRPr="00287B75">
        <w:rPr>
          <w:sz w:val="14"/>
          <w:highlight w:val="yellow"/>
        </w:rPr>
        <w:t xml:space="preserve">, </w:t>
      </w:r>
      <w:r w:rsidRPr="00287B75">
        <w:rPr>
          <w:highlight w:val="yellow"/>
          <w:u w:val="single"/>
        </w:rPr>
        <w:t>significant roles in</w:t>
      </w:r>
      <w:r w:rsidRPr="00CA51FA">
        <w:rPr>
          <w:u w:val="single"/>
        </w:rPr>
        <w:t xml:space="preserve"> structuring life chances, in distributing wealth, privilege, information, and risks, in </w:t>
      </w:r>
      <w:r w:rsidRPr="00287B75">
        <w:rPr>
          <w:highlight w:val="yellow"/>
          <w:u w:val="single"/>
        </w:rPr>
        <w:t>upholding civil and political rights, and in securing private property rights and providing the legal/regulatory framework for capitalism.</w:t>
      </w:r>
      <w:r w:rsidRPr="00CA51FA">
        <w:rPr>
          <w:u w:val="single"/>
        </w:rPr>
        <w:t xml:space="preserve"> Every one of these dimensions of state activity has, for good or ill, a significant bearing on the global environmental crisis. Given that the green political project is one that demands far-reaching changes to both economies and societies, it is difficult to imagine how such changes might occur on the kind of scale that is needed without the active support of states</w:t>
      </w:r>
      <w:r w:rsidRPr="00CA51FA">
        <w:rPr>
          <w:sz w:val="14"/>
        </w:rPr>
        <w:t xml:space="preserve">. While it is often observed that states are too big to deal with local ecological problems and too small to deal with global ones, </w:t>
      </w:r>
      <w:r w:rsidRPr="00287B75">
        <w:rPr>
          <w:highlight w:val="yellow"/>
          <w:u w:val="single"/>
        </w:rPr>
        <w:t>the state</w:t>
      </w:r>
      <w:r w:rsidRPr="00CA51FA">
        <w:rPr>
          <w:sz w:val="14"/>
        </w:rPr>
        <w:t xml:space="preserve"> nonetheless </w:t>
      </w:r>
      <w:r w:rsidRPr="00287B75">
        <w:rPr>
          <w:highlight w:val="yellow"/>
          <w:u w:val="single"/>
        </w:rPr>
        <w:t>holds</w:t>
      </w:r>
      <w:r w:rsidRPr="00CA51FA">
        <w:rPr>
          <w:sz w:val="14"/>
        </w:rPr>
        <w:t>, as Lennart Lundqvist puts it, “</w:t>
      </w:r>
      <w:r w:rsidRPr="00287B75">
        <w:rPr>
          <w:highlight w:val="yellow"/>
          <w:u w:val="single"/>
        </w:rPr>
        <w:t>a unique position in the constitutive hierarchy</w:t>
      </w:r>
      <w:r w:rsidRPr="00CA51FA">
        <w:rPr>
          <w:sz w:val="14"/>
        </w:rPr>
        <w:t xml:space="preserve"> from individuals through villages, regions and nations all the way to global organizations. </w:t>
      </w:r>
      <w:r w:rsidRPr="006556F1">
        <w:rPr>
          <w:highlight w:val="yellow"/>
          <w:u w:val="single"/>
        </w:rPr>
        <w:t>The state is inclusive of lower political and administrative levels, and exclusive in speaking for its whole territory and population in relation to the outside world</w:t>
      </w:r>
      <w:r w:rsidRPr="006556F1">
        <w:rPr>
          <w:sz w:val="14"/>
          <w:highlight w:val="yellow"/>
        </w:rPr>
        <w:t>.</w:t>
      </w:r>
      <w:r w:rsidRPr="00CA51FA">
        <w:rPr>
          <w:sz w:val="14"/>
        </w:rPr>
        <w:t xml:space="preserve">”13 </w:t>
      </w:r>
      <w:r w:rsidRPr="00CA51FA">
        <w:rPr>
          <w:u w:val="single"/>
        </w:rPr>
        <w:t xml:space="preserve">In short, </w:t>
      </w:r>
      <w:r w:rsidRPr="006556F1">
        <w:rPr>
          <w:highlight w:val="yellow"/>
          <w:u w:val="single"/>
        </w:rPr>
        <w:t>it seems</w:t>
      </w:r>
      <w:r w:rsidRPr="00CA51FA">
        <w:rPr>
          <w:sz w:val="14"/>
        </w:rPr>
        <w:t xml:space="preserve"> to me </w:t>
      </w:r>
      <w:r w:rsidRPr="006556F1">
        <w:rPr>
          <w:highlight w:val="yellow"/>
          <w:u w:val="single"/>
        </w:rPr>
        <w:t>inconceivable to advance ecological emancipation without also engaging with and seeking to transform state pow</w:t>
      </w:r>
      <w:r w:rsidRPr="00CA51FA">
        <w:rPr>
          <w:u w:val="single"/>
        </w:rPr>
        <w:t>er</w:t>
      </w:r>
      <w:r w:rsidRPr="00CA51FA">
        <w:rPr>
          <w:sz w:val="14"/>
        </w:rPr>
        <w:t>.</w:t>
      </w:r>
    </w:p>
    <w:p w14:paraId="5FEDCF1E" w14:textId="77777777" w:rsidR="00061B9C" w:rsidRDefault="00061B9C" w:rsidP="00061B9C"/>
    <w:p w14:paraId="412F8D29" w14:textId="77777777" w:rsidR="00061B9C" w:rsidRPr="00A84110" w:rsidRDefault="00061B9C" w:rsidP="00287B75">
      <w:pPr>
        <w:pStyle w:val="Heading4"/>
      </w:pPr>
      <w:r w:rsidRPr="00A84110">
        <w:t>Only debates about state policy can confront social injustice, nuclear war, and environmental destruction</w:t>
      </w:r>
    </w:p>
    <w:p w14:paraId="584740E0" w14:textId="77777777" w:rsidR="00061B9C" w:rsidRDefault="00061B9C" w:rsidP="00061B9C">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14:paraId="4090A931" w14:textId="0799E611" w:rsidR="00061B9C" w:rsidRPr="00C572CF" w:rsidRDefault="00061B9C" w:rsidP="00054DF8">
      <w:pPr>
        <w:rPr>
          <w:sz w:val="16"/>
        </w:rPr>
      </w:pPr>
      <w:r w:rsidRPr="00C572CF">
        <w:rPr>
          <w:sz w:val="16"/>
        </w:rPr>
        <w:t xml:space="preserve">While acknowledging the basis for this antipathy toward the nationstate, and the limitations of state-centric analyses of global ecological degradation, I seek to draw attention to the positive role that states have played, and might increasingly play, in global and domestic politics. Writing more than twenty years ago, Hedley Bull (a proto-constructivist and leading writer in the English school) outlined </w:t>
      </w:r>
      <w:r w:rsidRPr="00054DF8">
        <w:rPr>
          <w:rStyle w:val="StyleUnderline"/>
        </w:rPr>
        <w:t>t</w:t>
      </w:r>
      <w:r w:rsidRPr="006556F1">
        <w:rPr>
          <w:rStyle w:val="StyleUnderline"/>
          <w:highlight w:val="yellow"/>
        </w:rPr>
        <w:t>he state’s positive role in world affairs, an</w:t>
      </w:r>
      <w:r w:rsidRPr="00054DF8">
        <w:rPr>
          <w:rStyle w:val="StyleUnderline"/>
        </w:rPr>
        <w:t xml:space="preserve">d his </w:t>
      </w:r>
      <w:r w:rsidRPr="006556F1">
        <w:rPr>
          <w:rStyle w:val="StyleUnderline"/>
          <w:highlight w:val="yellow"/>
        </w:rPr>
        <w:t>arguments continue to provide a powerful challenge to those who somehow seek to “get beyond the state,”</w:t>
      </w:r>
      <w:r w:rsidRPr="00054DF8">
        <w:rPr>
          <w:rStyle w:val="StyleUnderline"/>
        </w:rPr>
        <w:t xml:space="preserve"> as if such </w:t>
      </w:r>
      <w:r w:rsidRPr="006556F1">
        <w:rPr>
          <w:rStyle w:val="StyleUnderline"/>
          <w:highlight w:val="yellow"/>
        </w:rPr>
        <w:t xml:space="preserve">a move would provide a more lasting solution to the threat of </w:t>
      </w:r>
      <w:r w:rsidRPr="006556F1">
        <w:rPr>
          <w:rStyle w:val="StyleUnderline"/>
        </w:rPr>
        <w:t>armed conflict or nuclear war</w:t>
      </w:r>
      <w:r w:rsidRPr="006556F1">
        <w:rPr>
          <w:rStyle w:val="StyleUnderline"/>
          <w:highlight w:val="yellow"/>
        </w:rPr>
        <w:t>,</w:t>
      </w:r>
      <w:r w:rsidRPr="00054DF8">
        <w:rPr>
          <w:rStyle w:val="StyleUnderline"/>
        </w:rPr>
        <w:t xml:space="preserve"> </w:t>
      </w:r>
      <w:r w:rsidRPr="006556F1">
        <w:rPr>
          <w:rStyle w:val="StyleUnderline"/>
          <w:highlight w:val="yellow"/>
        </w:rPr>
        <w:t xml:space="preserve">social </w:t>
      </w:r>
      <w:r w:rsidRPr="006556F1">
        <w:rPr>
          <w:rStyle w:val="StyleUnderline"/>
        </w:rPr>
        <w:t xml:space="preserve">and economic </w:t>
      </w:r>
      <w:r w:rsidRPr="006556F1">
        <w:rPr>
          <w:rStyle w:val="StyleUnderline"/>
          <w:highlight w:val="yellow"/>
        </w:rPr>
        <w:t xml:space="preserve">injustice, </w:t>
      </w:r>
      <w:r w:rsidRPr="006556F1">
        <w:rPr>
          <w:rStyle w:val="StyleUnderline"/>
        </w:rPr>
        <w:t>or environmental degradation</w:t>
      </w:r>
      <w:r w:rsidRPr="00C572CF">
        <w:rPr>
          <w:sz w:val="16"/>
        </w:rPr>
        <w:t xml:space="preserve">.10 As Bull argued, given </w:t>
      </w:r>
      <w:r w:rsidRPr="00054DF8">
        <w:rPr>
          <w:rStyle w:val="StyleUnderline"/>
        </w:rPr>
        <w:t xml:space="preserve">that </w:t>
      </w:r>
      <w:r w:rsidRPr="006556F1">
        <w:rPr>
          <w:rStyle w:val="StyleUnderline"/>
          <w:highlight w:val="yellow"/>
        </w:rPr>
        <w:t>the state is here to stay whether we like it or not, then the call to get “beyond the state is a counsel of despair,</w:t>
      </w:r>
      <w:r w:rsidRPr="00054DF8">
        <w:rPr>
          <w:rStyle w:val="StyleUnderline"/>
        </w:rPr>
        <w:t xml:space="preserve"> at all events </w:t>
      </w:r>
      <w:r w:rsidRPr="006556F1">
        <w:rPr>
          <w:rStyle w:val="StyleUnderline"/>
          <w:highlight w:val="yellow"/>
        </w:rPr>
        <w:t>if it means that we have to begin by abolishing or subverting the state, rather than that there is a need to build upon</w:t>
      </w:r>
      <w:r w:rsidRPr="00054DF8">
        <w:rPr>
          <w:rStyle w:val="StyleUnderline"/>
        </w:rPr>
        <w:t xml:space="preserve"> it.”</w:t>
      </w:r>
      <w:r w:rsidRPr="00C572CF">
        <w:rPr>
          <w:sz w:val="16"/>
        </w:rPr>
        <w:t xml:space="preserve">11 In any event, </w:t>
      </w:r>
      <w:r w:rsidRPr="006556F1">
        <w:rPr>
          <w:rStyle w:val="StyleUnderline"/>
          <w:highlight w:val="yellow"/>
        </w:rPr>
        <w:t>rejecting the “statist frame” of world politics ought not prohibit an inquiry into the emancipatory potential of the state as a crucial “node” in any future</w:t>
      </w:r>
      <w:r w:rsidRPr="00054DF8">
        <w:rPr>
          <w:rStyle w:val="StyleUnderline"/>
        </w:rPr>
        <w:t xml:space="preserve"> network of global </w:t>
      </w:r>
      <w:r w:rsidRPr="00C572CF">
        <w:rPr>
          <w:sz w:val="16"/>
        </w:rPr>
        <w:t xml:space="preserve">ecological </w:t>
      </w:r>
      <w:r w:rsidRPr="00054DF8">
        <w:rPr>
          <w:rStyle w:val="StyleUnderline"/>
        </w:rPr>
        <w:t>governance</w:t>
      </w:r>
      <w:r w:rsidRPr="00C572CF">
        <w:rPr>
          <w:sz w:val="16"/>
        </w:rPr>
        <w:t xml:space="preserve">. This is especially so, given that </w:t>
      </w:r>
      <w:r w:rsidRPr="006556F1">
        <w:rPr>
          <w:rStyle w:val="StyleUnderline"/>
          <w:highlight w:val="yellow"/>
        </w:rPr>
        <w:t>one can expect states to persist as major sites of social and political power</w:t>
      </w:r>
      <w:r w:rsidRPr="00C572CF">
        <w:rPr>
          <w:rStyle w:val="StyleUnderline"/>
        </w:rPr>
        <w:t xml:space="preserve"> </w:t>
      </w:r>
    </w:p>
    <w:p w14:paraId="2A6CCCDA" w14:textId="77777777" w:rsidR="00061B9C" w:rsidRPr="00054DF8" w:rsidRDefault="00061B9C" w:rsidP="00054DF8"/>
    <w:p w14:paraId="63BE1B8B" w14:textId="639D4C74" w:rsidR="00061B9C" w:rsidRPr="00054DF8" w:rsidRDefault="00C572CF" w:rsidP="00C572CF">
      <w:pPr>
        <w:pStyle w:val="Heading3"/>
      </w:pPr>
      <w:r>
        <w:t>AT cooption</w:t>
      </w:r>
    </w:p>
    <w:p w14:paraId="0F339F35" w14:textId="77777777" w:rsidR="00061B9C" w:rsidRDefault="00061B9C" w:rsidP="00061B9C"/>
    <w:p w14:paraId="361C5E36" w14:textId="77777777" w:rsidR="00C572CF" w:rsidRPr="00E94172" w:rsidRDefault="00C572CF" w:rsidP="00C572CF">
      <w:pPr>
        <w:pStyle w:val="Heading4"/>
      </w:pPr>
      <w:r w:rsidRPr="00E94172">
        <w:t>Our alternative solves cooptation—we change the ambit of state concern to make it responsive to radical democracy</w:t>
      </w:r>
    </w:p>
    <w:p w14:paraId="7956FEBA" w14:textId="77777777" w:rsidR="00C572CF" w:rsidRDefault="00C572CF" w:rsidP="00C572CF">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14:paraId="19771FDB" w14:textId="77777777" w:rsidR="00C572CF" w:rsidRPr="008E1B2F" w:rsidRDefault="00C572CF" w:rsidP="00C572CF">
      <w:pPr>
        <w:rPr>
          <w:sz w:val="14"/>
        </w:rPr>
      </w:pPr>
      <w:r w:rsidRPr="008E1B2F">
        <w:rPr>
          <w:u w:val="single"/>
        </w:rPr>
        <w:t xml:space="preserve">While Dryzek rightly alerts all critical theorists to </w:t>
      </w:r>
      <w:r w:rsidRPr="00FF19C6">
        <w:rPr>
          <w:highlight w:val="yellow"/>
          <w:u w:val="single"/>
        </w:rPr>
        <w:t>the dangers of state cooptation</w:t>
      </w:r>
      <w:r w:rsidRPr="008E1B2F">
        <w:rPr>
          <w:sz w:val="14"/>
        </w:rPr>
        <w:t xml:space="preserve"> of social movements, </w:t>
      </w:r>
      <w:r w:rsidRPr="008E1B2F">
        <w:rPr>
          <w:u w:val="single"/>
        </w:rPr>
        <w:t xml:space="preserve">his conclusions </w:t>
      </w:r>
      <w:r w:rsidRPr="00FF19C6">
        <w:rPr>
          <w:highlight w:val="yellow"/>
          <w:u w:val="single"/>
        </w:rPr>
        <w:t>must be read in the context of his preoccupation with</w:t>
      </w:r>
      <w:r w:rsidRPr="008E1B2F">
        <w:rPr>
          <w:sz w:val="14"/>
        </w:rPr>
        <w:t xml:space="preserve"> maintaining the vibrancy of civil society and the public sphere against </w:t>
      </w:r>
      <w:r w:rsidRPr="00FF19C6">
        <w:rPr>
          <w:highlight w:val="yellow"/>
          <w:u w:val="single"/>
        </w:rPr>
        <w:t>a rather limited conceptualization of the state as “the administrative state” driven by systemic imperatives</w:t>
      </w:r>
      <w:r w:rsidRPr="008E1B2F">
        <w:rPr>
          <w:u w:val="single"/>
        </w:rPr>
        <w:t>. Yet</w:t>
      </w:r>
      <w:r w:rsidRPr="008E1B2F">
        <w:rPr>
          <w:sz w:val="14"/>
        </w:rPr>
        <w:t xml:space="preserve"> state imperatives are not autonomous from civil society and </w:t>
      </w:r>
      <w:r w:rsidRPr="00FF19C6">
        <w:rPr>
          <w:highlight w:val="yellow"/>
          <w:u w:val="single"/>
        </w:rPr>
        <w:t>there is nothing fixed or inevitable about their functions and goals</w:t>
      </w:r>
      <w:r w:rsidRPr="00FF19C6">
        <w:rPr>
          <w:sz w:val="14"/>
          <w:highlight w:val="yellow"/>
        </w:rPr>
        <w:t>.</w:t>
      </w:r>
      <w:r w:rsidRPr="008E1B2F">
        <w:rPr>
          <w:sz w:val="14"/>
        </w:rPr>
        <w:t xml:space="preserve"> Rather </w:t>
      </w:r>
      <w:r w:rsidRPr="00FF19C6">
        <w:rPr>
          <w:highlight w:val="yellow"/>
          <w:u w:val="single"/>
        </w:rPr>
        <w:t>they are produced and reproduced by the relationships and understandings that are forged</w:t>
      </w:r>
      <w:r w:rsidRPr="008E1B2F">
        <w:rPr>
          <w:sz w:val="14"/>
        </w:rPr>
        <w:t xml:space="preserve">, inter alia, </w:t>
      </w:r>
      <w:r w:rsidRPr="008E1B2F">
        <w:rPr>
          <w:u w:val="single"/>
        </w:rPr>
        <w:t xml:space="preserve">between </w:t>
      </w:r>
      <w:r w:rsidRPr="00FF19C6">
        <w:rPr>
          <w:highlight w:val="yellow"/>
          <w:u w:val="single"/>
        </w:rPr>
        <w:t>state and civil society actors</w:t>
      </w:r>
      <w:r w:rsidRPr="00FF19C6">
        <w:rPr>
          <w:sz w:val="14"/>
          <w:highlight w:val="yellow"/>
        </w:rPr>
        <w:t xml:space="preserve">. So-called </w:t>
      </w:r>
      <w:r w:rsidRPr="00FF19C6">
        <w:rPr>
          <w:highlight w:val="yellow"/>
          <w:u w:val="single"/>
        </w:rPr>
        <w:t>state imperatives are, after all, merely reified social relations, practices, and understandings.</w:t>
      </w:r>
      <w:r w:rsidRPr="008E1B2F">
        <w:rPr>
          <w:u w:val="single"/>
        </w:rPr>
        <w:t xml:space="preserve"> The point, then</w:t>
      </w:r>
      <w:r w:rsidRPr="008E1B2F">
        <w:rPr>
          <w:sz w:val="14"/>
        </w:rPr>
        <w:t xml:space="preserve"> (contra Dryzek), </w:t>
      </w:r>
      <w:r w:rsidRPr="008E1B2F">
        <w:rPr>
          <w:u w:val="single"/>
        </w:rPr>
        <w:t xml:space="preserve">is </w:t>
      </w:r>
      <w:r w:rsidRPr="00FF19C6">
        <w:rPr>
          <w:highlight w:val="yellow"/>
          <w:u w:val="single"/>
        </w:rPr>
        <w:t>to challenge those relationships, practices, and understandings that are no</w:t>
      </w:r>
      <w:r w:rsidRPr="008E1B2F">
        <w:rPr>
          <w:u w:val="single"/>
        </w:rPr>
        <w:t>t</w:t>
      </w:r>
      <w:r w:rsidRPr="008E1B2F">
        <w:rPr>
          <w:sz w:val="14"/>
        </w:rPr>
        <w:t xml:space="preserve"> environmentally </w:t>
      </w:r>
      <w:r w:rsidRPr="00FF19C6">
        <w:rPr>
          <w:highlight w:val="yellow"/>
          <w:u w:val="single"/>
        </w:rPr>
        <w:t>inclusive</w:t>
      </w:r>
      <w:r w:rsidRPr="008E1B2F">
        <w:rPr>
          <w:u w:val="single"/>
        </w:rPr>
        <w:t xml:space="preserve"> </w:t>
      </w:r>
      <w:r w:rsidRPr="00FF19C6">
        <w:rPr>
          <w:u w:val="single"/>
        </w:rPr>
        <w:t>and</w:t>
      </w:r>
      <w:r w:rsidRPr="008E1B2F">
        <w:rPr>
          <w:u w:val="single"/>
        </w:rPr>
        <w:t xml:space="preserve"> to work toward making the settings in which they are forged less distorted from the point of view of ecological democracy</w:t>
      </w:r>
      <w:r w:rsidRPr="008E1B2F">
        <w:rPr>
          <w:sz w:val="14"/>
        </w:rPr>
        <w:t xml:space="preserve">. To the extent to which this occurs, </w:t>
      </w:r>
      <w:r w:rsidRPr="00FF19C6">
        <w:rPr>
          <w:highlight w:val="yellow"/>
          <w:u w:val="single"/>
        </w:rPr>
        <w:t>the zone of policy discretion can be expected to open up</w:t>
      </w:r>
      <w:r w:rsidRPr="008E1B2F">
        <w:rPr>
          <w:sz w:val="14"/>
        </w:rPr>
        <w:t xml:space="preserve"> (or at least be less “imprisoned”), </w:t>
      </w:r>
      <w:r w:rsidRPr="008E1B2F">
        <w:rPr>
          <w:u w:val="single"/>
        </w:rPr>
        <w:t xml:space="preserve">and </w:t>
      </w:r>
      <w:r w:rsidRPr="00FF19C6">
        <w:rPr>
          <w:highlight w:val="yellow"/>
          <w:u w:val="single"/>
        </w:rPr>
        <w:t>we can also expect the goals and functions of states to change</w:t>
      </w:r>
      <w:r w:rsidRPr="008E1B2F">
        <w:rPr>
          <w:sz w:val="14"/>
        </w:rPr>
        <w:t xml:space="preserve">. Dryzek himself notes that </w:t>
      </w:r>
      <w:r w:rsidRPr="00FF19C6">
        <w:rPr>
          <w:highlight w:val="yellow"/>
          <w:u w:val="single"/>
        </w:rPr>
        <w:t>state imperatives have changed</w:t>
      </w:r>
      <w:r w:rsidRPr="008E1B2F">
        <w:rPr>
          <w:sz w:val="14"/>
        </w:rPr>
        <w:t xml:space="preserve">, or rather expanded, </w:t>
      </w:r>
      <w:r w:rsidRPr="00FF19C6">
        <w:rPr>
          <w:highlight w:val="yellow"/>
          <w:u w:val="single"/>
        </w:rPr>
        <w:t>over time in response to societal problems and the claims of social movements</w:t>
      </w:r>
      <w:r w:rsidRPr="008E1B2F">
        <w:rPr>
          <w:sz w:val="14"/>
        </w:rPr>
        <w:t>, and nowadays it is possible to recognize environmental conservation as a new state imperative, at least in the form of ecological modernization.71</w:t>
      </w:r>
    </w:p>
    <w:p w14:paraId="0A0DD8D2" w14:textId="77777777" w:rsidR="00C572CF" w:rsidRDefault="00C572CF" w:rsidP="00C572CF">
      <w:pPr>
        <w:rPr>
          <w:sz w:val="14"/>
        </w:rPr>
      </w:pPr>
      <w:r w:rsidRPr="008E1B2F">
        <w:rPr>
          <w:sz w:val="14"/>
        </w:rPr>
        <w:t xml:space="preserve">However, these must be ultimately understood as political and socially negotiated changes involving political contestation, not autonomous changes in response to objective systemic imperatives. Whereas Dryzek’s overriding concern is to maintain a vibrant civil society and public sphere, the concern in this inquiry is broader: </w:t>
      </w:r>
      <w:r w:rsidRPr="008E1B2F">
        <w:rPr>
          <w:u w:val="single"/>
        </w:rPr>
        <w:t xml:space="preserve">How might we enhance state reflexivity or ecological problem-solving capacity? </w:t>
      </w:r>
      <w:r w:rsidRPr="008E1B2F">
        <w:rPr>
          <w:sz w:val="14"/>
        </w:rPr>
        <w:t xml:space="preserve">This is the same as asking: </w:t>
      </w:r>
      <w:r w:rsidRPr="008E1B2F">
        <w:rPr>
          <w:u w:val="single"/>
        </w:rPr>
        <w:t>How might the communicative context become less distorted and more inclusive</w:t>
      </w:r>
      <w:r w:rsidRPr="008E1B2F">
        <w:rPr>
          <w:sz w:val="14"/>
        </w:rPr>
        <w:t xml:space="preserve">? Dryzek’s empirical observation that “passively exclusively states” tend to prompt oppositional movements should not be taken as an argument for avoiding engagement with the state, although it does warn of the dangers of unthinking strategies of inclusion. </w:t>
      </w:r>
      <w:r w:rsidRPr="00FF19C6">
        <w:rPr>
          <w:highlight w:val="yellow"/>
          <w:u w:val="single"/>
        </w:rPr>
        <w:t>The point</w:t>
      </w:r>
      <w:r w:rsidRPr="008E1B2F">
        <w:rPr>
          <w:sz w:val="14"/>
        </w:rPr>
        <w:t xml:space="preserve">, as I see it, </w:t>
      </w:r>
      <w:r w:rsidRPr="00FF19C6">
        <w:rPr>
          <w:highlight w:val="yellow"/>
          <w:u w:val="single"/>
        </w:rPr>
        <w:t>is to make the democratic state more responsive to such critical feedback, acknowledging the crucial role played by civil society actors and public spheres</w:t>
      </w:r>
      <w:r w:rsidRPr="008E1B2F">
        <w:rPr>
          <w:u w:val="single"/>
        </w:rPr>
        <w:t xml:space="preserve"> </w:t>
      </w:r>
      <w:r w:rsidRPr="00FF19C6">
        <w:rPr>
          <w:highlight w:val="yellow"/>
          <w:u w:val="single"/>
        </w:rPr>
        <w:t>in</w:t>
      </w:r>
      <w:r w:rsidRPr="008E1B2F">
        <w:rPr>
          <w:u w:val="single"/>
        </w:rPr>
        <w:t xml:space="preserve"> the processes of </w:t>
      </w:r>
      <w:r w:rsidRPr="00FF19C6">
        <w:rPr>
          <w:highlight w:val="yellow"/>
          <w:u w:val="single"/>
        </w:rPr>
        <w:t>problem detection</w:t>
      </w:r>
      <w:r w:rsidRPr="008E1B2F">
        <w:rPr>
          <w:u w:val="single"/>
        </w:rPr>
        <w:t xml:space="preserve">. </w:t>
      </w:r>
      <w:r w:rsidRPr="00FF19C6">
        <w:rPr>
          <w:highlight w:val="yellow"/>
          <w:u w:val="single"/>
        </w:rPr>
        <w:t>The goal should</w:t>
      </w:r>
      <w:r w:rsidRPr="008E1B2F">
        <w:rPr>
          <w:u w:val="single"/>
        </w:rPr>
        <w:t xml:space="preserve"> not be to eliminate the unavoidable and necessary tensions between civil society and the state. Rather, it should </w:t>
      </w:r>
      <w:r w:rsidRPr="00FF19C6">
        <w:rPr>
          <w:highlight w:val="yellow"/>
          <w:u w:val="single"/>
        </w:rPr>
        <w:t>be to explore how they might be played out in more creative ways, particularly for those groups that have historically been excluded or marginalized in the processes of policy making</w:t>
      </w:r>
      <w:r w:rsidRPr="00FF19C6">
        <w:rPr>
          <w:sz w:val="14"/>
          <w:highlight w:val="yellow"/>
        </w:rPr>
        <w:t>.</w:t>
      </w:r>
    </w:p>
    <w:p w14:paraId="1BC34CD0" w14:textId="77777777" w:rsidR="001C3F34" w:rsidRDefault="001C3F34" w:rsidP="00C572CF">
      <w:pPr>
        <w:rPr>
          <w:sz w:val="14"/>
        </w:rPr>
      </w:pPr>
    </w:p>
    <w:p w14:paraId="1F40958C" w14:textId="0BB5D987" w:rsidR="008457A1" w:rsidRDefault="008457A1" w:rsidP="008457A1">
      <w:pPr>
        <w:pStyle w:val="Heading3"/>
      </w:pPr>
      <w:r>
        <w:t>PUAR BAD</w:t>
      </w:r>
    </w:p>
    <w:p w14:paraId="2308AAD8" w14:textId="2AE49BFA" w:rsidR="008457A1" w:rsidRDefault="008457A1" w:rsidP="008457A1">
      <w:pPr>
        <w:pStyle w:val="Heading4"/>
      </w:pPr>
      <w:r>
        <w:t>Puar’s analysis is shallow and wrong</w:t>
      </w:r>
    </w:p>
    <w:p w14:paraId="1E8ED30C" w14:textId="77777777" w:rsidR="008457A1" w:rsidRDefault="008457A1" w:rsidP="00C572CF"/>
    <w:p w14:paraId="2E08626D" w14:textId="1135AC2E" w:rsidR="008457A1" w:rsidRPr="00D91B6B" w:rsidRDefault="008457A1" w:rsidP="00D91B6B">
      <w:pPr>
        <w:rPr>
          <w:b/>
          <w:bCs/>
          <w:sz w:val="26"/>
        </w:rPr>
      </w:pPr>
      <w:r w:rsidRPr="008457A1">
        <w:rPr>
          <w:rStyle w:val="Style13ptBold"/>
        </w:rPr>
        <w:t>McCORMACK 09</w:t>
      </w:r>
    </w:p>
    <w:p w14:paraId="2C0FEA0D" w14:textId="474E7BBF" w:rsidR="008457A1" w:rsidRPr="008457A1" w:rsidRDefault="008457A1" w:rsidP="008457A1">
      <w:r w:rsidRPr="008457A1">
        <w:t xml:space="preserve">(JEN McCORMACK is the Geography and Regional Development of University of Arizona; “Book Reviews”, 7/23/18, </w:t>
      </w:r>
      <w:hyperlink r:id="rId9" w:history="1">
        <w:r w:rsidRPr="008457A1">
          <w:t>https://onlinelibrary.wiley</w:t>
        </w:r>
        <w:r w:rsidRPr="008457A1">
          <w:t>.</w:t>
        </w:r>
        <w:r w:rsidRPr="008457A1">
          <w:t>com/doi/epdf/10.1111/j.1467-8330.2009.00688_1.x</w:t>
        </w:r>
      </w:hyperlink>
      <w:r w:rsidRPr="008457A1">
        <w:t>, DMW)</w:t>
      </w:r>
    </w:p>
    <w:p w14:paraId="4132CE05" w14:textId="6A15D100" w:rsidR="00D8058C" w:rsidRPr="00D91B6B" w:rsidRDefault="00D8058C" w:rsidP="00D91B6B">
      <w:pPr>
        <w:shd w:val="clear" w:color="auto" w:fill="FFFFFF"/>
        <w:spacing w:line="0" w:lineRule="auto"/>
        <w:rPr>
          <w:rFonts w:ascii="ff3" w:eastAsia="Times New Roman" w:hAnsi="ff3"/>
          <w:color w:val="000000" w:themeColor="text1"/>
          <w:sz w:val="114"/>
          <w:szCs w:val="114"/>
        </w:rPr>
      </w:pPr>
      <w:r>
        <w:rPr>
          <w:rStyle w:val="current-selection"/>
          <w:rFonts w:ascii="ff3" w:eastAsia="Times New Roman" w:hAnsi="ff3"/>
          <w:color w:val="000000"/>
          <w:sz w:val="114"/>
          <w:szCs w:val="114"/>
        </w:rPr>
        <w:t>But</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for</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all</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its</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gusto,</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Puar’s</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emphasis</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on</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critique</w:t>
      </w:r>
      <w:r>
        <w:rPr>
          <w:rStyle w:val="a"/>
          <w:rFonts w:ascii="ff3" w:eastAsia="Times New Roman" w:hAnsi="ff3"/>
          <w:color w:val="000000"/>
          <w:sz w:val="114"/>
          <w:szCs w:val="114"/>
        </w:rPr>
        <w:t xml:space="preserve"> </w:t>
      </w:r>
      <w:r>
        <w:rPr>
          <w:rStyle w:val="current-selection"/>
          <w:rFonts w:ascii="ff3" w:eastAsia="Times New Roman" w:hAnsi="ff3"/>
          <w:color w:val="000000"/>
          <w:sz w:val="114"/>
          <w:szCs w:val="114"/>
        </w:rPr>
        <w:t>at</w:t>
      </w:r>
      <w:r>
        <w:rPr>
          <w:rStyle w:val="a"/>
          <w:rFonts w:ascii="ff3" w:eastAsia="Times New Roman" w:hAnsi="ff3"/>
          <w:color w:val="000000"/>
          <w:sz w:val="114"/>
          <w:szCs w:val="114"/>
        </w:rPr>
        <w:t xml:space="preserve"> </w:t>
      </w:r>
      <w:r w:rsidR="00D91B6B">
        <w:rPr>
          <w:rStyle w:val="current-selection"/>
          <w:rFonts w:ascii="ff3" w:eastAsia="Times New Roman" w:hAnsi="ff3"/>
          <w:color w:val="000000"/>
          <w:sz w:val="114"/>
          <w:szCs w:val="114"/>
        </w:rPr>
        <w:t>t</w:t>
      </w:r>
    </w:p>
    <w:p w14:paraId="2922AC1E" w14:textId="0B504F8E" w:rsidR="00E42E4C" w:rsidRPr="008457A1" w:rsidRDefault="00D8058C" w:rsidP="00F601E6">
      <w:pPr>
        <w:rPr>
          <w:sz w:val="16"/>
        </w:rPr>
      </w:pPr>
      <w:r w:rsidRPr="008457A1">
        <w:rPr>
          <w:sz w:val="16"/>
        </w:rPr>
        <w:t xml:space="preserve">But for all its gusto, </w:t>
      </w:r>
      <w:r w:rsidRPr="008457A1">
        <w:rPr>
          <w:rStyle w:val="StyleUnderline"/>
          <w:highlight w:val="yellow"/>
        </w:rPr>
        <w:t>Puar’s emphasis on critique</w:t>
      </w:r>
      <w:r w:rsidRPr="008457A1">
        <w:rPr>
          <w:rStyle w:val="StyleUnderline"/>
        </w:rPr>
        <w:t xml:space="preserve"> at times </w:t>
      </w:r>
      <w:r w:rsidRPr="008457A1">
        <w:rPr>
          <w:rStyle w:val="StyleUnderline"/>
          <w:highlight w:val="yellow"/>
        </w:rPr>
        <w:t>becomes a limitation</w:t>
      </w:r>
      <w:r w:rsidRPr="008457A1">
        <w:rPr>
          <w:sz w:val="16"/>
        </w:rPr>
        <w:t>.</w:t>
      </w:r>
      <w:r w:rsidR="008457A1" w:rsidRPr="008457A1">
        <w:rPr>
          <w:sz w:val="16"/>
        </w:rPr>
        <w:t xml:space="preserve"> </w:t>
      </w:r>
      <w:r w:rsidRPr="008457A1">
        <w:rPr>
          <w:sz w:val="16"/>
        </w:rPr>
        <w:t>Despite the length of individual chapters and the depth of engagement with</w:t>
      </w:r>
      <w:r w:rsidR="008457A1" w:rsidRPr="008457A1">
        <w:rPr>
          <w:sz w:val="16"/>
        </w:rPr>
        <w:t xml:space="preserve"> </w:t>
      </w:r>
      <w:r w:rsidRPr="008457A1">
        <w:rPr>
          <w:sz w:val="16"/>
        </w:rPr>
        <w:t>theoretical debates, Terrorist Assemblages is thinner on focused analysis. Much</w:t>
      </w:r>
      <w:r w:rsidR="008457A1" w:rsidRPr="008457A1">
        <w:rPr>
          <w:sz w:val="16"/>
        </w:rPr>
        <w:t xml:space="preserve"> </w:t>
      </w:r>
      <w:r w:rsidRPr="008457A1">
        <w:rPr>
          <w:sz w:val="16"/>
        </w:rPr>
        <w:t>detail of events of the empirical world appears in footnotes, if at all, and Puar</w:t>
      </w:r>
      <w:r w:rsidR="008457A1" w:rsidRPr="008457A1">
        <w:rPr>
          <w:sz w:val="16"/>
        </w:rPr>
        <w:t xml:space="preserve"> </w:t>
      </w:r>
      <w:r w:rsidRPr="008457A1">
        <w:rPr>
          <w:sz w:val="16"/>
        </w:rPr>
        <w:t>sometimes moves too quickly from concept to concept without thinking through</w:t>
      </w:r>
      <w:r w:rsidR="008457A1" w:rsidRPr="008457A1">
        <w:rPr>
          <w:sz w:val="16"/>
        </w:rPr>
        <w:t xml:space="preserve"> </w:t>
      </w:r>
      <w:r w:rsidRPr="008457A1">
        <w:rPr>
          <w:sz w:val="16"/>
        </w:rPr>
        <w:t>their particular genealogies or developing their critical potential. For instance, early</w:t>
      </w:r>
      <w:r w:rsidR="008457A1" w:rsidRPr="008457A1">
        <w:rPr>
          <w:sz w:val="16"/>
        </w:rPr>
        <w:t xml:space="preserve"> </w:t>
      </w:r>
      <w:r w:rsidRPr="008457A1">
        <w:rPr>
          <w:sz w:val="16"/>
        </w:rPr>
        <w:t xml:space="preserve">in the text, </w:t>
      </w:r>
      <w:r w:rsidRPr="008457A1">
        <w:rPr>
          <w:rStyle w:val="StyleUnderline"/>
          <w:highlight w:val="yellow"/>
        </w:rPr>
        <w:t>she argues that we need a new way of conceptualizing governmentality</w:t>
      </w:r>
      <w:r w:rsidR="008457A1" w:rsidRPr="008457A1">
        <w:rPr>
          <w:rStyle w:val="StyleUnderline"/>
          <w:highlight w:val="yellow"/>
        </w:rPr>
        <w:t xml:space="preserve"> </w:t>
      </w:r>
      <w:r w:rsidRPr="008457A1">
        <w:rPr>
          <w:rStyle w:val="StyleUnderline"/>
          <w:highlight w:val="yellow"/>
        </w:rPr>
        <w:t>in terms of simultaneity rather than sequence</w:t>
      </w:r>
      <w:r w:rsidRPr="008457A1">
        <w:rPr>
          <w:rStyle w:val="StyleUnderline"/>
        </w:rPr>
        <w:t xml:space="preserve">—in other words, geographically. </w:t>
      </w:r>
      <w:r w:rsidRPr="008457A1">
        <w:rPr>
          <w:rStyle w:val="StyleUnderline"/>
          <w:highlight w:val="yellow"/>
        </w:rPr>
        <w:t>She</w:t>
      </w:r>
      <w:r w:rsidR="008457A1" w:rsidRPr="008457A1">
        <w:rPr>
          <w:rStyle w:val="StyleUnderline"/>
          <w:highlight w:val="yellow"/>
        </w:rPr>
        <w:t xml:space="preserve"> </w:t>
      </w:r>
      <w:r w:rsidRPr="008457A1">
        <w:rPr>
          <w:rStyle w:val="StyleUnderline"/>
          <w:highlight w:val="yellow"/>
        </w:rPr>
        <w:t>proposes a “new” concept:</w:t>
      </w:r>
      <w:r w:rsidRPr="008457A1">
        <w:rPr>
          <w:rStyle w:val="StyleUnderline"/>
        </w:rPr>
        <w:t xml:space="preserve"> environ</w:t>
      </w:r>
      <w:r w:rsidR="008457A1">
        <w:rPr>
          <w:rStyle w:val="StyleUnderline"/>
        </w:rPr>
        <w:t xml:space="preserve"> </w:t>
      </w:r>
      <w:r w:rsidRPr="008457A1">
        <w:rPr>
          <w:rStyle w:val="StyleUnderline"/>
        </w:rPr>
        <w:t>mentality</w:t>
      </w:r>
      <w:r w:rsidRPr="008457A1">
        <w:rPr>
          <w:sz w:val="16"/>
        </w:rPr>
        <w:t xml:space="preserve">. </w:t>
      </w:r>
      <w:proofErr w:type="gramStart"/>
      <w:r w:rsidRPr="008457A1">
        <w:rPr>
          <w:sz w:val="16"/>
        </w:rPr>
        <w:t>However</w:t>
      </w:r>
      <w:proofErr w:type="gramEnd"/>
      <w:r w:rsidRPr="008457A1">
        <w:rPr>
          <w:sz w:val="16"/>
        </w:rPr>
        <w:t xml:space="preserve"> intriguing, </w:t>
      </w:r>
      <w:r w:rsidRPr="008457A1">
        <w:rPr>
          <w:rStyle w:val="StyleUnderline"/>
          <w:highlight w:val="yellow"/>
        </w:rPr>
        <w:t>this concept is not</w:t>
      </w:r>
      <w:r w:rsidR="008457A1" w:rsidRPr="008457A1">
        <w:rPr>
          <w:rStyle w:val="StyleUnderline"/>
          <w:highlight w:val="yellow"/>
        </w:rPr>
        <w:t xml:space="preserve"> </w:t>
      </w:r>
      <w:r w:rsidRPr="008457A1">
        <w:rPr>
          <w:rStyle w:val="StyleUnderline"/>
          <w:highlight w:val="yellow"/>
        </w:rPr>
        <w:t>entirely new</w:t>
      </w:r>
      <w:r w:rsidRPr="008457A1">
        <w:rPr>
          <w:rStyle w:val="StyleUnderline"/>
        </w:rPr>
        <w:t xml:space="preserve"> </w:t>
      </w:r>
      <w:r w:rsidRPr="008457A1">
        <w:rPr>
          <w:sz w:val="16"/>
        </w:rPr>
        <w:t xml:space="preserve">(see Agrawal 2005), and </w:t>
      </w:r>
      <w:r w:rsidRPr="008457A1">
        <w:rPr>
          <w:rStyle w:val="StyleUnderline"/>
          <w:highlight w:val="yellow"/>
        </w:rPr>
        <w:t>Puar also neglects a large, vibrant literature on</w:t>
      </w:r>
      <w:r w:rsidR="008457A1" w:rsidRPr="008457A1">
        <w:rPr>
          <w:rStyle w:val="StyleUnderline"/>
          <w:highlight w:val="yellow"/>
        </w:rPr>
        <w:t xml:space="preserve"> </w:t>
      </w:r>
      <w:r w:rsidRPr="008457A1">
        <w:rPr>
          <w:rStyle w:val="StyleUnderline"/>
          <w:highlight w:val="yellow"/>
        </w:rPr>
        <w:t>governmentalit</w:t>
      </w:r>
      <w:r w:rsidRPr="008457A1">
        <w:rPr>
          <w:rStyle w:val="StyleUnderline"/>
        </w:rPr>
        <w:t>y</w:t>
      </w:r>
      <w:r w:rsidRPr="008457A1">
        <w:rPr>
          <w:sz w:val="16"/>
        </w:rPr>
        <w:t xml:space="preserve"> within the geography literature </w:t>
      </w:r>
      <w:r w:rsidRPr="008457A1">
        <w:rPr>
          <w:rStyle w:val="StyleUnderline"/>
          <w:highlight w:val="yellow"/>
        </w:rPr>
        <w:t>that has debated these questions formore than a decade. Puar hardly even returns to this concept</w:t>
      </w:r>
      <w:r w:rsidRPr="008457A1">
        <w:rPr>
          <w:rStyle w:val="StyleUnderline"/>
        </w:rPr>
        <w:t xml:space="preserve"> of “environmentality”</w:t>
      </w:r>
      <w:r w:rsidR="008457A1">
        <w:rPr>
          <w:rStyle w:val="StyleUnderline"/>
        </w:rPr>
        <w:t xml:space="preserve"> </w:t>
      </w:r>
      <w:r w:rsidRPr="008457A1">
        <w:rPr>
          <w:rStyle w:val="StyleUnderline"/>
        </w:rPr>
        <w:t xml:space="preserve">in the text, and indeed, </w:t>
      </w:r>
      <w:r w:rsidRPr="008457A1">
        <w:rPr>
          <w:rStyle w:val="StyleUnderline"/>
          <w:highlight w:val="yellow"/>
        </w:rPr>
        <w:t>such a provocative concept does not earn an entry in the</w:t>
      </w:r>
      <w:r w:rsidR="008457A1" w:rsidRPr="008457A1">
        <w:rPr>
          <w:rStyle w:val="StyleUnderline"/>
          <w:highlight w:val="yellow"/>
        </w:rPr>
        <w:t xml:space="preserve"> </w:t>
      </w:r>
      <w:r w:rsidRPr="008457A1">
        <w:rPr>
          <w:rStyle w:val="StyleUnderline"/>
          <w:highlight w:val="yellow"/>
        </w:rPr>
        <w:t>index</w:t>
      </w:r>
      <w:r w:rsidRPr="008457A1">
        <w:rPr>
          <w:sz w:val="16"/>
        </w:rPr>
        <w:t>.</w:t>
      </w:r>
      <w:r w:rsidR="008457A1" w:rsidRPr="008457A1">
        <w:rPr>
          <w:sz w:val="16"/>
        </w:rPr>
        <w:t xml:space="preserve"> </w:t>
      </w:r>
      <w:r w:rsidRPr="008457A1">
        <w:rPr>
          <w:sz w:val="16"/>
        </w:rPr>
        <w:t>This sort of thing happens repeatedly, often with regards to concepts that</w:t>
      </w:r>
      <w:r w:rsidR="008457A1" w:rsidRPr="008457A1">
        <w:rPr>
          <w:sz w:val="16"/>
        </w:rPr>
        <w:t xml:space="preserve"> </w:t>
      </w:r>
      <w:r w:rsidRPr="008457A1">
        <w:rPr>
          <w:sz w:val="16"/>
        </w:rPr>
        <w:t xml:space="preserve">have salience in geographical debates, and could be a source of frustration fora geography readership. In Chapter 3, </w:t>
      </w:r>
      <w:r w:rsidRPr="008457A1">
        <w:rPr>
          <w:rStyle w:val="StyleUnderline"/>
          <w:highlight w:val="yellow"/>
        </w:rPr>
        <w:t>Puar</w:t>
      </w:r>
      <w:r w:rsidRPr="008457A1">
        <w:rPr>
          <w:rStyle w:val="StyleUnderline"/>
        </w:rPr>
        <w:t xml:space="preserve"> </w:t>
      </w:r>
      <w:r w:rsidRPr="008457A1">
        <w:rPr>
          <w:sz w:val="16"/>
        </w:rPr>
        <w:t>endorses Mary Pat Brady’s claim that</w:t>
      </w:r>
      <w:r w:rsidR="008457A1" w:rsidRPr="008457A1">
        <w:rPr>
          <w:sz w:val="16"/>
        </w:rPr>
        <w:t xml:space="preserve"> </w:t>
      </w:r>
      <w:r w:rsidRPr="008457A1">
        <w:rPr>
          <w:sz w:val="16"/>
        </w:rPr>
        <w:t xml:space="preserve">“spatial analysis” </w:t>
      </w:r>
      <w:r w:rsidRPr="008457A1">
        <w:rPr>
          <w:rStyle w:val="StyleUnderline"/>
          <w:highlight w:val="yellow"/>
        </w:rPr>
        <w:t>has not “considered the degree to which the construction of race</w:t>
      </w:r>
      <w:r w:rsidR="008457A1" w:rsidRPr="008457A1">
        <w:rPr>
          <w:rStyle w:val="StyleUnderline"/>
          <w:highlight w:val="yellow"/>
        </w:rPr>
        <w:t xml:space="preserve"> </w:t>
      </w:r>
      <w:r w:rsidRPr="008457A1">
        <w:rPr>
          <w:rStyle w:val="StyleUnderline"/>
          <w:highlight w:val="yellow"/>
        </w:rPr>
        <w:t>and sexuality” abets distinctions between public and private, or the way in which</w:t>
      </w:r>
      <w:r w:rsidR="008457A1" w:rsidRPr="008457A1">
        <w:rPr>
          <w:rStyle w:val="StyleUnderline"/>
          <w:highlight w:val="yellow"/>
        </w:rPr>
        <w:t xml:space="preserve"> </w:t>
      </w:r>
      <w:r w:rsidRPr="008457A1">
        <w:rPr>
          <w:rStyle w:val="StyleUnderline"/>
          <w:highlight w:val="yellow"/>
        </w:rPr>
        <w:t>“the obverse operates as well, because spatial distinctions help to structure sexuality,</w:t>
      </w:r>
      <w:r w:rsidR="008457A1" w:rsidRPr="008457A1">
        <w:rPr>
          <w:rStyle w:val="StyleUnderline"/>
          <w:highlight w:val="yellow"/>
        </w:rPr>
        <w:t xml:space="preserve"> </w:t>
      </w:r>
      <w:r w:rsidRPr="008457A1">
        <w:rPr>
          <w:rStyle w:val="StyleUnderline"/>
          <w:highlight w:val="yellow"/>
        </w:rPr>
        <w:t>race, and class</w:t>
      </w:r>
      <w:r w:rsidRPr="008457A1">
        <w:rPr>
          <w:sz w:val="16"/>
        </w:rPr>
        <w:t xml:space="preserve">”. </w:t>
      </w:r>
    </w:p>
    <w:p w14:paraId="652AEEFE" w14:textId="77777777" w:rsidR="001C3F34" w:rsidRDefault="001C3F34" w:rsidP="00F601E6"/>
    <w:p w14:paraId="2F85D25E" w14:textId="124AB4B8" w:rsidR="001C3F34" w:rsidRDefault="001C3F34" w:rsidP="008457A1">
      <w:pPr>
        <w:pStyle w:val="Heading4"/>
      </w:pPr>
      <w:r>
        <w:t xml:space="preserve">Perm solves and Puar </w:t>
      </w:r>
      <w:r w:rsidR="008457A1">
        <w:t xml:space="preserve">is </w:t>
      </w:r>
      <w:r>
        <w:t>Wrong</w:t>
      </w:r>
      <w:r w:rsidR="008457A1">
        <w:t xml:space="preserve"> </w:t>
      </w:r>
    </w:p>
    <w:p w14:paraId="2D140AD9" w14:textId="77777777" w:rsidR="008457A1" w:rsidRPr="008457A1" w:rsidRDefault="001C3F34" w:rsidP="001C3F34">
      <w:pPr>
        <w:pStyle w:val="NormalWeb"/>
        <w:shd w:val="clear" w:color="auto" w:fill="FFFFFF"/>
        <w:spacing w:before="0" w:beforeAutospacing="0" w:after="420" w:afterAutospacing="0"/>
        <w:textAlignment w:val="baseline"/>
        <w:rPr>
          <w:rStyle w:val="Style13ptBold"/>
        </w:rPr>
      </w:pPr>
      <w:r w:rsidRPr="008457A1">
        <w:rPr>
          <w:rStyle w:val="Style13ptBold"/>
        </w:rPr>
        <w:t>Carroll 13</w:t>
      </w:r>
    </w:p>
    <w:p w14:paraId="61441916" w14:textId="3893F82D" w:rsidR="008457A1" w:rsidRPr="008457A1" w:rsidRDefault="008457A1" w:rsidP="001C3F34">
      <w:pPr>
        <w:pStyle w:val="NormalWeb"/>
        <w:shd w:val="clear" w:color="auto" w:fill="FFFFFF"/>
        <w:spacing w:before="0" w:beforeAutospacing="0" w:after="420" w:afterAutospacing="0"/>
        <w:textAlignment w:val="baseline"/>
      </w:pPr>
      <w:r>
        <w:rPr>
          <w:rFonts w:ascii="Helvetica Neue" w:hAnsi="Helvetica Neue"/>
          <w:color w:val="444444"/>
          <w:sz w:val="18"/>
          <w:szCs w:val="18"/>
        </w:rPr>
        <w:t>(</w:t>
      </w:r>
      <w:r w:rsidRPr="008457A1">
        <w:t xml:space="preserve">James has B.A. in political science. As a connoisseur of all things queer, sarcastic, and sublime, James is always ready to have his worldview challenged by his adversaries, and expects the same respect from all of his readers; “THE LEFT’S NEW ISLAMOPHILIC HOMOPHOBIA: BOOK REVIEW OF “TERRORIST ASSEMBLAGES”, 7/23/18, </w:t>
      </w:r>
      <w:hyperlink r:id="rId10" w:history="1">
        <w:r w:rsidRPr="008457A1">
          <w:t>https://appliedsentience.com/2013/08/23/the-lefts-new-islamophilic-homophobia-book-review-of-terrorist-assemblages/</w:t>
        </w:r>
      </w:hyperlink>
      <w:r w:rsidRPr="008457A1">
        <w:t>, DMW)</w:t>
      </w:r>
    </w:p>
    <w:p w14:paraId="115FEED3" w14:textId="07CDF7C3" w:rsidR="001C3F34" w:rsidRPr="001C3F34" w:rsidRDefault="008457A1" w:rsidP="001C3F34">
      <w:pPr>
        <w:pStyle w:val="NormalWeb"/>
        <w:shd w:val="clear" w:color="auto" w:fill="FFFFFF"/>
        <w:spacing w:before="0" w:beforeAutospacing="0" w:after="420" w:afterAutospacing="0"/>
        <w:textAlignment w:val="baseline"/>
        <w:rPr>
          <w:rStyle w:val="StyleUnderline"/>
        </w:rPr>
      </w:pPr>
      <w:r w:rsidRPr="006071B6">
        <w:rPr>
          <w:rStyle w:val="StyleUnderline"/>
          <w:highlight w:val="yellow"/>
        </w:rPr>
        <w:t>Puar’s bird’s-eye view of the situation</w:t>
      </w:r>
      <w:r w:rsidRPr="008457A1">
        <w:rPr>
          <w:rFonts w:ascii="Helvetica Neue" w:hAnsi="Helvetica Neue"/>
          <w:color w:val="444444"/>
          <w:sz w:val="16"/>
          <w:szCs w:val="18"/>
        </w:rPr>
        <w:t xml:space="preserve"> (and how could it not be so, when dealing with such big issues of war and peace?) is still firmly seated within the “Clash of Civilizations” tradition, which posits cultures as static, outwardly oppositional and internally consolidated. In reality, </w:t>
      </w:r>
      <w:r w:rsidRPr="006071B6">
        <w:rPr>
          <w:rStyle w:val="StyleUnderline"/>
          <w:highlight w:val="yellow"/>
        </w:rPr>
        <w:t>the acceptance of gay, lesbian, bisexual and transgender people into the American mainstream is an incomplete process</w:t>
      </w:r>
      <w:r w:rsidRPr="008457A1">
        <w:rPr>
          <w:rStyle w:val="StyleUnderline"/>
        </w:rPr>
        <w:t xml:space="preserve">. </w:t>
      </w:r>
      <w:r w:rsidRPr="006071B6">
        <w:rPr>
          <w:rStyle w:val="StyleUnderline"/>
          <w:highlight w:val="yellow"/>
        </w:rPr>
        <w:t>The idea of a progressive sexual politics as part of an “American” or a “British” nationalism is quite novel and controversia</w:t>
      </w:r>
      <w:r w:rsidRPr="008457A1">
        <w:rPr>
          <w:rStyle w:val="StyleUnderline"/>
        </w:rPr>
        <w:t>l, having many detractors in the conservative camp and needing no more from self-proclaimed feminists.</w:t>
      </w:r>
      <w:r>
        <w:rPr>
          <w:rStyle w:val="StyleUnderline"/>
        </w:rPr>
        <w:t xml:space="preserve"> </w:t>
      </w:r>
      <w:r w:rsidRPr="008457A1">
        <w:rPr>
          <w:rFonts w:ascii="Helvetica Neue" w:hAnsi="Helvetica Neue"/>
          <w:color w:val="444444"/>
          <w:sz w:val="16"/>
          <w:szCs w:val="18"/>
        </w:rPr>
        <w:t xml:space="preserve">It might be unfortunate for the Taliban that the “Taliban” brand has become synonymous with brutishness, thuggery, and misogyny. They are indeed victims of war propaganda, and perhaps they have some thoughtful critiques of U.S. imperialism that are not being heard. But this zeitgeist is an unalloyed good for LGBT people in friendly-to-ambivalent countries, where they can exploit the semiotics of empire to attack, for example, the “Christian Taliban”, when a closer church engages in multi-million dollar campaigns against the civil rights of sexual minorities. </w:t>
      </w:r>
      <w:r w:rsidR="001C3F34" w:rsidRPr="008457A1">
        <w:rPr>
          <w:rFonts w:ascii="Helvetica Neue" w:hAnsi="Helvetica Neue"/>
          <w:color w:val="444444"/>
          <w:sz w:val="16"/>
          <w:szCs w:val="18"/>
        </w:rPr>
        <w:t xml:space="preserve">On the other hand, </w:t>
      </w:r>
      <w:r w:rsidR="001C3F34" w:rsidRPr="006071B6">
        <w:rPr>
          <w:rStyle w:val="StyleUnderline"/>
          <w:highlight w:val="yellow"/>
        </w:rPr>
        <w:t>it makes no sense for a LGBT person who is not already predisposed to radical politics to align himself with Islamists</w:t>
      </w:r>
      <w:r w:rsidR="001C3F34" w:rsidRPr="008457A1">
        <w:rPr>
          <w:rFonts w:ascii="Helvetica Neue" w:hAnsi="Helvetica Neue"/>
          <w:color w:val="444444"/>
          <w:sz w:val="16"/>
          <w:szCs w:val="18"/>
        </w:rPr>
        <w:t xml:space="preserve">. </w:t>
      </w:r>
      <w:r w:rsidR="001C3F34" w:rsidRPr="00503997">
        <w:rPr>
          <w:rStyle w:val="StyleUnderline"/>
          <w:highlight w:val="yellow"/>
        </w:rPr>
        <w:t>Racial groups, sure: the Japanese American Citizens League</w:t>
      </w:r>
      <w:r w:rsidR="001C3F34" w:rsidRPr="001C3F34">
        <w:rPr>
          <w:rStyle w:val="StyleUnderline"/>
        </w:rPr>
        <w:t xml:space="preserve">, lest we forget, </w:t>
      </w:r>
      <w:r w:rsidR="001C3F34" w:rsidRPr="00503997">
        <w:rPr>
          <w:rStyle w:val="StyleUnderline"/>
          <w:highlight w:val="yellow"/>
        </w:rPr>
        <w:t>was the first American non-gay organization to endorse marriage equality</w:t>
      </w:r>
      <w:r w:rsidR="001C3F34" w:rsidRPr="001C3F34">
        <w:rPr>
          <w:rStyle w:val="StyleUnderline"/>
        </w:rPr>
        <w:t>,</w:t>
      </w:r>
      <w:r w:rsidR="001C3F34" w:rsidRPr="008457A1">
        <w:rPr>
          <w:rFonts w:ascii="Helvetica Neue" w:hAnsi="Helvetica Neue"/>
          <w:color w:val="444444"/>
          <w:sz w:val="16"/>
          <w:szCs w:val="18"/>
        </w:rPr>
        <w:t xml:space="preserve"> in 1994. </w:t>
      </w:r>
      <w:r w:rsidR="001C3F34" w:rsidRPr="00503997">
        <w:rPr>
          <w:rStyle w:val="StyleUnderline"/>
          <w:highlight w:val="yellow"/>
        </w:rPr>
        <w:t>But</w:t>
      </w:r>
      <w:r w:rsidR="001C3F34" w:rsidRPr="001C3F34">
        <w:rPr>
          <w:rStyle w:val="StyleUnderline"/>
        </w:rPr>
        <w:t xml:space="preserve"> </w:t>
      </w:r>
      <w:r w:rsidR="001C3F34" w:rsidRPr="00503997">
        <w:rPr>
          <w:rStyle w:val="StyleUnderline"/>
          <w:highlight w:val="yellow"/>
        </w:rPr>
        <w:t xml:space="preserve">a </w:t>
      </w:r>
      <w:proofErr w:type="gramStart"/>
      <w:r w:rsidR="001C3F34" w:rsidRPr="00503997">
        <w:rPr>
          <w:rStyle w:val="StyleUnderline"/>
          <w:highlight w:val="yellow"/>
        </w:rPr>
        <w:t>queer</w:t>
      </w:r>
      <w:proofErr w:type="gramEnd"/>
      <w:r w:rsidR="001C3F34" w:rsidRPr="00503997">
        <w:rPr>
          <w:rStyle w:val="StyleUnderline"/>
          <w:highlight w:val="yellow"/>
        </w:rPr>
        <w:t>-Muslim nexus makes about as much sense as an alliance between the National Rifle Association and the Brady Campaign to Prevent Gun Violence</w:t>
      </w:r>
      <w:r w:rsidR="001C3F34" w:rsidRPr="008457A1">
        <w:rPr>
          <w:rFonts w:ascii="Helvetica Neue" w:hAnsi="Helvetica Neue"/>
          <w:color w:val="444444"/>
          <w:sz w:val="16"/>
          <w:szCs w:val="18"/>
        </w:rPr>
        <w:t xml:space="preserve">. While </w:t>
      </w:r>
      <w:r w:rsidR="001C3F34" w:rsidRPr="00503997">
        <w:rPr>
          <w:rStyle w:val="StyleUnderline"/>
          <w:highlight w:val="yellow"/>
        </w:rPr>
        <w:t>gay-rights groups make up for small numbers by conscripting generalized social justice advocates</w:t>
      </w:r>
      <w:r w:rsidR="001C3F34" w:rsidRPr="001C3F34">
        <w:rPr>
          <w:rStyle w:val="StyleUnderline"/>
        </w:rPr>
        <w:t>, Islamic organizations can afford the luxury of parochialism.</w:t>
      </w:r>
    </w:p>
    <w:p w14:paraId="3B1F625C" w14:textId="77777777" w:rsidR="001C3F34" w:rsidRPr="00F601E6" w:rsidRDefault="001C3F34" w:rsidP="00F601E6"/>
    <w:bookmarkEnd w:id="0"/>
    <w:sectPr w:rsidR="001C3F34"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ff3">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023E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4DF8"/>
    <w:rsid w:val="0006091E"/>
    <w:rsid w:val="00061B9C"/>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F34"/>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27F2"/>
    <w:rsid w:val="00267EBB"/>
    <w:rsid w:val="0027023B"/>
    <w:rsid w:val="00272F3F"/>
    <w:rsid w:val="00274EDB"/>
    <w:rsid w:val="0027729E"/>
    <w:rsid w:val="002843B2"/>
    <w:rsid w:val="00284ED6"/>
    <w:rsid w:val="00287B75"/>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3997"/>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1B6"/>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56F1"/>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3D2"/>
    <w:rsid w:val="008266F9"/>
    <w:rsid w:val="008267E2"/>
    <w:rsid w:val="00826A9B"/>
    <w:rsid w:val="00834842"/>
    <w:rsid w:val="00840E7B"/>
    <w:rsid w:val="008457A1"/>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3ADB"/>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229"/>
    <w:rsid w:val="00A776BA"/>
    <w:rsid w:val="00A81FD2"/>
    <w:rsid w:val="00A8441A"/>
    <w:rsid w:val="00A8674A"/>
    <w:rsid w:val="00A96E24"/>
    <w:rsid w:val="00AA6F6E"/>
    <w:rsid w:val="00AB122B"/>
    <w:rsid w:val="00AB21B0"/>
    <w:rsid w:val="00AB48D3"/>
    <w:rsid w:val="00AE0243"/>
    <w:rsid w:val="00AE1BAD"/>
    <w:rsid w:val="00AE2124"/>
    <w:rsid w:val="00AE24BC"/>
    <w:rsid w:val="00AE317D"/>
    <w:rsid w:val="00AE3E3F"/>
    <w:rsid w:val="00AF2516"/>
    <w:rsid w:val="00AF4760"/>
    <w:rsid w:val="00AF55D4"/>
    <w:rsid w:val="00B023EB"/>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572CF"/>
    <w:rsid w:val="00C72AFE"/>
    <w:rsid w:val="00C81619"/>
    <w:rsid w:val="00CA013C"/>
    <w:rsid w:val="00CA5638"/>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58C"/>
    <w:rsid w:val="00D80F0C"/>
    <w:rsid w:val="00D91B6B"/>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AF9"/>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4B19"/>
    <w:rsid w:val="00F94060"/>
    <w:rsid w:val="00FA56F6"/>
    <w:rsid w:val="00FB329D"/>
    <w:rsid w:val="00FC27E3"/>
    <w:rsid w:val="00FC74C7"/>
    <w:rsid w:val="00FD451D"/>
    <w:rsid w:val="00FD5B22"/>
    <w:rsid w:val="00FE1B01"/>
    <w:rsid w:val="00FF1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7CC1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627F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627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27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27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627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627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27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27F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627F2"/>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2627F2"/>
    <w:rPr>
      <w:b/>
      <w:bCs/>
      <w:sz w:val="26"/>
      <w:u w:val="none"/>
    </w:rPr>
  </w:style>
  <w:style w:type="character" w:customStyle="1" w:styleId="StyleUnderline">
    <w:name w:val="Style Underline"/>
    <w:aliases w:val="Underline"/>
    <w:basedOn w:val="DefaultParagraphFont"/>
    <w:uiPriority w:val="6"/>
    <w:qFormat/>
    <w:rsid w:val="002627F2"/>
    <w:rPr>
      <w:b w:val="0"/>
      <w:sz w:val="22"/>
      <w:u w:val="single"/>
    </w:rPr>
  </w:style>
  <w:style w:type="character" w:styleId="Emphasis">
    <w:name w:val="Emphasis"/>
    <w:basedOn w:val="DefaultParagraphFont"/>
    <w:uiPriority w:val="7"/>
    <w:qFormat/>
    <w:rsid w:val="002627F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627F2"/>
    <w:rPr>
      <w:color w:val="auto"/>
      <w:u w:val="none"/>
    </w:rPr>
  </w:style>
  <w:style w:type="character" w:styleId="Hyperlink">
    <w:name w:val="Hyperlink"/>
    <w:basedOn w:val="DefaultParagraphFont"/>
    <w:uiPriority w:val="99"/>
    <w:unhideWhenUsed/>
    <w:rsid w:val="002627F2"/>
    <w:rPr>
      <w:color w:val="auto"/>
      <w:u w:val="none"/>
    </w:rPr>
  </w:style>
  <w:style w:type="paragraph" w:styleId="DocumentMap">
    <w:name w:val="Document Map"/>
    <w:basedOn w:val="Normal"/>
    <w:link w:val="DocumentMapChar"/>
    <w:uiPriority w:val="99"/>
    <w:semiHidden/>
    <w:unhideWhenUsed/>
    <w:rsid w:val="00B023EB"/>
    <w:rPr>
      <w:rFonts w:ascii="Lucida Grande" w:hAnsi="Lucida Grande" w:cs="Lucida Grande"/>
    </w:rPr>
  </w:style>
  <w:style w:type="character" w:customStyle="1" w:styleId="DocumentMapChar">
    <w:name w:val="Document Map Char"/>
    <w:basedOn w:val="DefaultParagraphFont"/>
    <w:link w:val="DocumentMap"/>
    <w:uiPriority w:val="99"/>
    <w:semiHidden/>
    <w:rsid w:val="00B023EB"/>
    <w:rPr>
      <w:rFonts w:ascii="Lucida Grande" w:hAnsi="Lucida Grande" w:cs="Lucida Grande"/>
    </w:rPr>
  </w:style>
  <w:style w:type="character" w:customStyle="1" w:styleId="current-selection">
    <w:name w:val="current-selection"/>
    <w:basedOn w:val="DefaultParagraphFont"/>
    <w:rsid w:val="00D8058C"/>
  </w:style>
  <w:style w:type="character" w:customStyle="1" w:styleId="a">
    <w:name w:val="_"/>
    <w:basedOn w:val="DefaultParagraphFont"/>
    <w:rsid w:val="00D8058C"/>
  </w:style>
  <w:style w:type="character" w:customStyle="1" w:styleId="enhanced-reference">
    <w:name w:val="enhanced-reference"/>
    <w:basedOn w:val="DefaultParagraphFont"/>
    <w:rsid w:val="00D8058C"/>
  </w:style>
  <w:style w:type="paragraph" w:styleId="NormalWeb">
    <w:name w:val="Normal (Web)"/>
    <w:basedOn w:val="Normal"/>
    <w:uiPriority w:val="99"/>
    <w:semiHidden/>
    <w:unhideWhenUsed/>
    <w:rsid w:val="001C3F3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789174">
      <w:bodyDiv w:val="1"/>
      <w:marLeft w:val="0"/>
      <w:marRight w:val="0"/>
      <w:marTop w:val="0"/>
      <w:marBottom w:val="0"/>
      <w:divBdr>
        <w:top w:val="none" w:sz="0" w:space="0" w:color="auto"/>
        <w:left w:val="none" w:sz="0" w:space="0" w:color="auto"/>
        <w:bottom w:val="none" w:sz="0" w:space="0" w:color="auto"/>
        <w:right w:val="none" w:sz="0" w:space="0" w:color="auto"/>
      </w:divBdr>
    </w:div>
    <w:div w:id="229583455">
      <w:bodyDiv w:val="1"/>
      <w:marLeft w:val="0"/>
      <w:marRight w:val="0"/>
      <w:marTop w:val="0"/>
      <w:marBottom w:val="0"/>
      <w:divBdr>
        <w:top w:val="none" w:sz="0" w:space="0" w:color="auto"/>
        <w:left w:val="none" w:sz="0" w:space="0" w:color="auto"/>
        <w:bottom w:val="none" w:sz="0" w:space="0" w:color="auto"/>
        <w:right w:val="none" w:sz="0" w:space="0" w:color="auto"/>
      </w:divBdr>
    </w:div>
    <w:div w:id="397822663">
      <w:bodyDiv w:val="1"/>
      <w:marLeft w:val="0"/>
      <w:marRight w:val="0"/>
      <w:marTop w:val="0"/>
      <w:marBottom w:val="0"/>
      <w:divBdr>
        <w:top w:val="none" w:sz="0" w:space="0" w:color="auto"/>
        <w:left w:val="none" w:sz="0" w:space="0" w:color="auto"/>
        <w:bottom w:val="none" w:sz="0" w:space="0" w:color="auto"/>
        <w:right w:val="none" w:sz="0" w:space="0" w:color="auto"/>
      </w:divBdr>
      <w:divsChild>
        <w:div w:id="1791895925">
          <w:marLeft w:val="0"/>
          <w:marRight w:val="0"/>
          <w:marTop w:val="0"/>
          <w:marBottom w:val="0"/>
          <w:divBdr>
            <w:top w:val="none" w:sz="0" w:space="0" w:color="auto"/>
            <w:left w:val="none" w:sz="0" w:space="0" w:color="auto"/>
            <w:bottom w:val="none" w:sz="0" w:space="0" w:color="auto"/>
            <w:right w:val="none" w:sz="0" w:space="0" w:color="auto"/>
          </w:divBdr>
        </w:div>
        <w:div w:id="2090881938">
          <w:marLeft w:val="0"/>
          <w:marRight w:val="0"/>
          <w:marTop w:val="0"/>
          <w:marBottom w:val="0"/>
          <w:divBdr>
            <w:top w:val="none" w:sz="0" w:space="0" w:color="auto"/>
            <w:left w:val="none" w:sz="0" w:space="0" w:color="auto"/>
            <w:bottom w:val="none" w:sz="0" w:space="0" w:color="auto"/>
            <w:right w:val="none" w:sz="0" w:space="0" w:color="auto"/>
          </w:divBdr>
        </w:div>
        <w:div w:id="611399060">
          <w:marLeft w:val="0"/>
          <w:marRight w:val="0"/>
          <w:marTop w:val="0"/>
          <w:marBottom w:val="0"/>
          <w:divBdr>
            <w:top w:val="none" w:sz="0" w:space="0" w:color="auto"/>
            <w:left w:val="none" w:sz="0" w:space="0" w:color="auto"/>
            <w:bottom w:val="none" w:sz="0" w:space="0" w:color="auto"/>
            <w:right w:val="none" w:sz="0" w:space="0" w:color="auto"/>
          </w:divBdr>
        </w:div>
      </w:divsChild>
    </w:div>
    <w:div w:id="866798293">
      <w:bodyDiv w:val="1"/>
      <w:marLeft w:val="0"/>
      <w:marRight w:val="0"/>
      <w:marTop w:val="0"/>
      <w:marBottom w:val="0"/>
      <w:divBdr>
        <w:top w:val="none" w:sz="0" w:space="0" w:color="auto"/>
        <w:left w:val="none" w:sz="0" w:space="0" w:color="auto"/>
        <w:bottom w:val="none" w:sz="0" w:space="0" w:color="auto"/>
        <w:right w:val="none" w:sz="0" w:space="0" w:color="auto"/>
      </w:divBdr>
      <w:divsChild>
        <w:div w:id="1625116746">
          <w:marLeft w:val="0"/>
          <w:marRight w:val="0"/>
          <w:marTop w:val="0"/>
          <w:marBottom w:val="0"/>
          <w:divBdr>
            <w:top w:val="none" w:sz="0" w:space="0" w:color="auto"/>
            <w:left w:val="none" w:sz="0" w:space="0" w:color="auto"/>
            <w:bottom w:val="none" w:sz="0" w:space="0" w:color="auto"/>
            <w:right w:val="none" w:sz="0" w:space="0" w:color="auto"/>
          </w:divBdr>
        </w:div>
        <w:div w:id="1270551689">
          <w:marLeft w:val="0"/>
          <w:marRight w:val="0"/>
          <w:marTop w:val="0"/>
          <w:marBottom w:val="0"/>
          <w:divBdr>
            <w:top w:val="none" w:sz="0" w:space="0" w:color="auto"/>
            <w:left w:val="none" w:sz="0" w:space="0" w:color="auto"/>
            <w:bottom w:val="none" w:sz="0" w:space="0" w:color="auto"/>
            <w:right w:val="none" w:sz="0" w:space="0" w:color="auto"/>
          </w:divBdr>
        </w:div>
        <w:div w:id="1453011246">
          <w:marLeft w:val="0"/>
          <w:marRight w:val="0"/>
          <w:marTop w:val="0"/>
          <w:marBottom w:val="0"/>
          <w:divBdr>
            <w:top w:val="none" w:sz="0" w:space="0" w:color="auto"/>
            <w:left w:val="none" w:sz="0" w:space="0" w:color="auto"/>
            <w:bottom w:val="none" w:sz="0" w:space="0" w:color="auto"/>
            <w:right w:val="none" w:sz="0" w:space="0" w:color="auto"/>
          </w:divBdr>
        </w:div>
        <w:div w:id="1128739891">
          <w:marLeft w:val="0"/>
          <w:marRight w:val="0"/>
          <w:marTop w:val="0"/>
          <w:marBottom w:val="0"/>
          <w:divBdr>
            <w:top w:val="none" w:sz="0" w:space="0" w:color="auto"/>
            <w:left w:val="none" w:sz="0" w:space="0" w:color="auto"/>
            <w:bottom w:val="none" w:sz="0" w:space="0" w:color="auto"/>
            <w:right w:val="none" w:sz="0" w:space="0" w:color="auto"/>
          </w:divBdr>
        </w:div>
        <w:div w:id="332295887">
          <w:marLeft w:val="0"/>
          <w:marRight w:val="0"/>
          <w:marTop w:val="0"/>
          <w:marBottom w:val="0"/>
          <w:divBdr>
            <w:top w:val="none" w:sz="0" w:space="0" w:color="auto"/>
            <w:left w:val="none" w:sz="0" w:space="0" w:color="auto"/>
            <w:bottom w:val="none" w:sz="0" w:space="0" w:color="auto"/>
            <w:right w:val="none" w:sz="0" w:space="0" w:color="auto"/>
          </w:divBdr>
        </w:div>
        <w:div w:id="328604332">
          <w:marLeft w:val="0"/>
          <w:marRight w:val="0"/>
          <w:marTop w:val="0"/>
          <w:marBottom w:val="0"/>
          <w:divBdr>
            <w:top w:val="none" w:sz="0" w:space="0" w:color="auto"/>
            <w:left w:val="none" w:sz="0" w:space="0" w:color="auto"/>
            <w:bottom w:val="none" w:sz="0" w:space="0" w:color="auto"/>
            <w:right w:val="none" w:sz="0" w:space="0" w:color="auto"/>
          </w:divBdr>
        </w:div>
        <w:div w:id="1087265442">
          <w:marLeft w:val="0"/>
          <w:marRight w:val="0"/>
          <w:marTop w:val="0"/>
          <w:marBottom w:val="0"/>
          <w:divBdr>
            <w:top w:val="none" w:sz="0" w:space="0" w:color="auto"/>
            <w:left w:val="none" w:sz="0" w:space="0" w:color="auto"/>
            <w:bottom w:val="none" w:sz="0" w:space="0" w:color="auto"/>
            <w:right w:val="none" w:sz="0" w:space="0" w:color="auto"/>
          </w:divBdr>
        </w:div>
        <w:div w:id="277372793">
          <w:marLeft w:val="0"/>
          <w:marRight w:val="0"/>
          <w:marTop w:val="0"/>
          <w:marBottom w:val="0"/>
          <w:divBdr>
            <w:top w:val="none" w:sz="0" w:space="0" w:color="auto"/>
            <w:left w:val="none" w:sz="0" w:space="0" w:color="auto"/>
            <w:bottom w:val="none" w:sz="0" w:space="0" w:color="auto"/>
            <w:right w:val="none" w:sz="0" w:space="0" w:color="auto"/>
          </w:divBdr>
        </w:div>
        <w:div w:id="1502618557">
          <w:marLeft w:val="0"/>
          <w:marRight w:val="0"/>
          <w:marTop w:val="0"/>
          <w:marBottom w:val="0"/>
          <w:divBdr>
            <w:top w:val="none" w:sz="0" w:space="0" w:color="auto"/>
            <w:left w:val="none" w:sz="0" w:space="0" w:color="auto"/>
            <w:bottom w:val="none" w:sz="0" w:space="0" w:color="auto"/>
            <w:right w:val="none" w:sz="0" w:space="0" w:color="auto"/>
          </w:divBdr>
        </w:div>
        <w:div w:id="528956334">
          <w:marLeft w:val="0"/>
          <w:marRight w:val="0"/>
          <w:marTop w:val="0"/>
          <w:marBottom w:val="0"/>
          <w:divBdr>
            <w:top w:val="none" w:sz="0" w:space="0" w:color="auto"/>
            <w:left w:val="none" w:sz="0" w:space="0" w:color="auto"/>
            <w:bottom w:val="none" w:sz="0" w:space="0" w:color="auto"/>
            <w:right w:val="none" w:sz="0" w:space="0" w:color="auto"/>
          </w:divBdr>
        </w:div>
        <w:div w:id="701712467">
          <w:marLeft w:val="0"/>
          <w:marRight w:val="0"/>
          <w:marTop w:val="0"/>
          <w:marBottom w:val="0"/>
          <w:divBdr>
            <w:top w:val="none" w:sz="0" w:space="0" w:color="auto"/>
            <w:left w:val="none" w:sz="0" w:space="0" w:color="auto"/>
            <w:bottom w:val="none" w:sz="0" w:space="0" w:color="auto"/>
            <w:right w:val="none" w:sz="0" w:space="0" w:color="auto"/>
          </w:divBdr>
        </w:div>
        <w:div w:id="1222208191">
          <w:marLeft w:val="0"/>
          <w:marRight w:val="0"/>
          <w:marTop w:val="0"/>
          <w:marBottom w:val="0"/>
          <w:divBdr>
            <w:top w:val="none" w:sz="0" w:space="0" w:color="auto"/>
            <w:left w:val="none" w:sz="0" w:space="0" w:color="auto"/>
            <w:bottom w:val="none" w:sz="0" w:space="0" w:color="auto"/>
            <w:right w:val="none" w:sz="0" w:space="0" w:color="auto"/>
          </w:divBdr>
        </w:div>
        <w:div w:id="1451051882">
          <w:marLeft w:val="0"/>
          <w:marRight w:val="0"/>
          <w:marTop w:val="0"/>
          <w:marBottom w:val="0"/>
          <w:divBdr>
            <w:top w:val="none" w:sz="0" w:space="0" w:color="auto"/>
            <w:left w:val="none" w:sz="0" w:space="0" w:color="auto"/>
            <w:bottom w:val="none" w:sz="0" w:space="0" w:color="auto"/>
            <w:right w:val="none" w:sz="0" w:space="0" w:color="auto"/>
          </w:divBdr>
        </w:div>
        <w:div w:id="760301386">
          <w:marLeft w:val="0"/>
          <w:marRight w:val="0"/>
          <w:marTop w:val="0"/>
          <w:marBottom w:val="0"/>
          <w:divBdr>
            <w:top w:val="none" w:sz="0" w:space="0" w:color="auto"/>
            <w:left w:val="none" w:sz="0" w:space="0" w:color="auto"/>
            <w:bottom w:val="none" w:sz="0" w:space="0" w:color="auto"/>
            <w:right w:val="none" w:sz="0" w:space="0" w:color="auto"/>
          </w:divBdr>
        </w:div>
        <w:div w:id="58284345">
          <w:marLeft w:val="0"/>
          <w:marRight w:val="0"/>
          <w:marTop w:val="0"/>
          <w:marBottom w:val="0"/>
          <w:divBdr>
            <w:top w:val="none" w:sz="0" w:space="0" w:color="auto"/>
            <w:left w:val="none" w:sz="0" w:space="0" w:color="auto"/>
            <w:bottom w:val="none" w:sz="0" w:space="0" w:color="auto"/>
            <w:right w:val="none" w:sz="0" w:space="0" w:color="auto"/>
          </w:divBdr>
        </w:div>
        <w:div w:id="354161553">
          <w:marLeft w:val="0"/>
          <w:marRight w:val="0"/>
          <w:marTop w:val="0"/>
          <w:marBottom w:val="0"/>
          <w:divBdr>
            <w:top w:val="none" w:sz="0" w:space="0" w:color="auto"/>
            <w:left w:val="none" w:sz="0" w:space="0" w:color="auto"/>
            <w:bottom w:val="none" w:sz="0" w:space="0" w:color="auto"/>
            <w:right w:val="none" w:sz="0" w:space="0" w:color="auto"/>
          </w:divBdr>
        </w:div>
        <w:div w:id="853615797">
          <w:marLeft w:val="0"/>
          <w:marRight w:val="0"/>
          <w:marTop w:val="0"/>
          <w:marBottom w:val="0"/>
          <w:divBdr>
            <w:top w:val="none" w:sz="0" w:space="0" w:color="auto"/>
            <w:left w:val="none" w:sz="0" w:space="0" w:color="auto"/>
            <w:bottom w:val="none" w:sz="0" w:space="0" w:color="auto"/>
            <w:right w:val="none" w:sz="0" w:space="0" w:color="auto"/>
          </w:divBdr>
        </w:div>
        <w:div w:id="1435369859">
          <w:marLeft w:val="0"/>
          <w:marRight w:val="0"/>
          <w:marTop w:val="0"/>
          <w:marBottom w:val="0"/>
          <w:divBdr>
            <w:top w:val="none" w:sz="0" w:space="0" w:color="auto"/>
            <w:left w:val="none" w:sz="0" w:space="0" w:color="auto"/>
            <w:bottom w:val="none" w:sz="0" w:space="0" w:color="auto"/>
            <w:right w:val="none" w:sz="0" w:space="0" w:color="auto"/>
          </w:divBdr>
        </w:div>
        <w:div w:id="2052607274">
          <w:marLeft w:val="0"/>
          <w:marRight w:val="0"/>
          <w:marTop w:val="0"/>
          <w:marBottom w:val="0"/>
          <w:divBdr>
            <w:top w:val="none" w:sz="0" w:space="0" w:color="auto"/>
            <w:left w:val="none" w:sz="0" w:space="0" w:color="auto"/>
            <w:bottom w:val="none" w:sz="0" w:space="0" w:color="auto"/>
            <w:right w:val="none" w:sz="0" w:space="0" w:color="auto"/>
          </w:divBdr>
        </w:div>
        <w:div w:id="1435707403">
          <w:marLeft w:val="0"/>
          <w:marRight w:val="0"/>
          <w:marTop w:val="0"/>
          <w:marBottom w:val="0"/>
          <w:divBdr>
            <w:top w:val="none" w:sz="0" w:space="0" w:color="auto"/>
            <w:left w:val="none" w:sz="0" w:space="0" w:color="auto"/>
            <w:bottom w:val="none" w:sz="0" w:space="0" w:color="auto"/>
            <w:right w:val="none" w:sz="0" w:space="0" w:color="auto"/>
          </w:divBdr>
        </w:div>
        <w:div w:id="1320042780">
          <w:marLeft w:val="0"/>
          <w:marRight w:val="0"/>
          <w:marTop w:val="0"/>
          <w:marBottom w:val="0"/>
          <w:divBdr>
            <w:top w:val="none" w:sz="0" w:space="0" w:color="auto"/>
            <w:left w:val="none" w:sz="0" w:space="0" w:color="auto"/>
            <w:bottom w:val="none" w:sz="0" w:space="0" w:color="auto"/>
            <w:right w:val="none" w:sz="0" w:space="0" w:color="auto"/>
          </w:divBdr>
        </w:div>
        <w:div w:id="1614752155">
          <w:marLeft w:val="0"/>
          <w:marRight w:val="0"/>
          <w:marTop w:val="0"/>
          <w:marBottom w:val="0"/>
          <w:divBdr>
            <w:top w:val="none" w:sz="0" w:space="0" w:color="auto"/>
            <w:left w:val="none" w:sz="0" w:space="0" w:color="auto"/>
            <w:bottom w:val="none" w:sz="0" w:space="0" w:color="auto"/>
            <w:right w:val="none" w:sz="0" w:space="0" w:color="auto"/>
          </w:divBdr>
        </w:div>
        <w:div w:id="676856669">
          <w:marLeft w:val="0"/>
          <w:marRight w:val="0"/>
          <w:marTop w:val="0"/>
          <w:marBottom w:val="0"/>
          <w:divBdr>
            <w:top w:val="none" w:sz="0" w:space="0" w:color="auto"/>
            <w:left w:val="none" w:sz="0" w:space="0" w:color="auto"/>
            <w:bottom w:val="none" w:sz="0" w:space="0" w:color="auto"/>
            <w:right w:val="none" w:sz="0" w:space="0" w:color="auto"/>
          </w:divBdr>
        </w:div>
        <w:div w:id="553660250">
          <w:marLeft w:val="0"/>
          <w:marRight w:val="0"/>
          <w:marTop w:val="0"/>
          <w:marBottom w:val="0"/>
          <w:divBdr>
            <w:top w:val="none" w:sz="0" w:space="0" w:color="auto"/>
            <w:left w:val="none" w:sz="0" w:space="0" w:color="auto"/>
            <w:bottom w:val="none" w:sz="0" w:space="0" w:color="auto"/>
            <w:right w:val="none" w:sz="0" w:space="0" w:color="auto"/>
          </w:divBdr>
        </w:div>
        <w:div w:id="670525569">
          <w:marLeft w:val="0"/>
          <w:marRight w:val="0"/>
          <w:marTop w:val="0"/>
          <w:marBottom w:val="0"/>
          <w:divBdr>
            <w:top w:val="none" w:sz="0" w:space="0" w:color="auto"/>
            <w:left w:val="none" w:sz="0" w:space="0" w:color="auto"/>
            <w:bottom w:val="none" w:sz="0" w:space="0" w:color="auto"/>
            <w:right w:val="none" w:sz="0" w:space="0" w:color="auto"/>
          </w:divBdr>
        </w:div>
      </w:divsChild>
    </w:div>
    <w:div w:id="1642735341">
      <w:bodyDiv w:val="1"/>
      <w:marLeft w:val="0"/>
      <w:marRight w:val="0"/>
      <w:marTop w:val="0"/>
      <w:marBottom w:val="0"/>
      <w:divBdr>
        <w:top w:val="none" w:sz="0" w:space="0" w:color="auto"/>
        <w:left w:val="none" w:sz="0" w:space="0" w:color="auto"/>
        <w:bottom w:val="none" w:sz="0" w:space="0" w:color="auto"/>
        <w:right w:val="none" w:sz="0" w:space="0" w:color="auto"/>
      </w:divBdr>
    </w:div>
    <w:div w:id="1669018744">
      <w:bodyDiv w:val="1"/>
      <w:marLeft w:val="0"/>
      <w:marRight w:val="0"/>
      <w:marTop w:val="0"/>
      <w:marBottom w:val="0"/>
      <w:divBdr>
        <w:top w:val="none" w:sz="0" w:space="0" w:color="auto"/>
        <w:left w:val="none" w:sz="0" w:space="0" w:color="auto"/>
        <w:bottom w:val="none" w:sz="0" w:space="0" w:color="auto"/>
        <w:right w:val="none" w:sz="0" w:space="0" w:color="auto"/>
      </w:divBdr>
      <w:divsChild>
        <w:div w:id="144661736">
          <w:marLeft w:val="300"/>
          <w:marRight w:val="0"/>
          <w:marTop w:val="75"/>
          <w:marBottom w:val="420"/>
          <w:divBdr>
            <w:top w:val="none" w:sz="0" w:space="0" w:color="auto"/>
            <w:left w:val="none" w:sz="0" w:space="0" w:color="auto"/>
            <w:bottom w:val="none" w:sz="0" w:space="0" w:color="auto"/>
            <w:right w:val="none" w:sz="0" w:space="0" w:color="auto"/>
          </w:divBdr>
        </w:div>
      </w:divsChild>
    </w:div>
    <w:div w:id="1686905224">
      <w:bodyDiv w:val="1"/>
      <w:marLeft w:val="0"/>
      <w:marRight w:val="0"/>
      <w:marTop w:val="0"/>
      <w:marBottom w:val="0"/>
      <w:divBdr>
        <w:top w:val="none" w:sz="0" w:space="0" w:color="auto"/>
        <w:left w:val="none" w:sz="0" w:space="0" w:color="auto"/>
        <w:bottom w:val="none" w:sz="0" w:space="0" w:color="auto"/>
        <w:right w:val="none" w:sz="0" w:space="0" w:color="auto"/>
      </w:divBdr>
    </w:div>
    <w:div w:id="20085528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onlinelibrary.wiley.com/doi/epdf/10.1111/j.1467-8330.2009.00688_1.x" TargetMode="External"/><Relationship Id="rId10" Type="http://schemas.openxmlformats.org/officeDocument/2006/relationships/hyperlink" Target="https://appliedsentience.com/2013/08/23/the-lefts-new-islamophilic-homophobia-book-review-of-terrorist-assemblag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C1D559E-E33C-7642-B7CF-477528C9B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C:\Users\SJ\AppData\Roaming\Microsoft\Templates\Debate.dotm</Template>
  <TotalTime>57</TotalTime>
  <Pages>1</Pages>
  <Words>4050</Words>
  <Characters>23085</Characters>
  <Application>Microsoft Macintosh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27081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Wang</dc:creator>
  <cp:keywords>5.2</cp:keywords>
  <dc:description/>
  <cp:lastModifiedBy>Dylan Wang</cp:lastModifiedBy>
  <cp:revision>14</cp:revision>
  <dcterms:created xsi:type="dcterms:W3CDTF">2018-07-23T23:13:00Z</dcterms:created>
  <dcterms:modified xsi:type="dcterms:W3CDTF">2018-07-24T19:14:00Z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